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bstract-english-para-a-submissão"/>
    <w:p>
      <w:pPr>
        <w:pStyle w:val="Heading1"/>
      </w:pPr>
      <w:r>
        <w:t xml:space="preserve">Abstract (English) — para a submissão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Brazil’s Conitec preliminarily recommended against coronary computed tomography angiography (CCTA) as a first-line test in suspected stable coronary disease of low or intermediate pretest probability, citing capacity and budget uncertainties. The missing question is</w:t>
      </w:r>
      <w:r>
        <w:t xml:space="preserve"> </w:t>
      </w:r>
      <w:r>
        <w:rPr>
          <w:i/>
          <w:iCs/>
        </w:rPr>
        <w:t xml:space="preserve">where</w:t>
      </w:r>
      <w:r>
        <w:t xml:space="preserve">, not only</w:t>
      </w:r>
      <w:r>
        <w:t xml:space="preserve"> </w:t>
      </w:r>
      <w:r>
        <w:rPr>
          <w:i/>
          <w:iCs/>
        </w:rPr>
        <w:t xml:space="preserve">whether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To characterize the CCTA-compatible scanner capacity of the Unified Health System (SUS) and the pathway positions in which CCTA is budget-sustainable.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Nationwide analysis of public databases: capacity by channel after regulation SAES/MS 3,695/2026, and a threshold analysis (catheterization change required for neutrality) in two PICOs (first line; gatekeeping), with differences from ten trials and one meta-analysis, with and without revascularization.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In the aggregate first-line PICO, the evaluated prices exceed neutrality: the displaced test is mostly exercise ECG (76% of 787,954 episodes/year; R$ 32) and the best observed difference (+4.1/100) does not cover R$ 550; in the intermediate stratum, only substituting perfusion scintigraphy brings R$ 550 into the uncertainty zone (R$ 458–560 with revascularization). In pre-catheterization gatekeeping the sign reverses: differences of 66–86/100 and neutrality at R$ 482–625 (R$ 841–868 with revascularization). Of 315 facilities with ≥64-channel scanners (432, a floor), 79 add catheterization laboratories and documented coronary procedures; twelve states have none.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Budget sustainability is a property of pathway position and displaced test, not of price: parameters that records do not identify and that a protocol defines. The economic evidence does not support a uniform decision for the low-or-intermediate range; it supports conditioning incorporation on positioning and displaced test, as the 2025 SBC Chronic Coronary Syndrome Guideline stratifies, and assessing gatekeeping separately.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Computed Tomography Angiography; Coronary Artery Disease; Technology Assessment, Biomedical; Costs and Cost Analysis; Unified Health System.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2026-08-24T22:05:48Z</dcterms:created>
  <dcterms:modified xsi:type="dcterms:W3CDTF">2026-08-24T22:05:48Z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