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e5c834b2ed276e85e4db41e2b2057dedc96493"/>
    <w:p>
      <w:pPr>
        <w:pStyle w:val="Heading1"/>
      </w:pPr>
      <w:r>
        <w:t xml:space="preserve">Carta de apresentação — Arquivos Brasileiros de Cardiologia</w:t>
      </w:r>
    </w:p>
    <w:p>
      <w:pPr>
        <w:pStyle w:val="FirstParagraph"/>
      </w:pPr>
      <w:r>
        <w:t xml:space="preserve">[Cidade], [data]</w:t>
      </w:r>
    </w:p>
    <w:p>
      <w:pPr>
        <w:pStyle w:val="BodyText"/>
      </w:pPr>
      <w:r>
        <w:t xml:space="preserve">Ao Editor-Chefe dos Arquivos Brasileiros de Cardiologia</w:t>
      </w:r>
    </w:p>
    <w:p>
      <w:pPr>
        <w:pStyle w:val="BodyText"/>
      </w:pPr>
      <w:r>
        <w:t xml:space="preserve">Prezado Editor,</w:t>
      </w:r>
    </w:p>
    <w:p>
      <w:pPr>
        <w:pStyle w:val="BodyText"/>
      </w:pPr>
      <w:r>
        <w:t xml:space="preserve">Submetemos à apreciação o artigo original</w:t>
      </w:r>
      <w:r>
        <w:t xml:space="preserve"> </w:t>
      </w:r>
      <w:r>
        <w:rPr>
          <w:b/>
          <w:bCs/>
        </w:rPr>
        <w:t xml:space="preserve">“Onde a angiotomografia coronariana gera valor no Sistema Único de Saúde? Capacidade instalada, limiar orçamentário e o caso do filtro pré-cateterismo”</w:t>
      </w:r>
      <w:r>
        <w:t xml:space="preserve">.</w:t>
      </w:r>
    </w:p>
    <w:p>
      <w:pPr>
        <w:pStyle w:val="BodyText"/>
      </w:pPr>
      <w:r>
        <w:t xml:space="preserve">O trabalho responde a uma questão aberta pela Consulta Pública nº 73/2026 da Conitec, que recebeu recomendação preliminar desfavorável à incorporação da angioTC como primeira linha na dor torácica estável por incertezas de capacidade instalada e de impacto orçamentário. Três contribuições o distinguem das avaliações econômicas já publicadas, duas delas nesta revista: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É, a nosso conhecimento, a primeira análise a usar o CNES reclassificado por número de canais</w:t>
      </w:r>
      <w:r>
        <w:t xml:space="preserve"> </w:t>
      </w:r>
      <w:r>
        <w:t xml:space="preserve">(Portaria SAES/MS 3.695/2026) para medir a capacidade tomográfica compatível com angioTC: 432 equipamentos ≥64 canais em 315 estabelecimentos, como piso documentado, e 79 estabelecimentos no estrato de maior prontidão, com forte desigualdade regional.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Formula a pergunta econômica como análise de limiar</w:t>
      </w:r>
      <w:r>
        <w:t xml:space="preserve">, e não como estimativa pontual: sem identificador de paciente no SIA, projetar cateterismos evitados seria inferência ecológica. Calculamos, a cada preço, o Δ de cateterismo necessário para neutralidade, em dois PICOs e por estrato de probabilidade pré-teste, com o Δ de dez ensaios randomizados e uma metanálise.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Mostra que o valor econômico da tecnologia é propriedade da posição no percurso e do exame substituído, não do preço.</w:t>
      </w:r>
      <w:r>
        <w:t xml:space="preserve"> </w:t>
      </w:r>
      <w:r>
        <w:t xml:space="preserve">A mesma angioTC, ao mesmo preço, é expansiva quando somada ao percurso ou quando substitui a ergometria (76% do volume do SUS), entra na zona de incerteza quando substitui a cintilografia, e tem seu maior espaço como filtro antes da cinecoronariografia já indicada. Esse resultado reinterpreta a literatura existente — inclusive a análise recente na saúde suplementar publicada nesta revista, que modela o filtro, não a primeira linha — e converte a delimitação pedida pela Conitec em parâmetro de protocolo.</w:t>
      </w:r>
    </w:p>
    <w:p>
      <w:pPr>
        <w:pStyle w:val="FirstParagraph"/>
      </w:pPr>
      <w:r>
        <w:t xml:space="preserve">A análise usa exclusivamente bases públicas (CNES, SIA/SUS, SIH/SUS, SIGTAP, IBGE), é integralmente reproduzível por um único script (código e dados derivados já estão em repositório público, https://github.com/thyagosabo/angiotc-sus-cp73, com licenças CC BY 4.0 e MIT; um DOI Zenodo será atribuído à versão aceita), segue o CHEERS 2022 e teve suas regras de análise registradas antes da extração, com emendas declaradas.</w:t>
      </w:r>
    </w:p>
    <w:p>
      <w:pPr>
        <w:pStyle w:val="BodyText"/>
      </w:pPr>
      <w:r>
        <w:t xml:space="preserve">O manuscrito não foi publicado nem está sob avaliação em outro periódico. Uma versão resumida das seções de capacidade e limiar foi submetida como contribuição técnica à Consulta Pública nº 73/2026 da Conitec, o que declaramos por transparência; a consulta pública não constitui publicação científica. Todos os autores aprovaram a versão submetida e atendem aos critérios do ICMJE. Os conflitos de interesse estão declarados no manuscrito. Não houve financiamento.</w:t>
      </w:r>
    </w:p>
    <w:p>
      <w:pPr>
        <w:pStyle w:val="BodyText"/>
      </w:pPr>
      <w:r>
        <w:t xml:space="preserve">Sugerimos como revisores [a preencher pelos autores; evitar conflitos com o demandante da CP].</w:t>
      </w:r>
    </w:p>
    <w:p>
      <w:pPr>
        <w:pStyle w:val="BodyText"/>
      </w:pPr>
      <w:r>
        <w:t xml:space="preserve">Atenciosamente,</w:t>
      </w:r>
    </w:p>
    <w:p>
      <w:pPr>
        <w:pStyle w:val="BodyText"/>
      </w:pPr>
      <w:r>
        <w:t xml:space="preserve">[Autor correspondente], em nome de todos os autores</w:t>
      </w:r>
      <w:r>
        <w:t xml:space="preserve"> </w:t>
      </w:r>
      <w:r>
        <w:t xml:space="preserve">[Afiliação, e-mail, ORCID]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2026-08-24T22:05:48Z</dcterms:created>
  <dcterms:modified xsi:type="dcterms:W3CDTF">2026-08-24T22:05:48Z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