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8a0e69760d5885bcc65313418870cce0814cda"/>
    <w:p>
      <w:pPr>
        <w:pStyle w:val="Heading1"/>
      </w:pPr>
      <w:r>
        <w:t xml:space="preserve">Onde a angiotomografia coronariana gera valor no Sistema Único de Saúde? Capacidade instalada, limiar orçamentário e o caso do filtro pré-cateterismo</w:t>
      </w:r>
    </w:p>
    <w:bookmarkStart w:id="9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rPr>
          <w:b/>
          <w:bCs/>
        </w:rPr>
        <w:t xml:space="preserve">Fundamento:</w:t>
      </w:r>
      <w:r>
        <w:t xml:space="preserve"> </w:t>
      </w:r>
      <w:r>
        <w:t xml:space="preserve">A Conitec recomendou preliminarmente contra a angiotomografia coronariana (angioTC) como primeira linha na suspeita de doença coronariana estável com probabilidade pré-teste baixa ou intermediária, por incertezas de capacidade e orçamento. Falta perguntar</w:t>
      </w:r>
      <w:r>
        <w:t xml:space="preserve"> </w:t>
      </w:r>
      <w:r>
        <w:rPr>
          <w:i/>
          <w:iCs/>
        </w:rPr>
        <w:t xml:space="preserve">onde</w:t>
      </w:r>
      <w:r>
        <w:t xml:space="preserve">, não só</w:t>
      </w:r>
      <w:r>
        <w:t xml:space="preserve"> </w:t>
      </w:r>
      <w:r>
        <w:rPr>
          <w:i/>
          <w:iCs/>
        </w:rPr>
        <w:t xml:space="preserve">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Objetivos:</w:t>
      </w:r>
      <w:r>
        <w:t xml:space="preserve"> </w:t>
      </w:r>
      <w:r>
        <w:t xml:space="preserve">Caracterizar a capacidade tomográfica do SUS compatível com angioTC e em que posição do percurso ela é sustentável.</w:t>
      </w:r>
    </w:p>
    <w:p>
      <w:pPr>
        <w:pStyle w:val="BodyText"/>
      </w:pPr>
      <w:r>
        <w:rPr>
          <w:b/>
          <w:bCs/>
        </w:rPr>
        <w:t xml:space="preserve">Métodos:</w:t>
      </w:r>
      <w:r>
        <w:t xml:space="preserve"> </w:t>
      </w:r>
      <w:r>
        <w:t xml:space="preserve">Análise nacional sobre bases públicas: capacidade por canais após a Portaria SAES/MS 3.695/2026 e análise de limiar (Δ de cateterismo para neutralidade) em dois PICOs (primeira linha; filtro pré-cateterismo), com Δ de dez ensaios e uma metanálise, com e sem revascularização.</w:t>
      </w:r>
    </w:p>
    <w:p>
      <w:pPr>
        <w:pStyle w:val="BodyText"/>
      </w:pPr>
      <w:r>
        <w:rPr>
          <w:b/>
          <w:bCs/>
        </w:rPr>
        <w:t xml:space="preserve">Resultados:</w:t>
      </w:r>
      <w:r>
        <w:t xml:space="preserve"> </w:t>
      </w:r>
      <w:r>
        <w:t xml:space="preserve">No PICO agregado de primeira linha, os preços avaliados excedem a neutralidade: o exame substituído no SUS é sobretudo a ergometria (76% de 787.954 episódios/ano; R$ 32) e o melhor Δ observado (+4,1/100) não fecha R$ 550; na intermediária, só substituir cintilografia leva R$ 550 à zona de incerteza (R$ 458–560 com revascularização). No filtro pré-cateterismo o sinal inverte: Δ de 66–86/100 e neutralidade a R$ 482–625 (R$ 841–868 com revascularização). Dos 315 estabelecimentos com tomógrafo ≥64 canais (432, piso), 79 reúnem hemodinâmica e produção coronariana; doze UFs, nenhum.</w:t>
      </w:r>
    </w:p>
    <w:p>
      <w:pPr>
        <w:pStyle w:val="BodyText"/>
      </w:pPr>
      <w:r>
        <w:rPr>
          <w:b/>
          <w:bCs/>
        </w:rPr>
        <w:t xml:space="preserve">Conclusões:</w:t>
      </w:r>
      <w:r>
        <w:t xml:space="preserve"> </w:t>
      </w:r>
      <w:r>
        <w:t xml:space="preserve">A sustentabilidade orçamentária depende da posição no percurso e do exame substituído, não do preço: parâmetros que os registros não identificam e o protocolo define. A evidência econômica não sustenta decisão uniforme para a faixa baixa/intermediária; sustenta condicionar a incorporação ao posicionamento e ao exame substituído, como estratifica a Diretriz SBC de Síndrome Coronariana Crônica 2025, e avaliar o filtro em separado.</w:t>
      </w:r>
    </w:p>
    <w:p>
      <w:r>
        <w:pict>
          <v:rect style="width:0;height:1.5pt" o:hralign="center" o:hrstd="t" o:hr="t"/>
        </w:pict>
      </w:r>
    </w:p>
    <w:bookmarkEnd w:id="9"/>
    <w:bookmarkStart w:id="10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A investigação da dor torácica estável é uma porta de entrada de alto volume: em 2025 o SUS registrou 787.954 episódios de investigação funcional não invasiva, três quartos deles por teste ergométrico. Em 2026 a Sociedade Brasileira de Cardiologia submeteu à Conitec pedido de incorporação da angioTC como exame de primeira linha em pacientes sintomáticos com probabilidade pré-teste baixa ou intermediária. A recomendação preliminar, de 3 de julho de 2026, foi desfavorável, fundamentada em incertezas sobre capacidade instalada, delimitação da população elegível, comparadores e impacto real sobre cateterismos e testes funcionais.</w:t>
      </w:r>
      <w:r>
        <w:rPr>
          <w:vertAlign w:val="superscript"/>
        </w:rPr>
        <w:t xml:space="preserve">10,11</w:t>
      </w:r>
      <w:r>
        <w:t xml:space="preserve"> </w:t>
      </w:r>
      <w:r>
        <w:t xml:space="preserve">Este artigo argumenta que a pergunta decisiva não é</w:t>
      </w:r>
      <w:r>
        <w:t xml:space="preserve"> </w:t>
      </w:r>
      <w:r>
        <w:rPr>
          <w:i/>
          <w:iCs/>
        </w:rPr>
        <w:t xml:space="preserve">se</w:t>
      </w:r>
      <w:r>
        <w:t xml:space="preserve"> </w:t>
      </w:r>
      <w:r>
        <w:t xml:space="preserve">o SUS deve oferecer angioTC, mas</w:t>
      </w:r>
      <w:r>
        <w:t xml:space="preserve"> </w:t>
      </w:r>
      <w:r>
        <w:rPr>
          <w:i/>
          <w:iCs/>
        </w:rPr>
        <w:t xml:space="preserve">onde</w:t>
      </w:r>
      <w:r>
        <w:t xml:space="preserve"> </w:t>
      </w:r>
      <w:r>
        <w:t xml:space="preserve">ela entra no percurso, e que a resposta orçamentária muda de sinal conforme esse ponto.</w:t>
      </w:r>
    </w:p>
    <w:p>
      <w:pPr>
        <w:pStyle w:val="BodyText"/>
      </w:pPr>
      <w:r>
        <w:t xml:space="preserve">Duas décadas de ensaios randomizados de estratégia, entre eles SCOT-HEART,</w:t>
      </w:r>
      <w:r>
        <w:rPr>
          <w:vertAlign w:val="superscript"/>
        </w:rPr>
        <w:t xml:space="preserve">1,2</w:t>
      </w:r>
      <w:r>
        <w:t xml:space="preserve"> </w:t>
      </w:r>
      <w:r>
        <w:t xml:space="preserve">PROMISE</w:t>
      </w:r>
      <w:r>
        <w:rPr>
          <w:vertAlign w:val="superscript"/>
        </w:rPr>
        <w:t xml:space="preserve">3</w:t>
      </w:r>
      <w:r>
        <w:t xml:space="preserve"> </w:t>
      </w:r>
      <w:r>
        <w:t xml:space="preserve">e DISCHARGE,</w:t>
      </w:r>
      <w:r>
        <w:rPr>
          <w:vertAlign w:val="superscript"/>
        </w:rPr>
        <w:t xml:space="preserve">4</w:t>
      </w:r>
      <w:r>
        <w:t xml:space="preserve"> </w:t>
      </w:r>
      <w:r>
        <w:t xml:space="preserve">deram à angioTC recomendação de classe I nas diretrizes internacionais e brasileiras,</w:t>
      </w:r>
      <w:r>
        <w:rPr>
          <w:vertAlign w:val="superscript"/>
        </w:rPr>
        <w:t xml:space="preserve">5–9</w:t>
      </w:r>
      <w:r>
        <w:t xml:space="preserve"> </w:t>
      </w:r>
      <w:r>
        <w:t xml:space="preserve">quase todas estratificando a indicação por probabilidade pré-teste. A mais recente e específica, a Diretriz SBC de Síndrome Coronariana Crônica 2025,</w:t>
      </w:r>
      <w:r>
        <w:rPr>
          <w:vertAlign w:val="superscript"/>
        </w:rPr>
        <w:t xml:space="preserve">9</w:t>
      </w:r>
      <w:r>
        <w:t xml:space="preserve"> </w:t>
      </w:r>
      <w:r>
        <w:t xml:space="preserve">distingue a probabilidade baixa (IIb-B) da intermediária (I-A). O pedido submetido, calcado na Diretriz SBC/CBR de Tomografia e Ressonância de 2024,</w:t>
      </w:r>
      <w:r>
        <w:rPr>
          <w:vertAlign w:val="superscript"/>
        </w:rPr>
        <w:t xml:space="preserve">8</w:t>
      </w:r>
      <w:r>
        <w:t xml:space="preserve"> </w:t>
      </w:r>
      <w:r>
        <w:t xml:space="preserve">não faz essa distinção e trata</w:t>
      </w:r>
      <w:r>
        <w:t xml:space="preserve"> </w:t>
      </w:r>
      <w:r>
        <w:t xml:space="preserve">“baixa ou intermediária”</w:t>
      </w:r>
      <w:r>
        <w:t xml:space="preserve"> </w:t>
      </w:r>
      <w:r>
        <w:t xml:space="preserve">como faixa única.</w:t>
      </w:r>
    </w:p>
    <w:p>
      <w:pPr>
        <w:pStyle w:val="BodyText"/>
      </w:pPr>
      <w:r>
        <w:t xml:space="preserve">As avaliações econômicas brasileiras da angioTC</w:t>
      </w:r>
      <w:r>
        <w:rPr>
          <w:vertAlign w:val="superscript"/>
        </w:rPr>
        <w:t xml:space="preserve">12–15</w:t>
      </w:r>
      <w:r>
        <w:t xml:space="preserve"> </w:t>
      </w:r>
      <w:r>
        <w:t xml:space="preserve">não modelaram a capacidade instalada nem a dependência do posicionamento: o que a tecnologia substitui e em que ponto do percurso entra. Tampouco podiam contar tomógrafos por canais. Até janeiro de 2026 o cadastro nacional usava um código único de tomógrafo; a Portaria SAES/MS 3.695/2026</w:t>
      </w:r>
      <w:r>
        <w:rPr>
          <w:vertAlign w:val="superscript"/>
        </w:rPr>
        <w:t xml:space="preserve">16</w:t>
      </w:r>
      <w:r>
        <w:t xml:space="preserve"> </w:t>
      </w:r>
      <w:r>
        <w:t xml:space="preserve">o desmembrou por número de canais. Este estudo usa esse cadastro para caracterizar a capacidade compatível com angioTC e uma análise de limiar para determinar, por posição no percurso e estrato de probabilidade pré-teste, a que preço a tecnologia é neutra, com dados públicos e método reproduzível.</w:t>
      </w:r>
    </w:p>
    <w:bookmarkEnd w:id="10"/>
    <w:bookmarkStart w:id="11" w:name="métodos"/>
    <w:p>
      <w:pPr>
        <w:pStyle w:val="Heading2"/>
      </w:pPr>
      <w:r>
        <w:t xml:space="preserve">Métodos</w:t>
      </w:r>
    </w:p>
    <w:p>
      <w:pPr>
        <w:pStyle w:val="FirstParagraph"/>
      </w:pPr>
      <w:r>
        <w:rPr>
          <w:b/>
          <w:bCs/>
        </w:rPr>
        <w:t xml:space="preserve">Desenho e escopo.</w:t>
      </w:r>
      <w:r>
        <w:t xml:space="preserve"> </w:t>
      </w:r>
      <w:r>
        <w:t xml:space="preserve">Análise nacional baseada em modelo, na perspectiva do SUS como pagador e com horizonte de curto prazo: o episódio diagnóstico e os desfechos invasivos imediatos, sem modelar prognóstico. A dor torácica aguda está fora do escopo. A angioTC modelada é a anatômica, sem FFR-CT nem quantificação de placa. As regras de análise foram pré-registradas, com emendas declaradas (Texto S2), e o relato segue o CHEERS 2022.</w:t>
      </w:r>
      <w:r>
        <w:rPr>
          <w:vertAlign w:val="superscript"/>
        </w:rPr>
        <w:t xml:space="preserve">17</w:t>
      </w:r>
      <w:r>
        <w:t xml:space="preserve"> </w:t>
      </w:r>
      <w:r>
        <w:t xml:space="preserve">Por usar apenas dados públicos, agregados ou desidentificados, a análise dispensa apreciação ética (Resolução CNS 510/2016).</w:t>
      </w:r>
    </w:p>
    <w:p>
      <w:pPr>
        <w:pStyle w:val="BodyText"/>
      </w:pPr>
      <w:r>
        <w:rPr>
          <w:b/>
          <w:bCs/>
        </w:rPr>
        <w:t xml:space="preserve">Fontes.</w:t>
      </w:r>
      <w:r>
        <w:t xml:space="preserve"> </w:t>
      </w:r>
      <w:r>
        <w:t xml:space="preserve">CNES para equipamentos (06/2026); SIA/SUS e SIH/SUS para produção (2025, 27 UFs, todos os arquivos processados sem perda); SIGTAP para preços (08/2026); IBGE para população e IPCA. Acesso por FTP público (Tabela S1).</w:t>
      </w:r>
    </w:p>
    <w:p>
      <w:pPr>
        <w:pStyle w:val="BodyText"/>
      </w:pPr>
      <w:r>
        <w:rPr>
          <w:b/>
          <w:bCs/>
        </w:rPr>
        <w:t xml:space="preserve">Capacidade instalada.</w:t>
      </w:r>
      <w:r>
        <w:t xml:space="preserve"> </w:t>
      </w:r>
      <w:r>
        <w:t xml:space="preserve">A Portaria SAES/MS 3.695/2026 desmembrou o código genérico de tomógrafo em categorias por número de canais. Classificamos cada equipamento disponível ao SUS e em uso como compatível confirmado (≥64 canais, piso adotado por coerência com o NICE, a ESC e o relatório preliminar), incompatível confirmado (&lt;64) ou sem especificação declarada. Sobre os compatíveis, definimos estratos de prontidão crescente: hemodinâmica no mesmo estabelecimento e, além dela, produção coronariana invasiva registrada no SIH em 2025 (Tabela S2). A distribuição foi medida por densidade por milhão e a desigualdade por coeficiente de variação e Gini ponderado por população.</w:t>
      </w:r>
    </w:p>
    <w:p>
      <w:pPr>
        <w:pStyle w:val="BodyText"/>
      </w:pPr>
      <w:r>
        <w:rPr>
          <w:b/>
          <w:bCs/>
        </w:rPr>
        <w:t xml:space="preserve">Cenário atual.</w:t>
      </w:r>
      <w:r>
        <w:t xml:space="preserve"> </w:t>
      </w:r>
      <w:r>
        <w:t xml:space="preserve">Contabilizamos os episódios de investigação funcional (teste ergométrico, ecocardiografia de estresse, cintilografia de perfusão e cintilografia de câmaras), os cateterismos e as Ofertas de Cuidado Integrado (OCI) de síndrome coronariana crônica. A cintilografia de perfusão é registrada em dois códigos, estresse e repouso, etapas de um mesmo exame: contamos um episódio pelo código de estresse. O custo de cada episódio é o valor aprovado dividido pelo número de episódios: preços pagos, não custos de produção.</w:t>
      </w:r>
    </w:p>
    <w:p>
      <w:pPr>
        <w:pStyle w:val="BodyText"/>
      </w:pPr>
      <w:r>
        <w:rPr>
          <w:b/>
          <w:bCs/>
        </w:rPr>
        <w:t xml:space="preserve">Análise de limiar.</w:t>
      </w:r>
      <w:r>
        <w:t xml:space="preserve"> </w:t>
      </w:r>
      <w:r>
        <w:t xml:space="preserve">O SIA não tem identificador de paciente, e razões entre contagens agregadas não são probabilidades condicionais: não estimam quantos cateterismos a angioTC evitaria. Invertemos a pergunta e calculamos, a cada preço, o Δ de cateterismo total por 100 pacientes necessário para a neutralidade orçamentária. Na primeira linha, o preço de neutralidade é o custo do exame substituído mais o dos cateterismos induzidos, menos o das revascularizações induzidas. No filtro antes de uma cinecoronariografia eletiva já indicada, a investigação prévia é comum aos dois braços e se cancela, restando apenas o crédito dos cateterismos e revascularizações evitados. Adotamos C_CATE = R$ 730,14 (SIA 2025; sensibilidade a R$ 772,80, pela AIH) e os custos de revascularização do SIH 2025 (R$ 7.713 por angioplastia e R$ 25.904 por cirurgia); a revascularização não desagregada é valorada como angioplastia. Preços de referência: R$ 196,41 (TC de tórax com contraste, proxy), R$ 550,00 (demandante), R$ 622,54 (microcusteio de 2022</w:t>
      </w:r>
      <w:r>
        <w:rPr>
          <w:vertAlign w:val="superscript"/>
        </w:rPr>
        <w:t xml:space="preserve">14</w:t>
      </w:r>
      <w:r>
        <w:t xml:space="preserve"> </w:t>
      </w:r>
      <w:r>
        <w:t xml:space="preserve">corrigido pelo IPCA) e R$ 1.311,95 (saúde suplementar</w:t>
      </w:r>
      <w:r>
        <w:rPr>
          <w:vertAlign w:val="superscript"/>
        </w:rPr>
        <w:t xml:space="preserve">15</w:t>
      </w:r>
      <w:r>
        <w:t xml:space="preserve">). O exame substituído foi modelado em seis cenários, da adoção aditiva (a angioTC somada ao percurso, sem substituir nada) à substituição integral da cintilografia. Por estrato de probabilidade pré-teste, o comparador foi declarado como premissa, a partir das diretrizes e do julgamento clínico dos autores (Texto S2): na baixa, a ergometria ou nenhum exame; na intermediária, a imagem funcional que o serviço realizaria (no SUS, em escala, a cintilografia). As cotas anuais aplicam cada cenário, a R$ 550 e no ponto médio da faixa de Δ, ao volume de 2025 que ele pode substituir. Os Δ de cateterismo e de revascularização vêm de dez ensaios randomizados e uma metanálise,</w:t>
      </w:r>
      <w:r>
        <w:rPr>
          <w:vertAlign w:val="superscript"/>
        </w:rPr>
        <w:t xml:space="preserve">1,3,4,18–25</w:t>
      </w:r>
      <w:r>
        <w:t xml:space="preserve"> </w:t>
      </w:r>
      <w:r>
        <w:t xml:space="preserve">aplicados a cada PICO conforme o desenho de cada estudo (Tabela S4); o Δ de cateterismo da metanálise de Foy é pareado com a revascularização dos mesmos 13 ensaios. O cateterismo sem doença obstrutiva</w:t>
      </w:r>
      <w:r>
        <w:rPr>
          <w:vertAlign w:val="superscript"/>
        </w:rPr>
        <w:t xml:space="preserve">26</w:t>
      </w:r>
      <w:r>
        <w:t xml:space="preserve"> </w:t>
      </w:r>
      <w:r>
        <w:t xml:space="preserve">é reportado como eficiência diagnóstica, fora do cálculo.</w:t>
      </w:r>
    </w:p>
    <w:p>
      <w:pPr>
        <w:pStyle w:val="BodyText"/>
      </w:pPr>
      <w:r>
        <w:rPr>
          <w:b/>
          <w:bCs/>
        </w:rPr>
        <w:t xml:space="preserve">Reprodutibilidade.</w:t>
      </w:r>
      <w:r>
        <w:t xml:space="preserve"> </w:t>
      </w:r>
      <w:r>
        <w:t xml:space="preserve">Um único script regenera todas as tabelas dos microdados versionados e recusa cobertura parcial. Código e dados serão depositados em repositório público com DOI na publicação; até lá, disponíveis aos revisores.</w:t>
      </w:r>
    </w:p>
    <w:bookmarkEnd w:id="11"/>
    <w:bookmarkStart w:id="16" w:name="resultados"/>
    <w:p>
      <w:pPr>
        <w:pStyle w:val="Heading2"/>
      </w:pPr>
      <w:r>
        <w:t xml:space="preserve">Resultados</w:t>
      </w:r>
    </w:p>
    <w:bookmarkStart w:id="12" w:name="capacidade-instalada"/>
    <w:p>
      <w:pPr>
        <w:pStyle w:val="Heading3"/>
      </w:pPr>
      <w:r>
        <w:t xml:space="preserve">Capacidade instalada</w:t>
      </w:r>
    </w:p>
    <w:p>
      <w:pPr>
        <w:pStyle w:val="FirstParagraph"/>
      </w:pPr>
      <w:r>
        <w:t xml:space="preserve">Em junho de 2026, o SUS dispunha de 432 tomógrafos de ≥64 canais confirmados, em 315 estabelecimentos (Tabela 1). Esse número é um piso, não uma estimativa: 74,6% dos estabelecimentos ainda não haviam migrado do código genérico, de modo que 2.785 equipamentos permanecem sem especificação de canais e uma fração desconhecida deles é também compatível. Dos 315, 79 reúnem, além do hardware, hemodinâmica e produção coronariana invasiva documentada em 2025: o estrato com maior plausibilidade de implantar a angioTC sem adquirir tomógrafo.</w:t>
      </w:r>
    </w:p>
    <w:p>
      <w:pPr>
        <w:pStyle w:val="BodyText"/>
      </w:pPr>
      <w:r>
        <w:rPr>
          <w:b/>
          <w:bCs/>
        </w:rPr>
        <w:t xml:space="preserve">Tabela 1 — Parque tomográfico disponível ao SUS e estratos de prontidão (CNES 06/2026).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 / estrato</w:t>
            </w:r>
          </w:p>
        </w:tc>
        <w:tc>
          <w:tcPr/>
          <w:p>
            <w:pPr>
              <w:pStyle w:val="Compact"/>
            </w:pPr>
            <w:r>
              <w:t xml:space="preserve">Estabelecimentos</w:t>
            </w:r>
          </w:p>
        </w:tc>
        <w:tc>
          <w:tcPr/>
          <w:p>
            <w:pPr>
              <w:pStyle w:val="Compact"/>
            </w:pPr>
            <w:r>
              <w:t xml:space="preserve">Equipamentos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Compatível confirmado (≥64 canais)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432 (293 de 64; 139 de 128)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Incompatível confirmado (&lt;64)</w:t>
            </w:r>
          </w:p>
        </w:tc>
        <w:tc>
          <w:tcPr/>
          <w:p>
            <w:pPr>
              <w:pStyle w:val="Compact"/>
            </w:pPr>
            <w:r>
              <w:t xml:space="preserve">672</w:t>
            </w:r>
          </w:p>
        </w:tc>
        <w:tc>
          <w:tcPr/>
          <w:p>
            <w:pPr>
              <w:pStyle w:val="Compact"/>
            </w:pPr>
            <w:r>
              <w:t xml:space="preserve">736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Especificação não declarada</w:t>
            </w:r>
          </w:p>
        </w:tc>
        <w:tc>
          <w:tcPr/>
          <w:p>
            <w:pPr>
              <w:pStyle w:val="Compact"/>
            </w:pPr>
            <w:r>
              <w:t xml:space="preserve">2.534</w:t>
            </w:r>
          </w:p>
        </w:tc>
        <w:tc>
          <w:tcPr/>
          <w:p>
            <w:pPr>
              <w:pStyle w:val="Compact"/>
            </w:pPr>
            <w:r>
              <w:t xml:space="preserve">2.785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Parque total</w:t>
            </w:r>
          </w:p>
        </w:tc>
        <w:tc>
          <w:tcPr/>
          <w:p>
            <w:pPr>
              <w:pStyle w:val="Compact"/>
            </w:pPr>
            <w:r>
              <w:t xml:space="preserve">3.395</w:t>
            </w:r>
          </w:p>
        </w:tc>
        <w:tc>
          <w:tcPr/>
          <w:p>
            <w:pPr>
              <w:pStyle w:val="Compact"/>
            </w:pPr>
            <w:r>
              <w:t xml:space="preserve">3.953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≥64 + hemodinâmica no mesmo estabelecimento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≥64 + produção coronariana invasiva em 2025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≥64 + hemodinâmica + produção coronariana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As camadas se sobrepõem por estabelecimento (77 têm equipamentos ≥64 e &lt;64; 49 têm reclassificados e genéricos): a coluna de estabelecimentos soma 3.521 = 3.395 + 77 + 49; a de equipamentos soma exatamente.</w:t>
      </w:r>
    </w:p>
    <w:p>
      <w:pPr>
        <w:pStyle w:val="BodyText"/>
      </w:pPr>
      <w:r>
        <w:t xml:space="preserve">A capacidade compatível é escassa e desigual: 2,02 equipamentos ≥64 canais por milhão de habitantes; Amapá, Piauí e Tocantins não têm nenhum, e doze UFs não têm estabelecimento pronto. A desigualdade é mais acentuada sobre o hardware compatível do que sobre o parque total (coeficiente de variação 0,86 contra 0,32; Gini 0,30 contra 0,14), de modo que projeções ancoradas no total de tomógrafos superestimam a capacidade de fato acessível (Figura 1).</w:t>
      </w:r>
    </w:p>
    <w:bookmarkEnd w:id="12"/>
    <w:bookmarkStart w:id="13" w:name="cenário-atual"/>
    <w:p>
      <w:pPr>
        <w:pStyle w:val="Heading3"/>
      </w:pPr>
      <w:r>
        <w:t xml:space="preserve">Cenário atual</w:t>
      </w:r>
    </w:p>
    <w:p>
      <w:pPr>
        <w:pStyle w:val="FirstParagraph"/>
      </w:pPr>
      <w:r>
        <w:t xml:space="preserve">Em 2025 o SUS realizou 787.954 episódios de investigação funcional, a R$ 146,1 milhões (R$ 185,46 por episódio). Volume e gasto moram em exames diferentes: o teste ergométrico responde por 76% dos episódios e 13% do gasto (R$ 32 cada); a cintilografia de perfusão, por 19% e 82% (R$ 787 cada). A ecocardiografia de estresse somou 33.766 episódios (R$ 196 cada) e as OCI de síndrome coronariana crônica, apenas 0,96% do total. Houve 163.803 cateterismos (R$ 730,14), 133.934 angioplastias (R$ 7.713) e 23.290 revascularizações cirúrgicas (R$ 25.904). Não existe código para a angioTC, e o de contraste para tomografia tem faturamento zero: a produção que exista é administrativamente invisível.</w:t>
      </w:r>
    </w:p>
    <w:bookmarkEnd w:id="13"/>
    <w:bookmarkStart w:id="14" w:name="análise-de-limiar"/>
    <w:p>
      <w:pPr>
        <w:pStyle w:val="Heading3"/>
      </w:pPr>
      <w:r>
        <w:t xml:space="preserve">Análise de limiar</w:t>
      </w:r>
    </w:p>
    <w:p>
      <w:pPr>
        <w:pStyle w:val="FirstParagraph"/>
      </w:pPr>
      <w:r>
        <w:t xml:space="preserve">Nos ensaios de primeira linha, o Δ de cateterismo variou de −6,3 (CAPP) a +4,1 por 100 (PRECISE); contra cateterismo direto, de 66,0 (CONSERVE) a 85,6 (CAD-MAN) (Figura 2; Tabela S3). O preço de neutralidade depende do que a angioTC substitui e de onde entra (Tabela 2).</w:t>
      </w:r>
    </w:p>
    <w:p>
      <w:pPr>
        <w:pStyle w:val="BodyText"/>
      </w:pPr>
      <w:r>
        <w:t xml:space="preserve">Como primeira linha, no PICO agregado, nenhum preço plausível fecha. Sem substituir nada (a adoção aditiva, cenário de referência quando não há protocolo), o teto de neutralidade é R$ 30 por exame, abaixo do menor preço de referência. Com o comparador que as diretrizes indicam em cada faixa, não melhora: na probabilidade baixa (nenhum exame ou ergometria), R$ 550 está muito fora do alcance; na intermediária, só entra na zona de incerteza quando substitui a cintilografia, e ainda assim a revascularização induzida o traz de volta a R$ 458–560. Substituindo a ecocardiografia, R$ 550 fica fora. O nicho da cintilografia tem no máximo 151.784 episódios por ano, e a fração substituível é menor: parte é feita em doença conhecida e parte em pacientes idosos, obesos, com fibrilação atrial ou calcificação extensa, nos quais a angioTC rende pior. A média não estratificada é puxada para o estrato baixo, porque três quartos do volume atual são ergometria. Ao preço da saúde suplementar, a primeira linha substituindo o mix médio exigiria mais cateterismos evitados do que pacientes (154 por 100).</w:t>
      </w:r>
    </w:p>
    <w:p>
      <w:pPr>
        <w:pStyle w:val="BodyText"/>
      </w:pPr>
      <w:r>
        <w:t xml:space="preserve">Como filtro antes de um cateterismo já indicado, o sinal se inverte. O exame prévio se cancela, o preço de neutralidade fica em R$ 482–625 só com exames e sobe para R$ 841–868 quando se credita a revascularização evitada. Ao preço proposto de R$ 550, o limiar exigido é 75,3 cateterismos evitados por 100, que o DISCHARGE (75,1) praticamente alcança em pacientes já referenciados ao cateterismo, enquanto o melhor Δ de primeira linha é apenas 4,1. O mesmo limiar de 75,3 aparece na adoção aditiva porque, sem substituição, a equação é a do filtro; o que muda é a origem do Δ.</w:t>
      </w:r>
    </w:p>
    <w:p>
      <w:pPr>
        <w:pStyle w:val="BodyText"/>
      </w:pPr>
      <w:r>
        <w:rPr>
          <w:b/>
          <w:bCs/>
        </w:rPr>
        <w:t xml:space="preserve">Tabela 2 — Preço de neutralidade da angioTC por estrato de probabilidade pré-teste, comparador (premissa) e posição no percurso; Δ observado nos ensaios, com e sem revascularização.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</w:pPr>
            <w:r>
              <w:t xml:space="preserve">Comparador (premissa)</w:t>
            </w:r>
          </w:p>
        </w:tc>
        <w:tc>
          <w:tcPr/>
          <w:p>
            <w:pPr>
              <w:pStyle w:val="Compact"/>
            </w:pPr>
            <w:r>
              <w:t xml:space="preserve">C_subst.</w:t>
            </w:r>
          </w:p>
        </w:tc>
        <w:tc>
          <w:tcPr/>
          <w:p>
            <w:pPr>
              <w:pStyle w:val="Compact"/>
            </w:pPr>
            <w:r>
              <w:t xml:space="preserve">Só exames + cateterismo</w:t>
            </w:r>
          </w:p>
        </w:tc>
        <w:tc>
          <w:tcPr/>
          <w:p>
            <w:pPr>
              <w:pStyle w:val="Compact"/>
            </w:pPr>
            <w:r>
              <w:t xml:space="preserve">Com revascularização</w:t>
            </w:r>
          </w:p>
        </w:tc>
        <w:tc>
          <w:tcPr/>
          <w:p>
            <w:pPr>
              <w:pStyle w:val="Compact"/>
            </w:pPr>
            <w:r>
              <w:t xml:space="preserve">Δ exigido a R$ 550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protocolo (qualquer estrato)</w:t>
            </w:r>
          </w:p>
        </w:tc>
        <w:tc>
          <w:tcPr/>
          <w:p>
            <w:pPr>
              <w:pStyle w:val="Compact"/>
            </w:pPr>
            <w:r>
              <w:t xml:space="preserve">adoção aditiva (nada substituído)</w:t>
            </w:r>
          </w:p>
        </w:tc>
        <w:tc>
          <w:tcPr/>
          <w:p>
            <w:pPr>
              <w:pStyle w:val="Compact"/>
            </w:pPr>
            <w:r>
              <w:t xml:space="preserve">R$ 0</w:t>
            </w:r>
          </w:p>
        </w:tc>
        <w:tc>
          <w:tcPr/>
          <w:p>
            <w:pPr>
              <w:pStyle w:val="Compact"/>
            </w:pPr>
            <w:r>
              <w:t xml:space="preserve">R$ −46 a +30 (SCOT-HEART: −3 a +4)</w:t>
            </w:r>
          </w:p>
        </w:tc>
        <w:tc>
          <w:tcPr/>
          <w:p>
            <w:pPr>
              <w:pStyle w:val="Compact"/>
            </w:pPr>
            <w:r>
              <w:t xml:space="preserve">R$ −122 a −41</w:t>
            </w:r>
          </w:p>
        </w:tc>
        <w:tc>
          <w:tcPr/>
          <w:p>
            <w:pPr>
              <w:pStyle w:val="Compact"/>
            </w:pPr>
            <w:r>
              <w:t xml:space="preserve">75,3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teste ergométrico</w:t>
            </w:r>
          </w:p>
        </w:tc>
        <w:tc>
          <w:tcPr/>
          <w:p>
            <w:pPr>
              <w:pStyle w:val="Compact"/>
            </w:pPr>
            <w:r>
              <w:t xml:space="preserve">R$ 32</w:t>
            </w:r>
          </w:p>
        </w:tc>
        <w:tc>
          <w:tcPr/>
          <w:p>
            <w:pPr>
              <w:pStyle w:val="Compact"/>
            </w:pPr>
            <w:r>
              <w:t xml:space="preserve">R$ −14 a +62</w:t>
            </w:r>
          </w:p>
        </w:tc>
        <w:tc>
          <w:tcPr/>
          <w:p>
            <w:pPr>
              <w:pStyle w:val="Compact"/>
            </w:pPr>
            <w:r>
              <w:t xml:space="preserve">R$ −297 a −195</w:t>
            </w:r>
          </w:p>
        </w:tc>
        <w:tc>
          <w:tcPr/>
          <w:p>
            <w:pPr>
              <w:pStyle w:val="Compact"/>
            </w:pPr>
            <w:r>
              <w:t xml:space="preserve">70,9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estratificado (PICO submetido)</w:t>
            </w:r>
          </w:p>
        </w:tc>
        <w:tc>
          <w:tcPr/>
          <w:p>
            <w:pPr>
              <w:pStyle w:val="Compact"/>
            </w:pPr>
            <w:r>
              <w:t xml:space="preserve">mix médio do SIA</w:t>
            </w:r>
          </w:p>
        </w:tc>
        <w:tc>
          <w:tcPr/>
          <w:p>
            <w:pPr>
              <w:pStyle w:val="Compact"/>
            </w:pPr>
            <w:r>
              <w:t xml:space="preserve">R$ 185</w:t>
            </w:r>
          </w:p>
        </w:tc>
        <w:tc>
          <w:tcPr/>
          <w:p>
            <w:pPr>
              <w:pStyle w:val="Compact"/>
            </w:pPr>
            <w:r>
              <w:t xml:space="preserve">R$ 139 a 215</w:t>
            </w:r>
          </w:p>
        </w:tc>
        <w:tc>
          <w:tcPr/>
          <w:p>
            <w:pPr>
              <w:pStyle w:val="Compact"/>
            </w:pPr>
            <w:r>
              <w:t xml:space="preserve">R$ −144 a −42</w:t>
            </w:r>
          </w:p>
        </w:tc>
        <w:tc>
          <w:tcPr/>
          <w:p>
            <w:pPr>
              <w:pStyle w:val="Compact"/>
            </w:pPr>
            <w:r>
              <w:t xml:space="preserve">49,9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Intermediária, sensibilidade</w:t>
            </w:r>
          </w:p>
        </w:tc>
        <w:tc>
          <w:tcPr/>
          <w:p>
            <w:pPr>
              <w:pStyle w:val="Compact"/>
            </w:pPr>
            <w:r>
              <w:t xml:space="preserve">ecocardiografia de estresse</w:t>
            </w:r>
          </w:p>
        </w:tc>
        <w:tc>
          <w:tcPr/>
          <w:p>
            <w:pPr>
              <w:pStyle w:val="Compact"/>
            </w:pPr>
            <w:r>
              <w:t xml:space="preserve">R$ 196</w:t>
            </w:r>
          </w:p>
        </w:tc>
        <w:tc>
          <w:tcPr/>
          <w:p>
            <w:pPr>
              <w:pStyle w:val="Compact"/>
            </w:pPr>
            <w:r>
              <w:t xml:space="preserve">R$ 150 a 226</w:t>
            </w:r>
          </w:p>
        </w:tc>
        <w:tc>
          <w:tcPr/>
          <w:p>
            <w:pPr>
              <w:pStyle w:val="Compact"/>
            </w:pPr>
            <w:r>
              <w:t xml:space="preserve">R$ −133 a −31</w:t>
            </w:r>
          </w:p>
        </w:tc>
        <w:tc>
          <w:tcPr/>
          <w:p>
            <w:pPr>
              <w:pStyle w:val="Compact"/>
            </w:pPr>
            <w:r>
              <w:t xml:space="preserve">48,4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Intermediária, com protocolo (base)</w:t>
            </w:r>
          </w:p>
        </w:tc>
        <w:tc>
          <w:tcPr/>
          <w:p>
            <w:pPr>
              <w:pStyle w:val="Compact"/>
            </w:pPr>
            <w:r>
              <w:t xml:space="preserve">cintilografia de perfusão</w:t>
            </w:r>
          </w:p>
        </w:tc>
        <w:tc>
          <w:tcPr/>
          <w:p>
            <w:pPr>
              <w:pStyle w:val="Compact"/>
            </w:pPr>
            <w:r>
              <w:t xml:space="preserve">R$ 787</w:t>
            </w:r>
          </w:p>
        </w:tc>
        <w:tc>
          <w:tcPr/>
          <w:p>
            <w:pPr>
              <w:pStyle w:val="Compact"/>
            </w:pPr>
            <w:r>
              <w:t xml:space="preserve">R$ 741 a 817</w:t>
            </w:r>
          </w:p>
        </w:tc>
        <w:tc>
          <w:tcPr/>
          <w:p>
            <w:pPr>
              <w:pStyle w:val="Compact"/>
            </w:pPr>
            <w:r>
              <w:t xml:space="preserve">R$ 458 a 560</w:t>
            </w:r>
          </w:p>
        </w:tc>
        <w:tc>
          <w:tcPr/>
          <w:p>
            <w:pPr>
              <w:pStyle w:val="Compact"/>
            </w:pPr>
            <w:r>
              <w:t xml:space="preserve">já neutro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Cateterismo já indicado (filtro)</w:t>
            </w:r>
          </w:p>
        </w:tc>
        <w:tc>
          <w:tcPr/>
          <w:p>
            <w:pPr>
              <w:pStyle w:val="Compact"/>
            </w:pPr>
            <w:r>
              <w:t xml:space="preserve">cateterismo direto (CONSERVE / Reis / DISCHARGE / CAD-MAN)</w:t>
            </w:r>
          </w:p>
        </w:tc>
        <w:tc>
          <w:tcPr/>
          <w:p>
            <w:pPr>
              <w:pStyle w:val="Compact"/>
            </w:pPr>
            <w:r>
              <w:t xml:space="preserve">cancela</w:t>
            </w:r>
          </w:p>
        </w:tc>
        <w:tc>
          <w:tcPr/>
          <w:p>
            <w:pPr>
              <w:pStyle w:val="Compact"/>
            </w:pPr>
            <w:r>
              <w:t xml:space="preserve">R$ 482 / 527 / 548 / 625</w:t>
            </w:r>
          </w:p>
        </w:tc>
        <w:tc>
          <w:tcPr/>
          <w:p>
            <w:pPr>
              <w:pStyle w:val="Compact"/>
            </w:pPr>
            <w:r>
              <w:t xml:space="preserve">R$ 841 (DISCHARGE); R$ 868 (CONSERVE)</w:t>
            </w:r>
          </w:p>
        </w:tc>
        <w:tc>
          <w:tcPr/>
          <w:p>
            <w:pPr>
              <w:pStyle w:val="Compact"/>
            </w:pPr>
            <w:r>
              <w:t xml:space="preserve">75,3</w:t>
            </w:r>
          </w:p>
        </w:tc>
      </w:tr>
    </w:tbl>
    <w:p>
      <w:pPr>
        <w:pStyle w:val="BodyText"/>
      </w:pPr>
      <w:r>
        <w:t xml:space="preserve">Notas: Δ de cateterismo de primeira linha de −6,3 a +4,1 por 100. A coluna com revascularização pareia cada Δ de cateterismo com a revascularização do mesmo estudo (PRECISE, +4,0/100, −R$ 359; Foy, 13 ensaios, +2,7/100, −R$ 208), por isso varre faixa mais estreita que a coluna sem revascularização; esse envelope superestima o débito na baixa; SCOT-HEART (+1,5 e +0,6/100) no aditivo; DISCHARGE (−3,8/100; +R$ 293) e CONSERVE (−5,0/100; +R$ 386) no filtro. Com C_CATE = R$ 772,80, o filtro vai a R$ 510–662. Cenários adicionais (diferimento na baixa; percurso misto adotado pelo NATS, núcleo de avaliação de tecnologias do relatório preliminar, por episódio; descritivo sem protocolo, ergometria seguida de imagem em fração p ≤ 0,31) na Tabela S8.</w:t>
      </w:r>
    </w:p>
    <w:bookmarkEnd w:id="14"/>
    <w:bookmarkStart w:id="15" w:name="Xa81756b591421ff53b300d52afe744c9786a2be"/>
    <w:p>
      <w:pPr>
        <w:pStyle w:val="Heading3"/>
      </w:pPr>
      <w:r>
        <w:t xml:space="preserve">Eficiência diagnóstica e ordem de grandeza anual</w:t>
      </w:r>
    </w:p>
    <w:p>
      <w:pPr>
        <w:pStyle w:val="FirstParagraph"/>
      </w:pPr>
      <w:r>
        <w:t xml:space="preserve">Num segundo desfecho, eficiência diagnóstica fora do cálculo econômico, a angioTC evita cateterismos sem doença obstrutiva em ambos os PICOs: de 0,9 a 5,9 por 100 contra estratégias funcionais (OR 0,77, IC95% 0,64–0,94, nos estudos de alta certeza) e de 53,7 a 81,0 por 100 contra cateterismo direto.</w:t>
      </w:r>
      <w:r>
        <w:rPr>
          <w:vertAlign w:val="superscript"/>
        </w:rPr>
        <w:t xml:space="preserve">26</w:t>
      </w:r>
      <w:r>
        <w:t xml:space="preserve"> </w:t>
      </w:r>
      <w:r>
        <w:t xml:space="preserve">A direção favorece a angioTC consistentemente: o ganho de adequação da indicação é o benefício mais robusto no curto prazo (Tabela S6). Em ordem de grandeza anual, a R$ 550 e sobre o volume substituível, a adoção aditiva somaria +R$ 440 milhões; a substituição da cintilografia, −R$ 35 a +R$ 6 milhões; o filtro, +R$ 11 a −R$ 48 milhões. São cotas, não impacto orçamentário: a população elegível é fração não identificável dos denominadores (Tabela S7; Figura S1).</w:t>
      </w:r>
    </w:p>
    <w:bookmarkEnd w:id="15"/>
    <w:bookmarkEnd w:id="16"/>
    <w:bookmarkStart w:id="23" w:name="discussão"/>
    <w:p>
      <w:pPr>
        <w:pStyle w:val="Heading2"/>
      </w:pPr>
      <w:r>
        <w:t xml:space="preserve">Discussão</w:t>
      </w:r>
    </w:p>
    <w:bookmarkStart w:id="17" w:name="achado-principal"/>
    <w:p>
      <w:pPr>
        <w:pStyle w:val="Heading3"/>
      </w:pPr>
      <w:r>
        <w:t xml:space="preserve">Achado principal</w:t>
      </w:r>
    </w:p>
    <w:p>
      <w:pPr>
        <w:pStyle w:val="FirstParagraph"/>
      </w:pPr>
      <w:r>
        <w:t xml:space="preserve">Uma mesma tecnologia, ao mesmo preço, é orçamentariamente expansiva ou fica na zona de incerteza conforme três parâmetros: onde entra no percurso, o que substitui e quanta revascularização induz. Nenhum é identificável nos registros brasileiros; mas o que os registros não dizem, as diretrizes dizem, e declarar o comparador realista de cada faixa como premissa converte a limitação em resultado.</w:t>
      </w:r>
    </w:p>
    <w:p>
      <w:pPr>
        <w:pStyle w:val="BodyText"/>
      </w:pPr>
      <w:r>
        <w:t xml:space="preserve">Na probabilidade baixa, as diretrizes recomendam diferir ou usar escore de cálcio, enquanto o SUS faz uma ergometria de R$ 32: a angioTC não substitui nada de valor e é expansiva a qualquer preço plausível. Na intermediária, a ecocardiografia a R$ 196 não financia a troca; a cintilografia a R$ 787 financia, até que a revascularização adicional traga o preço de neutralidade de volta a R$ 458–560, cercando os R$ 550 propostos. Só no filtro antes de uma cinecoronariografia já indicada a angioTC cruza o limiar com folga.</w:t>
      </w:r>
    </w:p>
    <w:p>
      <w:pPr>
        <w:pStyle w:val="BodyText"/>
      </w:pPr>
      <w:r>
        <w:t xml:space="preserve">O cenário aditivo, a angioTC somada ao percurso sem substituir nada, é o mais desfavorável e, a nosso juízo, o mais provável se a incorporação criar o código sem protocolo. No SUS, a ergometria costuma preceder o encaminhamento ao cardiologista, e a própria Diretriz SBC de SCC 2025 sugere,</w:t>
      </w:r>
      <w:r>
        <w:t xml:space="preserve"> </w:t>
      </w:r>
      <w:r>
        <w:t xml:space="preserve">“se [capacidade funcional] preservada, iniciar com TE ou ecocardiograma de estresse”</w:t>
      </w:r>
      <w:r>
        <w:t xml:space="preserve">;</w:t>
      </w:r>
      <w:r>
        <w:rPr>
          <w:vertAlign w:val="superscript"/>
        </w:rPr>
        <w:t xml:space="preserve">9</w:t>
      </w:r>
      <w:r>
        <w:t xml:space="preserve"> </w:t>
      </w:r>
      <w:r>
        <w:t xml:space="preserve">uma angioTC solicitada na especialidade chega depois dela, não em seu lugar. É juízo sobre implementação, não medida. Assim,</w:t>
      </w:r>
      <w:r>
        <w:t xml:space="preserve"> </w:t>
      </w:r>
      <w:r>
        <w:t xml:space="preserve">“primeira linha”</w:t>
      </w:r>
      <w:r>
        <w:t xml:space="preserve"> </w:t>
      </w:r>
      <w:r>
        <w:t xml:space="preserve">no SUS como ele é significa substituir a ergometria, e isso não fecha a nenhum preço plausível. A angioTC paga quando entra depois da ergometria: no lugar do encaminhamento à cintilografia (intermediária com protocolo) ou da cinecoronariografia eletiva já indicada (filtro). Capacidade e posicionamento apontam para o mesmo lugar: os 79 estabelecimentos prontos são hospitais com hemodinâmica, exatamente onde o paciente referenciado ao cateterismo já está.</w:t>
      </w:r>
    </w:p>
    <w:bookmarkEnd w:id="17"/>
    <w:bookmarkStart w:id="18" w:name="o-que-dizem-as-diretrizes"/>
    <w:p>
      <w:pPr>
        <w:pStyle w:val="Heading3"/>
      </w:pPr>
      <w:r>
        <w:t xml:space="preserve">O que dizem as diretrizes</w:t>
      </w:r>
    </w:p>
    <w:p>
      <w:pPr>
        <w:pStyle w:val="FirstParagraph"/>
      </w:pPr>
      <w:r>
        <w:t xml:space="preserve">Das cinco diretrizes vigentes, apenas o NICE</w:t>
      </w:r>
      <w:r>
        <w:rPr>
          <w:vertAlign w:val="superscript"/>
        </w:rPr>
        <w:t xml:space="preserve">5</w:t>
      </w:r>
      <w:r>
        <w:t xml:space="preserve"> </w:t>
      </w:r>
      <w:r>
        <w:t xml:space="preserve">posiciona a angioTC como primeira linha uniforme na faixa</w:t>
      </w:r>
      <w:r>
        <w:t xml:space="preserve"> </w:t>
      </w:r>
      <w:r>
        <w:t xml:space="preserve">“baixa ou intermediária”</w:t>
      </w:r>
      <w:r>
        <w:t xml:space="preserve">; as demais estratificam (Tabela S5). A ESC 2024</w:t>
      </w:r>
      <w:r>
        <w:rPr>
          <w:vertAlign w:val="superscript"/>
        </w:rPr>
        <w:t xml:space="preserve">7</w:t>
      </w:r>
      <w:r>
        <w:t xml:space="preserve"> </w:t>
      </w:r>
      <w:r>
        <w:t xml:space="preserve">a considera preferida só na probabilidade de 5–50% e recomenda imagem funcional a partir de 15%. A AHA/ACC 2021</w:t>
      </w:r>
      <w:r>
        <w:rPr>
          <w:vertAlign w:val="superscript"/>
        </w:rPr>
        <w:t xml:space="preserve">6</w:t>
      </w:r>
      <w:r>
        <w:t xml:space="preserve"> </w:t>
      </w:r>
      <w:r>
        <w:t xml:space="preserve">trata angioTC e imagem de estresse como co-iguais no risco intermediário-alto e, no baixo, recomenda escore de cálcio ou ergometria. O pedido submetido reproduz a formulação da Diretriz SBC/CBR de TC/RM 2024,</w:t>
      </w:r>
      <w:r>
        <w:rPr>
          <w:vertAlign w:val="superscript"/>
        </w:rPr>
        <w:t xml:space="preserve">8</w:t>
      </w:r>
      <w:r>
        <w:t xml:space="preserve"> </w:t>
      </w:r>
      <w:r>
        <w:t xml:space="preserve">que não distingue as faixas; mas a Diretriz SBC de Síndrome Coronariana Crônica 2025,</w:t>
      </w:r>
      <w:r>
        <w:rPr>
          <w:vertAlign w:val="superscript"/>
        </w:rPr>
        <w:t xml:space="preserve">9</w:t>
      </w:r>
      <w:r>
        <w:t xml:space="preserve"> </w:t>
      </w:r>
      <w:r>
        <w:t xml:space="preserve">posterior e específica, separa a baixa (IIb-B) da intermediária (I-A) e condiciona a escolha do exame inicial ao serviço e ao paciente: capacidade funcional, ECG basal, acesso local e função renal. A diretriz não diz qual exame a angioTC substitui; diz que depende, que é a tese deste artigo. O filtro antes de cinecoronariografia já indicada é endossado, em graus diferentes, por quatro das cinco diretrizes, e é a indicação com maior espaço econômico, embora não seja a requerida.</w:t>
      </w:r>
    </w:p>
    <w:bookmarkEnd w:id="18"/>
    <w:bookmarkStart w:id="19" w:name="capacidade"/>
    <w:p>
      <w:pPr>
        <w:pStyle w:val="Heading3"/>
      </w:pPr>
      <w:r>
        <w:t xml:space="preserve">Capacidade</w:t>
      </w:r>
    </w:p>
    <w:p>
      <w:pPr>
        <w:pStyle w:val="FirstParagraph"/>
      </w:pPr>
      <w:r>
        <w:t xml:space="preserve">O CNES agora permite contar tomógrafos por canais, mas 74,6% dos estabelecimentos ainda não migraram: os 432 são piso. Dos 432, 293 são de 64 canais, faixa em que gerações antigas entregam dose muito maior em aquisição retrospectiva; o CNES não registra geração nem ano, mais um motivo para tratar</w:t>
      </w:r>
      <w:r>
        <w:t xml:space="preserve"> </w:t>
      </w:r>
      <w:r>
        <w:t xml:space="preserve">“≥64”</w:t>
      </w:r>
      <w:r>
        <w:t xml:space="preserve"> </w:t>
      </w:r>
      <w:r>
        <w:t xml:space="preserve">como piso. O estrato de 79 é o de maior plausibilidade de implantação sem comprar tomógrafo, mas software, sincronização, injetora e leitores habilitados não constam do cadastro. O gargalo previsível é a equipe, não o equipamento: o telelaudo supre a leitura, não a aquisição. Os 236 estabelecimentos com ≥64 canais sem hemodinâmica são onde uma angioTC negativa evita a referência e o deslocamento do paciente; para o filtro, o estrato de 79 é conservador, não teto. Com doze UFs sem estabelecimento pronto, incorporar sem estratégia regional consolidaria a desigualdade.</w:t>
      </w:r>
    </w:p>
    <w:bookmarkEnd w:id="19"/>
    <w:bookmarkStart w:id="20" w:name="X21724466955795d425e4022be45fd0d969d9249"/>
    <w:p>
      <w:pPr>
        <w:pStyle w:val="Heading3"/>
      </w:pPr>
      <w:r>
        <w:t xml:space="preserve">A literatura econômica, lida pela mesma chave</w:t>
      </w:r>
    </w:p>
    <w:p>
      <w:pPr>
        <w:pStyle w:val="FirstParagraph"/>
      </w:pPr>
      <w:r>
        <w:t xml:space="preserve">Os ensaios com desfecho de custo confirmam o sinal que a Tabela 2 prevê. O PROMISE, com comparador majoritariamente cintilográfico, não encontrou economia aos 90 dias nem aos 3 anos.</w:t>
      </w:r>
      <w:r>
        <w:rPr>
          <w:vertAlign w:val="superscript"/>
        </w:rPr>
        <w:t xml:space="preserve">27</w:t>
      </w:r>
      <w:r>
        <w:t xml:space="preserve"> </w:t>
      </w:r>
      <w:r>
        <w:t xml:space="preserve">O SCOT-HEART custou +US$ 462 por paciente aos 6 meses, sem diferença a jusante.</w:t>
      </w:r>
      <w:r>
        <w:rPr>
          <w:vertAlign w:val="superscript"/>
        </w:rPr>
        <w:t xml:space="preserve">1</w:t>
      </w:r>
      <w:r>
        <w:t xml:space="preserve"> </w:t>
      </w:r>
      <w:r>
        <w:t xml:space="preserve">O PRECISE reduziu o custo diagnóstico em 27% mas aumentou o de revascularização em 67%.</w:t>
      </w:r>
      <w:r>
        <w:rPr>
          <w:vertAlign w:val="superscript"/>
        </w:rPr>
        <w:t xml:space="preserve">21</w:t>
      </w:r>
      <w:r>
        <w:t xml:space="preserve"> </w:t>
      </w:r>
      <w:r>
        <w:t xml:space="preserve">No Brasil, os modelos de longo prazo de Bertoldi</w:t>
      </w:r>
      <w:r>
        <w:rPr>
          <w:vertAlign w:val="superscript"/>
        </w:rPr>
        <w:t xml:space="preserve">12,13</w:t>
      </w:r>
      <w:r>
        <w:t xml:space="preserve"> </w:t>
      </w:r>
      <w:r>
        <w:t xml:space="preserve">respondem a outra pergunta (benefício clínico no tempo), não contraditória; o microcusteio de Carmo</w:t>
      </w:r>
      <w:r>
        <w:rPr>
          <w:vertAlign w:val="superscript"/>
        </w:rPr>
        <w:t xml:space="preserve">14</w:t>
      </w:r>
      <w:r>
        <w:t xml:space="preserve"> </w:t>
      </w:r>
      <w:r>
        <w:t xml:space="preserve">precificou a angioTC (R$ 452) contra comparadores de tabela, assimetria que este estudo herda e declara.</w:t>
      </w:r>
    </w:p>
    <w:p>
      <w:pPr>
        <w:pStyle w:val="BodyText"/>
      </w:pPr>
      <w:r>
        <w:t xml:space="preserve">O confronto mais instrutivo é com Shiozaki et al.,</w:t>
      </w:r>
      <w:r>
        <w:rPr>
          <w:vertAlign w:val="superscript"/>
        </w:rPr>
        <w:t xml:space="preserve">15</w:t>
      </w:r>
      <w:r>
        <w:t xml:space="preserve"> </w:t>
      </w:r>
      <w:r>
        <w:t xml:space="preserve">o mais recente e mais presente no debate público, que estima economia de R$ 1.021 por beneficiário em cinco anos numa carteira de 100.000 vidas. Compara a angioTC (R$ 1.311,95) com a angiografia invasiva inicial (R$ 1.900,79, único comparador), com eventos do DISCHARGE, e declara não ter comparado com testes funcionais: é um modelo do filtro, não da primeira linha. Nesse desenho o Δ exigido é 69 por 100, que o DISCHARGE (75,1) alcança. Transposto ao SUS, o mesmo mecanismo sustenta o filtro (R$ 482–868), não a primeira linha, que ao mesmo preço exigiria 154 cateterismos evitados por 100 pacientes. Mesma tecnologia, sinal oposto: não pelos preços relativos, mas pelo comparador. A economia é por beneficiário, não por paciente examinado; as projeções de dezenas de bilhões veiculadas na imprensa não constam do artigo, que as qualifica como teóricas para a saúde suplementar.</w:t>
      </w:r>
      <w:r>
        <w:rPr>
          <w:vertAlign w:val="superscript"/>
        </w:rPr>
        <w:t xml:space="preserve">28</w:t>
      </w:r>
    </w:p>
    <w:bookmarkEnd w:id="20"/>
    <w:bookmarkStart w:id="21" w:name="limitações"/>
    <w:p>
      <w:pPr>
        <w:pStyle w:val="Heading3"/>
      </w:pPr>
      <w:r>
        <w:t xml:space="preserve">Limitações</w:t>
      </w:r>
    </w:p>
    <w:p>
      <w:pPr>
        <w:pStyle w:val="FirstParagraph"/>
      </w:pPr>
      <w:r>
        <w:t xml:space="preserve">A principal limitação é de dado: sem identificador de paciente, a análise responde a uma pergunta inversa, não a uma estimativa. A probabilidade pré-teste não está nos registros, logo a estratificação é premissa declarada, e os denominadores incluem assintomáticos e doença conhecida. O código de cateterismo é genérico e o CNES é autodeclarado e incompleto. Quanto ao modelo: os preços são de tabela, não custos, inclusive o do cateterismo, que credita cada Δ (se seu custo real for maior, o filtro melhora e a primeira linha não muda); a substituição é tratada como 1:1; e o horizonte curto exclui de propósito o benefício do SCOT-HEART aos 5 e 10 anos,</w:t>
      </w:r>
      <w:r>
        <w:rPr>
          <w:vertAlign w:val="superscript"/>
        </w:rPr>
        <w:t xml:space="preserve">2</w:t>
      </w:r>
      <w:r>
        <w:t xml:space="preserve"> </w:t>
      </w:r>
      <w:r>
        <w:t xml:space="preserve">atribuído à prevenção. O débito de revascularização entra como custo sem modelar o alívio de angina que a acompanha. Contraindicações relativas (doença renal, contraste, frequência, calcificação) reduzem a população elegível; complicações, permanência, exames não diagnósticos, achados incidentais e o deslocamento evitado por angioTC negativa feita na origem (a favor do filtro) não foram quantificados. O preço proposto não declara o que embute em contraste, nitrato, betabloqueador e insumos de infusão, cujo custo oscila com a oferta. Quanto à evidência: o Δ é diferença aritmética por braço em horizontes heterogêneos, não metanálise; as contagens do CAPP vêm da metanálise de Foy; e a revascularização de Foy vem de população majoritariamente de emergência.</w:t>
      </w:r>
    </w:p>
    <w:p>
      <w:pPr>
        <w:pStyle w:val="BodyText"/>
      </w:pPr>
      <w:r>
        <w:t xml:space="preserve">A limitação metodológica mais importante é a assimetria entre a angioTC microcusteada e os comparadores a preços de tabela. Ela não trava a conclusão (o sinal na baixa depende de razões de preço que um microcusteio dificilmente inverteria, e a direção na intermediária já é declarada incerta), mas define uma agenda: microcusteio</w:t>
      </w:r>
      <w:r>
        <w:t xml:space="preserve"> </w:t>
      </w:r>
      <w:r>
        <w:rPr>
          <w:i/>
          <w:iCs/>
        </w:rPr>
        <w:t xml:space="preserve">bottom-up</w:t>
      </w:r>
      <w:r>
        <w:t xml:space="preserve"> </w:t>
      </w:r>
      <w:r>
        <w:t xml:space="preserve">da angioTC e dos comparadores no mesmo serviço, por método único,</w:t>
      </w:r>
      <w:r>
        <w:rPr>
          <w:vertAlign w:val="superscript"/>
        </w:rPr>
        <w:t xml:space="preserve">29</w:t>
      </w:r>
      <w:r>
        <w:t xml:space="preserve"> </w:t>
      </w:r>
      <w:r>
        <w:t xml:space="preserve">em ao menos oito serviços cobrindo as cinco regiões e as três naturezas, incluindo o estrato pronto (Texto S1).</w:t>
      </w:r>
    </w:p>
    <w:bookmarkEnd w:id="21"/>
    <w:bookmarkStart w:id="22" w:name="implicações"/>
    <w:p>
      <w:pPr>
        <w:pStyle w:val="Heading3"/>
      </w:pPr>
      <w:r>
        <w:t xml:space="preserve">Implicações</w:t>
      </w:r>
    </w:p>
    <w:p>
      <w:pPr>
        <w:pStyle w:val="FirstParagraph"/>
      </w:pPr>
      <w:r>
        <w:t xml:space="preserve">A pergunta talvez não seja se o SUS deve ter angioTC, mas quais pacientes a recebem primeiro e o que ela substitui. Primeiro, condicionar a incorporação a um protocolo que especifique posicionamento e substituição. Sem ele, o cenário de referência é o aditivo, em que nenhum preço plausível é neutro: a sustentabilidade é propriedade do protocolo, não do preço. O protocolo já existe na Diretriz SBC de SCC 2025, e o instrumento também: as OCI de síndrome coronariana crônica remuneram por episódio e nomeiam o exame de cada progressão. Uma progressão anatômica, em alternativa à progressão II (cintilografia, R$ 840), incorporaria a substituição no próprio código. O protocolo deve excluir o assintomático, classe III em todas as diretrizes, porque código sem protocolo vira rastreamento.</w:t>
      </w:r>
    </w:p>
    <w:p>
      <w:pPr>
        <w:pStyle w:val="BodyText"/>
      </w:pPr>
      <w:r>
        <w:t xml:space="preserve">Segundo, avaliar o filtro antes de cinecoronariografia já indicada como pergunta separada: a indicação com maior espaço econômico e respaldo de diretriz. Terceiro, criar o código SIGTAP e microcustear angioTC e comparadores. Quarto, completar a reclassificação do CNES antes da apreciação final e implantar a partir do estrato pronto, com estratégia regional para as doze UFs sem estabelecimento.</w:t>
      </w:r>
    </w:p>
    <w:bookmarkEnd w:id="22"/>
    <w:bookmarkEnd w:id="23"/>
    <w:bookmarkStart w:id="24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Após a Portaria SAES/MS 3.695/2026, o cadastro nacional responde pela primeira vez à pergunta de capacidade: 432 tomógrafos de ≥64 canais em 315 estabelecimentos, como piso, e 79 prontos, com forte desigualdade regional. A pergunta orçamentária, por sua vez, não tem resposta única, e isso é o achado. Sem protocolo, a angioTC entra somada ao percurso e nenhum preço plausível a torna neutra. Com protocolo, é expansiva na probabilidade baixa, incerta na intermediária quando substitui a cintilografia (e apenas ela), e tem espaço como filtro antes de uma cinecoronariografia já indicada. Essa estratificação já está na Diretriz de Síndrome Coronariana Crônica da SBC de 2025, posterior à formulação que o pedido reproduz. A evidência econômica não sustenta uma decisão uniforme para toda a faixa baixa ou intermediária; sustenta condicionar qualquer incorporação ao posicionamento e ao exame substituído, com o protocolo que a cardiologia brasileira já publicou, e avaliar em separado, com critérios próprios, o filtro antes da cinecoronariografia já indicada, onde o espaço econômico é maior e o estrato pronto já está.</w:t>
      </w:r>
    </w:p>
    <w:bookmarkEnd w:id="24"/>
    <w:bookmarkStart w:id="25" w:name="legendas"/>
    <w:p>
      <w:pPr>
        <w:pStyle w:val="Heading2"/>
      </w:pPr>
      <w:r>
        <w:t xml:space="preserve">Legendas</w:t>
      </w:r>
    </w:p>
    <w:p>
      <w:pPr>
        <w:pStyle w:val="FirstParagraph"/>
      </w:pPr>
      <w:r>
        <w:rPr>
          <w:b/>
          <w:bCs/>
        </w:rPr>
        <w:t xml:space="preserve">Figura central.</w:t>
      </w:r>
      <w:r>
        <w:t xml:space="preserve"> </w:t>
      </w:r>
      <w:r>
        <w:t xml:space="preserve">Onde a angioTC gera valor no SUS. (A) tomógrafos ≥64 canais por milhão por UF, estabelecimentos prontos (n = 79) e UFs sem nenhum (n = 12). (B) preço de neutralidade por estrato e posição no percurso, só exames (hachura) e com revascularização (cheio), com marcações em R$ 550 e R$ 623 e a faixa</w:t>
      </w:r>
      <w:r>
        <w:t xml:space="preserve"> </w:t>
      </w:r>
      <w:r>
        <w:t xml:space="preserve">“sem protocolo (aditiva): teto R$ 30”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Figura 1.</w:t>
      </w:r>
      <w:r>
        <w:t xml:space="preserve"> </w:t>
      </w:r>
      <w:r>
        <w:t xml:space="preserve">Capacidade compatível com angioTC por UF (CNES 06/2026): ≥64 canais por milhão, estrato pronto, UFs sem ≥64 e parque total.</w:t>
      </w:r>
    </w:p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Preço de neutralidade em função do Δ de cateterismo total por 100 pacientes. Retas de primeira linha com C_substituído = R$ 0 (aditiva), R$ 185 (mix) e R$ 787 (cintilografia), e reta do filtro pré-cateterismo. Δ de dez ensaios e uma metanálise; preços de referência.</w:t>
      </w:r>
    </w:p>
    <w:bookmarkEnd w:id="25"/>
    <w:bookmarkStart w:id="26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SCOT-HEART Investigators. CT coronary angiography in patients with suspected angina due to coronary heart disease. Lancet. 2015;385(9985):2383-91; Williams MC, et al. J Am Coll Cardiol. 2016;67(15):1759-68; Newby DE, et al. N Engl J Med. 2018;379(10):924-33.</w:t>
      </w:r>
    </w:p>
    <w:p>
      <w:pPr>
        <w:pStyle w:val="Compact"/>
        <w:numPr>
          <w:ilvl w:val="0"/>
          <w:numId w:val="1001"/>
        </w:numPr>
      </w:pPr>
      <w:r>
        <w:t xml:space="preserve">Williams MC, Wereski R, Tuck C, et al. Coronary CT angiography-guided management of patients with stable chest pain: 10-year outcomes from the SCOT-HEART randomised controlled trial in Scotland. Lancet. 2025;405(10475):329-37.</w:t>
      </w:r>
    </w:p>
    <w:p>
      <w:pPr>
        <w:pStyle w:val="Compact"/>
        <w:numPr>
          <w:ilvl w:val="0"/>
          <w:numId w:val="1001"/>
        </w:numPr>
      </w:pPr>
      <w:r>
        <w:t xml:space="preserve">Douglas PS, Hoffmann U, Patel MR, et al. Outcomes of anatomical versus functional testing for coronary artery disease (PROMISE). N Engl J Med. 2015;372(14):1291-300.</w:t>
      </w:r>
    </w:p>
    <w:p>
      <w:pPr>
        <w:pStyle w:val="Compact"/>
        <w:numPr>
          <w:ilvl w:val="0"/>
          <w:numId w:val="1001"/>
        </w:numPr>
      </w:pPr>
      <w:r>
        <w:t xml:space="preserve">DISCHARGE Trial Group. CT or invasive coronary angiography in stable chest pain. N Engl J Med. 2022;386(17):1591-602.</w:t>
      </w:r>
    </w:p>
    <w:p>
      <w:pPr>
        <w:pStyle w:val="Compact"/>
        <w:numPr>
          <w:ilvl w:val="0"/>
          <w:numId w:val="1001"/>
        </w:numPr>
      </w:pPr>
      <w:r>
        <w:t xml:space="preserve">National Institute for Health and Care Excellence. Recent-onset chest pain of suspected cardiac origin: assessment and diagnosis (CG95). 2010, atualizada 2016.</w:t>
      </w:r>
    </w:p>
    <w:p>
      <w:pPr>
        <w:pStyle w:val="Compact"/>
        <w:numPr>
          <w:ilvl w:val="0"/>
          <w:numId w:val="1001"/>
        </w:numPr>
      </w:pPr>
      <w:r>
        <w:t xml:space="preserve">Gulati M, Levy PD, Mukherjee D, et al. 2021 AHA/ACC/ASE/CHEST/SAEM/SCCT/SCMR Guideline for the Evaluation and Diagnosis of Chest Pain. Circulation. 2021;144(22):e368-454.</w:t>
      </w:r>
    </w:p>
    <w:p>
      <w:pPr>
        <w:pStyle w:val="Compact"/>
        <w:numPr>
          <w:ilvl w:val="0"/>
          <w:numId w:val="1001"/>
        </w:numPr>
      </w:pPr>
      <w:r>
        <w:t xml:space="preserve">Vrints C, Andreotti F, Koskinas KC, et al. 2024 ESC Guidelines for the management of chronic coronary syndromes. Eur Heart J. 2024;45(36):3415-537.</w:t>
      </w:r>
    </w:p>
    <w:p>
      <w:pPr>
        <w:pStyle w:val="Compact"/>
        <w:numPr>
          <w:ilvl w:val="0"/>
          <w:numId w:val="1001"/>
        </w:numPr>
      </w:pPr>
      <w:r>
        <w:t xml:space="preserve">Magalhães TA, Carneiro ACC, Moreira VM, et al. Diretriz de Tomografia Computadorizada e Ressonância Magnética Cardiovascular da SBC e do CBR – 2024. Arq Bras Cardiol. 2024;121(9):e20240608.</w:t>
      </w:r>
    </w:p>
    <w:p>
      <w:pPr>
        <w:pStyle w:val="Compact"/>
        <w:numPr>
          <w:ilvl w:val="0"/>
          <w:numId w:val="1001"/>
        </w:numPr>
      </w:pPr>
      <w:r>
        <w:t xml:space="preserve">Cesar LAM, Gowdak LHW, Pavanello R, et al. Diretriz de Síndrome Coronariana Crônica – 2025. Arq Bras Cardiol. 2025;122(9):e20250619.</w:t>
      </w:r>
    </w:p>
    <w:p>
      <w:pPr>
        <w:pStyle w:val="Compact"/>
        <w:numPr>
          <w:ilvl w:val="0"/>
          <w:numId w:val="1001"/>
        </w:numPr>
      </w:pPr>
      <w:r>
        <w:t xml:space="preserve">Brasil. Ministério da Saúde. Conitec. Relatório para a Sociedade nº 745: angiotomografia coronariana como exame de primeira linha. Brasília; ago 2026.</w:t>
      </w:r>
    </w:p>
    <w:p>
      <w:pPr>
        <w:pStyle w:val="Compact"/>
        <w:numPr>
          <w:ilvl w:val="0"/>
          <w:numId w:val="1001"/>
        </w:numPr>
      </w:pPr>
      <w:r>
        <w:t xml:space="preserve">Brasil. Ministério da Saúde. Conitec. Relatório de Recomendação Preliminar — angiotomografia coronariana como exame de primeira linha. Consulta Pública nº 73/2026. Brasília; 2026.</w:t>
      </w:r>
    </w:p>
    <w:p>
      <w:pPr>
        <w:pStyle w:val="Compact"/>
        <w:numPr>
          <w:ilvl w:val="0"/>
          <w:numId w:val="1001"/>
        </w:numPr>
      </w:pPr>
      <w:r>
        <w:t xml:space="preserve">Bertoldi EG, Stella SF, Rohde LE, Polanczyk CA. Long-term cost-effectiveness of diagnostic tests for assessing stable chest pain: modeled analysis of anatomical and functional strategies. Clin Cardiol. 2016;39(5):249-56.</w:t>
      </w:r>
    </w:p>
    <w:p>
      <w:pPr>
        <w:pStyle w:val="Compact"/>
        <w:numPr>
          <w:ilvl w:val="0"/>
          <w:numId w:val="1001"/>
        </w:numPr>
      </w:pPr>
      <w:r>
        <w:t xml:space="preserve">Bertoldi EG, Stella SF, Rohde LEP, Polanczyk CA. Cost-effectiveness of anatomical and functional test strategies for stable chest pain: public health perspective from a middle-income country. BMJ Open. 2017;7(4):e012652.</w:t>
      </w:r>
    </w:p>
    <w:p>
      <w:pPr>
        <w:pStyle w:val="Compact"/>
        <w:numPr>
          <w:ilvl w:val="0"/>
          <w:numId w:val="1001"/>
        </w:numPr>
      </w:pPr>
      <w:r>
        <w:t xml:space="preserve">Carmo PBD, Magliano CADS, Rey HCV, Camargo GC, Trocado LFL, Gottlieb I. Análise da custo-efetividade da angiotomografia coronariana no SUS, em comparação com outros métodos não invasivos na suspeita de DAC estável. Arq Bras Cardiol. 2022;118(3):578-85.</w:t>
      </w:r>
    </w:p>
    <w:p>
      <w:pPr>
        <w:pStyle w:val="Compact"/>
        <w:numPr>
          <w:ilvl w:val="0"/>
          <w:numId w:val="1001"/>
        </w:numPr>
      </w:pPr>
      <w:r>
        <w:t xml:space="preserve">Shiozaki A, Torreão J, Costa IBSDS, Suarez AB, Silva MTD, Oliveira TG, et al. Análise de custo-efetividade da angiotomografia coronária como exame preferencial na investigação de dor torácica estável na saúde suplementar no Brasil. Arq Bras Cardiol. 2025;122(12):e20250204.</w:t>
      </w:r>
    </w:p>
    <w:p>
      <w:pPr>
        <w:pStyle w:val="Compact"/>
        <w:numPr>
          <w:ilvl w:val="0"/>
          <w:numId w:val="1001"/>
        </w:numPr>
      </w:pPr>
      <w:r>
        <w:t xml:space="preserve">Brasil. Ministério da Saúde. Portaria SAES/MS nº 3.695, de 15 de janeiro de 2026. Diário Oficial da União. 27 jan 2026; Seção 1:89-90. Republicada 18 mai 2026.</w:t>
      </w:r>
    </w:p>
    <w:p>
      <w:pPr>
        <w:pStyle w:val="Compact"/>
        <w:numPr>
          <w:ilvl w:val="0"/>
          <w:numId w:val="1001"/>
        </w:numPr>
      </w:pPr>
      <w:r>
        <w:t xml:space="preserve">Husereau D, Drummond M, Augustovski F, et al. Consolidated Health Economic Evaluation Reporting Standards 2022 (CHEERS 2022) statement. Value Health. 2022;25(1):3-9.</w:t>
      </w:r>
    </w:p>
    <w:p>
      <w:pPr>
        <w:pStyle w:val="Compact"/>
        <w:numPr>
          <w:ilvl w:val="0"/>
          <w:numId w:val="1001"/>
        </w:numPr>
      </w:pPr>
      <w:r>
        <w:t xml:space="preserve">Lubbers M, Dedic A, Coenen A, et al. Calcium imaging and selective computed tomography angiography in comparison to functional testing for suspected coronary artery disease (CRESCENT). Eur Heart J. 2016;37(15):1232-43.</w:t>
      </w:r>
    </w:p>
    <w:p>
      <w:pPr>
        <w:pStyle w:val="Compact"/>
        <w:numPr>
          <w:ilvl w:val="0"/>
          <w:numId w:val="1001"/>
        </w:numPr>
      </w:pPr>
      <w:r>
        <w:t xml:space="preserve">Lubbers M, Coenen A, Kofflard M, et al. Comprehensive cardiac CT with myocardial perfusion imaging versus functional testing in suspected coronary artery disease (CRESCENT-II). JACC Cardiovasc Imaging. 2018;11(11):1625-36.</w:t>
      </w:r>
    </w:p>
    <w:p>
      <w:pPr>
        <w:pStyle w:val="Compact"/>
        <w:numPr>
          <w:ilvl w:val="0"/>
          <w:numId w:val="1001"/>
        </w:numPr>
      </w:pPr>
      <w:r>
        <w:t xml:space="preserve">McKavanagh P, Lusk L, Ball PA, et al. A comparison of cardiac computerized tomography and exercise stress electrocardiogram test for the investigation of stable chest pain (CAPP). Eur Heart J Cardiovasc Imaging. 2015;16(4):441-8.</w:t>
      </w:r>
    </w:p>
    <w:p>
      <w:pPr>
        <w:pStyle w:val="Compact"/>
        <w:numPr>
          <w:ilvl w:val="0"/>
          <w:numId w:val="1001"/>
        </w:numPr>
      </w:pPr>
      <w:r>
        <w:t xml:space="preserve">Douglas PS, Nanna MG, Kelsey MD, et al. Comparison of an initial risk-based testing strategy vs usual testing in stable symptomatic patients with suspected coronary artery disease (PRECISE). JAMA Cardiol. 2023;8(10):904-14; econômico: Chew DS, et al. Circ Cardiovasc Qual Outcomes. 2025;18(2):e011008.</w:t>
      </w:r>
    </w:p>
    <w:p>
      <w:pPr>
        <w:pStyle w:val="Compact"/>
        <w:numPr>
          <w:ilvl w:val="0"/>
          <w:numId w:val="1001"/>
        </w:numPr>
      </w:pPr>
      <w:r>
        <w:t xml:space="preserve">Foy AJ, Dhruva SS, Peterson B, Mandrola JM, Morgan DJ, Redberg RF. Coronary computed tomography angiography vs functional stress testing for patients with suspected coronary artery disease: a systematic review and meta-analysis. JAMA Intern Med. 2017;177(11):1623-31.</w:t>
      </w:r>
    </w:p>
    <w:p>
      <w:pPr>
        <w:pStyle w:val="Compact"/>
        <w:numPr>
          <w:ilvl w:val="0"/>
          <w:numId w:val="1001"/>
        </w:numPr>
      </w:pPr>
      <w:r>
        <w:t xml:space="preserve">Dewey M, Rief M, Martus P, et al. Evaluation of computed tomography in patients with atypical angina or chest pain clinically referred for invasive coronary angiography (CAD-Man). BMJ. 2016;355:i5441.</w:t>
      </w:r>
    </w:p>
    <w:p>
      <w:pPr>
        <w:pStyle w:val="Compact"/>
        <w:numPr>
          <w:ilvl w:val="0"/>
          <w:numId w:val="1001"/>
        </w:numPr>
      </w:pPr>
      <w:r>
        <w:t xml:space="preserve">Chang HJ, Lin FY, Gebow D, et al. Selective referral using CCTA versus direct referral for individuals referred to invasive coronary angiography for suspected CAD (CONSERVE). JACC Cardiovasc Imaging. 2019;12(7 Pt 2):1303-12.</w:t>
      </w:r>
    </w:p>
    <w:p>
      <w:pPr>
        <w:pStyle w:val="Compact"/>
        <w:numPr>
          <w:ilvl w:val="0"/>
          <w:numId w:val="1001"/>
        </w:numPr>
      </w:pPr>
      <w:r>
        <w:t xml:space="preserve">Reis JF, Ramos RB, Marques H, et al. Cardiac computed tomographic angiography after abnormal ischemia test as a gatekeeper to invasive coronary angiography. Int J Cardiovasc Imaging. 2022;38(4):883-93.</w:t>
      </w:r>
    </w:p>
    <w:p>
      <w:pPr>
        <w:pStyle w:val="Compact"/>
        <w:numPr>
          <w:ilvl w:val="0"/>
          <w:numId w:val="1001"/>
        </w:numPr>
      </w:pPr>
      <w:r>
        <w:t xml:space="preserve">Institut für Qualität und Wirtschaftlichkeit im Gesundheitswesen. Coronary computed tomography angiography (with or without functional evaluation) for the diagnosis of chronic coronary heart disease. Final report D22-01. Colônia; 2024. NCBI Bookshelf NBK602895.</w:t>
      </w:r>
    </w:p>
    <w:p>
      <w:pPr>
        <w:pStyle w:val="Compact"/>
        <w:numPr>
          <w:ilvl w:val="0"/>
          <w:numId w:val="1001"/>
        </w:numPr>
      </w:pPr>
      <w:r>
        <w:t xml:space="preserve">Mark DB, Federspiel JJ, Cowper PA, et al. Economic outcomes with anatomical versus functional diagnostic testing for coronary artery disease (PROMISE). Ann Intern Med. 2016;165(2):94-102.</w:t>
      </w:r>
    </w:p>
    <w:p>
      <w:pPr>
        <w:pStyle w:val="Compact"/>
        <w:numPr>
          <w:ilvl w:val="0"/>
          <w:numId w:val="1001"/>
        </w:numPr>
      </w:pPr>
      <w:r>
        <w:t xml:space="preserve">Duarte M. Doenças cardiovasculares causam mais de 300 mil mortes por ano no Brasil; Conitec abre consulta pública sobre angiotomografia coronariana no SUS [release de imprensa]. Jornal do Brás. 11 ago 2026. Acesso em 16 ago 2026; indisponível em 24 ago 2026.</w:t>
      </w:r>
    </w:p>
    <w:p>
      <w:pPr>
        <w:pStyle w:val="Compact"/>
        <w:numPr>
          <w:ilvl w:val="0"/>
          <w:numId w:val="1001"/>
        </w:numPr>
      </w:pPr>
      <w:r>
        <w:t xml:space="preserve">Brasil. Ministério da Saúde. Diretriz metodológica: estudos de microcusteio aplicados a avaliações econômicas em saúde. Brasília; 2021.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2026-08-24T22:05:48Z</dcterms:created>
  <dcterms:modified xsi:type="dcterms:W3CDTF">2026-08-24T22:05:48Z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