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bstract-english-para-a-submissão"/>
    <w:p>
      <w:pPr>
        <w:pStyle w:val="Heading1"/>
      </w:pPr>
      <w:r>
        <w:t xml:space="preserve">Abstract (English) — para a submissão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Brazil’s Conitec preliminarily recommended against coronary computed tomography angiography (CCTA) as a first-line test in suspected stable coronary disease of low or intermediate pretest probability, citing capacity and budget uncertainties. The missing question is</w:t>
      </w:r>
      <w:r>
        <w:t xml:space="preserve"> </w:t>
      </w:r>
      <w:r>
        <w:rPr>
          <w:i/>
          <w:iCs/>
        </w:rPr>
        <w:t xml:space="preserve">where</w:t>
      </w:r>
      <w:r>
        <w:t xml:space="preserve">, not only</w:t>
      </w:r>
      <w:r>
        <w:t xml:space="preserve"> </w:t>
      </w:r>
      <w:r>
        <w:rPr>
          <w:i/>
          <w:iCs/>
        </w:rPr>
        <w:t xml:space="preserve">whether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To characterize the CCTA-compatible scanner capacity of the Unified Health System (SUS) and the pathway positions in which CCTA is budget-sustainable.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Nationwide analysis of public databases: capacity by channel after regulation SAES/MS 3,695/2026, and a threshold analysis (catheterization change required for neutrality) in two PICOs (first line; gatekeeping), with differences from ten trials and one meta-analysis, with and without revascularization.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aggregate first-line PICO, the evaluated prices exceed neutrality: the displaced test is mostly exercise ECG (76% of 787,954 episodes/year; R$ 32) and the best observed difference (+4.1/100) does not cover R$ 550; in the intermediate stratum, only substituting perfusion scintigraphy brings R$ 550 into the uncertainty zone (R$ 458–560 with revascularization). In pre-catheterization gatekeeping the sign reverses: differences of 66–86/100 and neutrality at R$ 482–625 (R$ 841–868 with revascularization). Of 315 facilities with ≥64-channel scanners (432, a floor), 79 add catheterization laboratories and documented coronary procedures; twelve states have none.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Budget sustainability is a property of pathway position and displaced test, not of price: parameters that records do not identify and that a protocol defines. The economic evidence does not support a uniform decision for the low-or-intermediate range; it supports conditioning incorporation on positioning and displaced test, as the 2025 SBC Chronic Coronary Syndrome Guideline stratifies, and assessing gatekeeping separately.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 Angiography; Coronary Artery Disease; Technology Assessment, Biomedical; Costs and Cost Analysis; Unified Health System.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2026-08-19T21:54:06Z</dcterms:created>
  <dcterms:modified xsi:type="dcterms:W3CDTF">2026-08-19T21:54:06Z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