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Regras de Negócio</w:t>
      </w:r>
    </w:p>
    <w:p>
      <w:pPr>
        <w:jc w:val="center"/>
      </w:pPr>
      <w:r>
        <w:rPr>
          <w:b/>
          <w:sz w:val="40"/>
        </w:rPr>
        <w:t>App de Vendas - Construtora (Single Construtora)</w:t>
      </w:r>
    </w:p>
    <w:p/>
    <w:p>
      <w:pPr>
        <w:jc w:val="center"/>
      </w:pPr>
      <w:r>
        <w:rPr>
          <w:sz w:val="24"/>
        </w:rPr>
        <w:t>Documento de Requisitos de Negócio (BRD)</w:t>
      </w:r>
    </w:p>
    <w:p>
      <w:pPr>
        <w:jc w:val="center"/>
      </w:pPr>
      <w:r>
        <w:rPr>
          <w:sz w:val="22"/>
        </w:rPr>
        <w:t>Versão: 1.0  |  Data: 15/01/2026</w:t>
      </w:r>
    </w:p>
    <w:p/>
    <w:p>
      <w:pPr>
        <w:jc w:val="center"/>
      </w:pPr>
      <w:r>
        <w:rPr>
          <w:i/>
        </w:rPr>
        <w:t>Uso interno - Referência para backlog, arquitetura e implementação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Este documento descreve as regras de negócio para um aplicativo inspirado no conceito do DWV, porém dedicado a uma única construtora (single construtora). O app centraliza catálogo de empreendimentos, materiais de vendas, comunicação com corretores e pipeline de propostas, com controle rígido de acesso via validação de CRECI.</w:t>
      </w:r>
    </w:p>
    <w:p>
      <w:pPr>
        <w:pStyle w:val="Heading1"/>
      </w:pPr>
      <w:r>
        <w:t>2. Objetivo do Produto</w:t>
      </w:r>
    </w:p>
    <w:p>
      <w:r>
        <w:t>Objetivos principais:</w:t>
      </w:r>
    </w:p>
    <w:p>
      <w:pPr>
        <w:pStyle w:val="ListBullet"/>
      </w:pPr>
      <w:r>
        <w:t>Publicar empreendimentos, unidades (estoque), tabela comercial e materiais (assets).</w:t>
      </w:r>
    </w:p>
    <w:p>
      <w:pPr>
        <w:pStyle w:val="ListBullet"/>
      </w:pPr>
      <w:r>
        <w:t>Habilitar corretores (somente com CRECI válido) e oferecer ferramentas completas de venda.</w:t>
      </w:r>
    </w:p>
    <w:p>
      <w:pPr>
        <w:pStyle w:val="ListBullet"/>
      </w:pPr>
      <w:r>
        <w:t>Centralizar negociação: proposta, chat, trilha de auditoria e relatórios (pipeline e performance).</w:t>
      </w:r>
    </w:p>
    <w:p>
      <w:pPr>
        <w:pStyle w:val="Heading1"/>
      </w:pPr>
      <w:r>
        <w:t>3. Atores, Perfis e Permissões (RBAC)</w:t>
      </w:r>
    </w:p>
    <w:p>
      <w:pPr>
        <w:pStyle w:val="Heading2"/>
      </w:pPr>
      <w:r>
        <w:t>3.1 Perfis (Roles)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Role</w:t>
            </w:r>
          </w:p>
        </w:tc>
        <w:tc>
          <w:tcPr>
            <w:tcW w:type="dxa" w:w="4680"/>
          </w:tcPr>
          <w:p>
            <w:r>
              <w:t>Descrição</w:t>
            </w:r>
          </w:p>
        </w:tc>
      </w:tr>
      <w:tr>
        <w:tc>
          <w:tcPr>
            <w:tcW w:type="dxa" w:w="4680"/>
          </w:tcPr>
          <w:p>
            <w:r>
              <w:t>BROKER</w:t>
            </w:r>
          </w:p>
        </w:tc>
        <w:tc>
          <w:tcPr>
            <w:tcW w:type="dxa" w:w="4680"/>
          </w:tcPr>
          <w:p>
            <w:r>
              <w:t>Corretor: consulta catálogo, baixa materiais, gera landing pages, inicia chat e envia propostas.</w:t>
            </w:r>
          </w:p>
        </w:tc>
      </w:tr>
      <w:tr>
        <w:tc>
          <w:tcPr>
            <w:tcW w:type="dxa" w:w="4680"/>
          </w:tcPr>
          <w:p>
            <w:r>
              <w:t>DEV_ADMIN</w:t>
            </w:r>
          </w:p>
        </w:tc>
        <w:tc>
          <w:tcPr>
            <w:tcW w:type="dxa" w:w="4680"/>
          </w:tcPr>
          <w:p>
            <w:r>
              <w:t>Gestor da construtora: administra usuários, catálogo, políticas e auditoria.</w:t>
            </w:r>
          </w:p>
        </w:tc>
      </w:tr>
      <w:tr>
        <w:tc>
          <w:tcPr>
            <w:tcW w:type="dxa" w:w="4680"/>
          </w:tcPr>
          <w:p>
            <w:r>
              <w:t>DEV_SALES</w:t>
            </w:r>
          </w:p>
        </w:tc>
        <w:tc>
          <w:tcPr>
            <w:tcW w:type="dxa" w:w="4680"/>
          </w:tcPr>
          <w:p>
            <w:r>
              <w:t>Atendimento comercial: responde chat, negocia condições e decide propostas.</w:t>
            </w:r>
          </w:p>
        </w:tc>
      </w:tr>
      <w:tr>
        <w:tc>
          <w:tcPr>
            <w:tcW w:type="dxa" w:w="4680"/>
          </w:tcPr>
          <w:p>
            <w:r>
              <w:t>DEV_MKT</w:t>
            </w:r>
          </w:p>
        </w:tc>
        <w:tc>
          <w:tcPr>
            <w:tcW w:type="dxa" w:w="4680"/>
          </w:tcPr>
          <w:p>
            <w:r>
              <w:t>Marketing: publica materiais, versões, campanhas e templates de landing pages.</w:t>
            </w:r>
          </w:p>
        </w:tc>
      </w:tr>
      <w:tr>
        <w:tc>
          <w:tcPr>
            <w:tcW w:type="dxa" w:w="4680"/>
          </w:tcPr>
          <w:p>
            <w:r>
              <w:t>DEV_FIN/DEV_LEGAL</w:t>
            </w:r>
          </w:p>
        </w:tc>
        <w:tc>
          <w:tcPr>
            <w:tcW w:type="dxa" w:w="4680"/>
          </w:tcPr>
          <w:p>
            <w:r>
              <w:t>Backoffice: valida documentos, comissões, compliance e termos.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Suporte: moderação, incidentes e apoio operacional.</w:t>
            </w:r>
          </w:p>
        </w:tc>
      </w:tr>
    </w:tbl>
    <w:p>
      <w:pPr>
        <w:pStyle w:val="Heading2"/>
      </w:pPr>
      <w:r>
        <w:t>3.2 Regras de RBAC</w:t>
      </w:r>
    </w:p>
    <w:p>
      <w:pPr>
        <w:pStyle w:val="ListNumber"/>
      </w:pPr>
      <w:r>
        <w:t>BR-RBAC-01: nenhuma ação de corretor é liberada antes do status VERIFIED.</w:t>
      </w:r>
    </w:p>
    <w:p>
      <w:pPr>
        <w:pStyle w:val="ListNumber"/>
      </w:pPr>
      <w:r>
        <w:t>BR-RBAC-02: o corretor nunca altera tabela comercial nem disponibilidade; apenas consulta e propõe.</w:t>
      </w:r>
    </w:p>
    <w:p>
      <w:pPr>
        <w:pStyle w:val="ListNumber"/>
      </w:pPr>
      <w:r>
        <w:t>BR-RBAC-03: apenas perfis da construtora podem ACEITAR, RECUSAR ou CONTRA-PROPOR propostas.</w:t>
      </w:r>
    </w:p>
    <w:p>
      <w:pPr>
        <w:pStyle w:val="ListNumber"/>
      </w:pPr>
      <w:r>
        <w:t>BR-RBAC-04: materiais sensíveis podem exigir URLs assinadas e expirar automaticamente para usuários não verificados.</w:t>
      </w:r>
    </w:p>
    <w:p>
      <w:pPr>
        <w:pStyle w:val="Heading1"/>
      </w:pPr>
      <w:r>
        <w:t>4. Cadastro e Validação Obrigatória de CRECI</w:t>
      </w:r>
    </w:p>
    <w:p>
      <w:pPr>
        <w:pStyle w:val="Heading2"/>
      </w:pPr>
      <w:r>
        <w:t>4.1 Estados do Corretor (Lifecycle)</w:t>
      </w:r>
    </w:p>
    <w:p>
      <w:pPr>
        <w:pStyle w:val="ListBullet"/>
      </w:pPr>
      <w:r>
        <w:t>REGISTERED -&gt; PENDING_CRECI -&gt; UNDER_REVIEW -&gt; VERIFIED -&gt; (SUSPENDED | REJECTED)</w:t>
      </w:r>
    </w:p>
    <w:p>
      <w:pPr>
        <w:pStyle w:val="Heading2"/>
      </w:pPr>
      <w:r>
        <w:t>4.2 Dados obrigatórios no cadastro</w:t>
      </w:r>
    </w:p>
    <w:p>
      <w:pPr>
        <w:pStyle w:val="ListBullet"/>
      </w:pPr>
      <w:r>
        <w:t>Nome completo</w:t>
      </w:r>
    </w:p>
    <w:p>
      <w:pPr>
        <w:pStyle w:val="ListBullet"/>
      </w:pPr>
      <w:r>
        <w:t>CPF</w:t>
      </w:r>
    </w:p>
    <w:p>
      <w:pPr>
        <w:pStyle w:val="ListBullet"/>
      </w:pPr>
      <w:r>
        <w:t>Telefone</w:t>
      </w:r>
    </w:p>
    <w:p>
      <w:pPr>
        <w:pStyle w:val="ListBullet"/>
      </w:pPr>
      <w:r>
        <w:t>E-mail</w:t>
      </w:r>
    </w:p>
    <w:p>
      <w:pPr>
        <w:pStyle w:val="ListBullet"/>
      </w:pPr>
      <w:r>
        <w:t>UF do CRECI</w:t>
      </w:r>
    </w:p>
    <w:p>
      <w:pPr>
        <w:pStyle w:val="ListBullet"/>
      </w:pPr>
      <w:r>
        <w:t>Número do CRECI</w:t>
      </w:r>
    </w:p>
    <w:p>
      <w:pPr>
        <w:pStyle w:val="ListBullet"/>
      </w:pPr>
      <w:r>
        <w:t>Imobiliária (opcional) e CNPJ (opcional)</w:t>
      </w:r>
    </w:p>
    <w:p>
      <w:pPr>
        <w:pStyle w:val="Heading2"/>
      </w:pPr>
      <w:r>
        <w:t>4.3 Regras de negócio - CRECI</w:t>
      </w:r>
    </w:p>
    <w:p>
      <w:pPr>
        <w:pStyle w:val="ListNumber"/>
      </w:pPr>
      <w:r>
        <w:t>BR-CRECI-01: o cadastro de corretor só é finalizado se UF + número de CRECI forem informados.</w:t>
      </w:r>
    </w:p>
    <w:p>
      <w:pPr>
        <w:pStyle w:val="ListNumber"/>
      </w:pPr>
      <w:r>
        <w:t>BR-CRECI-02: o app deve validar o CRECI por um destes caminhos (definição de implementação): (a) automático; (b) manual; (c) híbrido.</w:t>
      </w:r>
    </w:p>
    <w:p>
      <w:pPr>
        <w:pStyle w:val="ListNumber"/>
      </w:pPr>
      <w:r>
        <w:t>BR-CRECI-03: enquanto não validado, o corretor acessa apenas o modo vitrine (conteúdo controlado) e não acessa tabela completa, estoque, proposta ou chat.</w:t>
      </w:r>
    </w:p>
    <w:p>
      <w:pPr>
        <w:pStyle w:val="ListNumber"/>
      </w:pPr>
      <w:r>
        <w:t>BR-CRECI-04: revalidação periódica do CRECI (ex.: a cada 90 dias) ou por gatilho de risco/denúncia.</w:t>
      </w:r>
    </w:p>
    <w:p>
      <w:pPr>
        <w:pStyle w:val="ListNumber"/>
      </w:pPr>
      <w:r>
        <w:t>BR-CRECI-05: em caso de inconsistências, o status vira UNDER_REVIEW e exige ação interna (backoffice).</w:t>
      </w:r>
    </w:p>
    <w:p>
      <w:pPr>
        <w:pStyle w:val="Heading1"/>
      </w:pPr>
      <w:r>
        <w:t>5. Catálogo: Empreendimentos, Unidades e Conteúdos</w:t>
      </w:r>
    </w:p>
    <w:p>
      <w:pPr>
        <w:pStyle w:val="Heading2"/>
      </w:pPr>
      <w:r>
        <w:t>5.1 Entidades mínimas</w:t>
      </w:r>
    </w:p>
    <w:p>
      <w:pPr>
        <w:pStyle w:val="ListBullet"/>
      </w:pPr>
      <w:r>
        <w:t>Empreendimento: nome, localização, status (lançamento/em obras/pronto), diferenciais, galeria, plantas, documentos.</w:t>
      </w:r>
    </w:p>
    <w:p>
      <w:pPr>
        <w:pStyle w:val="ListBullet"/>
      </w:pPr>
      <w:r>
        <w:t>Unidade: tipologia, metragem, dormitórios, vagas, andar/posição, status (available/reserved/sold).</w:t>
      </w:r>
    </w:p>
    <w:p>
      <w:pPr>
        <w:pStyle w:val="ListBullet"/>
      </w:pPr>
      <w:r>
        <w:t>Tabela Comercial: preços, condições padrão, vigência, campanhas.</w:t>
      </w:r>
    </w:p>
    <w:p>
      <w:pPr>
        <w:pStyle w:val="ListBullet"/>
      </w:pPr>
      <w:r>
        <w:t>Materiais (Assets): imagens, vídeos, book PDF, plantas, manual do corretor, etc.</w:t>
      </w:r>
    </w:p>
    <w:p>
      <w:pPr>
        <w:pStyle w:val="Heading2"/>
      </w:pPr>
      <w:r>
        <w:t>5.2 Regras de conteúdo e consistência</w:t>
      </w:r>
    </w:p>
    <w:p>
      <w:pPr>
        <w:pStyle w:val="ListNumber"/>
      </w:pPr>
      <w:r>
        <w:t>BR-CAT-01: todo material deve ter versão e vigência para evitar uso de arquivos desatualizados.</w:t>
      </w:r>
    </w:p>
    <w:p>
      <w:pPr>
        <w:pStyle w:val="ListNumber"/>
      </w:pPr>
      <w:r>
        <w:t>BR-CAT-02: uma unidade só pode ficar RESERVED se existir proposta em estado válido (ver Seção 7).</w:t>
      </w:r>
    </w:p>
    <w:p>
      <w:pPr>
        <w:pStyle w:val="ListNumber"/>
      </w:pPr>
      <w:r>
        <w:t>BR-CAT-03: filtros essenciais: localização (cidade/bairro/região), tipologia, faixa de preço, status de obra, dormitórios, vagas.</w:t>
      </w:r>
    </w:p>
    <w:p>
      <w:pPr>
        <w:pStyle w:val="ListNumber"/>
      </w:pPr>
      <w:r>
        <w:t>BR-CAT-04: assets devem ser distribuídos via CDN e, quando necessário, por URL assinada com expiração.</w:t>
      </w:r>
    </w:p>
    <w:p>
      <w:pPr>
        <w:pStyle w:val="ListNumber"/>
      </w:pPr>
      <w:r>
        <w:t>BR-CAT-05: alterações em tabela comercial e disponibilidade devem gerar trilha de auditoria (quem, quando, o que mudou).</w:t>
      </w:r>
    </w:p>
    <w:p>
      <w:pPr>
        <w:pStyle w:val="Heading1"/>
      </w:pPr>
      <w:r>
        <w:t>6. Entrada Incrível (Onboarding + Vitrine do Empreendimento Âncora)</w:t>
      </w:r>
    </w:p>
    <w:p>
      <w:pPr>
        <w:pStyle w:val="Heading2"/>
      </w:pPr>
      <w:r>
        <w:t>6.1 Fluxo de primeira experiência</w:t>
      </w:r>
    </w:p>
    <w:p>
      <w:pPr>
        <w:pStyle w:val="ListNumber"/>
      </w:pPr>
      <w:r>
        <w:t>Splash + manifesto (proposta de valor: experiência premium para venda).</w:t>
      </w:r>
    </w:p>
    <w:p>
      <w:pPr>
        <w:pStyle w:val="ListNumber"/>
      </w:pPr>
      <w:r>
        <w:t>Tour em 3 passos: (1) explorar catálogo; (2) baixar materiais; (3) enviar proposta e negociar no chat.</w:t>
      </w:r>
    </w:p>
    <w:p>
      <w:pPr>
        <w:pStyle w:val="ListNumber"/>
      </w:pPr>
      <w:r>
        <w:t>Vitrine do empreendimento âncora (ex.: POSH) com storytelling, galeria e diferenciais.</w:t>
      </w:r>
    </w:p>
    <w:p>
      <w:pPr>
        <w:pStyle w:val="ListNumber"/>
      </w:pPr>
      <w:r>
        <w:t>Call-to-action: "Validar CRECI para acessar tabela, estoque, propostas e chat".</w:t>
      </w:r>
    </w:p>
    <w:p>
      <w:pPr>
        <w:pStyle w:val="Heading2"/>
      </w:pPr>
      <w:r>
        <w:t>6.2 Regras de experiência</w:t>
      </w:r>
    </w:p>
    <w:p>
      <w:pPr>
        <w:pStyle w:val="ListNumber"/>
      </w:pPr>
      <w:r>
        <w:t>BR-ONB-01: corretor sem CRECI validado pode navegar apenas no modo vitrine (conteúdo controlado).</w:t>
      </w:r>
    </w:p>
    <w:p>
      <w:pPr>
        <w:pStyle w:val="ListNumber"/>
      </w:pPr>
      <w:r>
        <w:t>BR-ONB-02: após verificação, liberar tabela comercial, unidades (estoque), propostas e chat.</w:t>
      </w:r>
    </w:p>
    <w:p>
      <w:pPr>
        <w:pStyle w:val="ListNumber"/>
      </w:pPr>
      <w:r>
        <w:t>BR-ONB-03: a Home deve destacar o empreendimento âncora por padrão no primeiro mês (hero card e acesso rápido).</w:t>
      </w:r>
    </w:p>
    <w:p>
      <w:pPr>
        <w:pStyle w:val="ListNumber"/>
      </w:pPr>
      <w:r>
        <w:t>BR-ONB-04: todo corretor VERIFIED deve ver um aviso de "novidades" quando houver atualização de tabela/material.</w:t>
      </w:r>
    </w:p>
    <w:p>
      <w:pPr>
        <w:pStyle w:val="Heading1"/>
      </w:pPr>
      <w:r>
        <w:t>7. Propostas (Pipeline de Negociação)</w:t>
      </w:r>
    </w:p>
    <w:p>
      <w:pPr>
        <w:pStyle w:val="Heading2"/>
      </w:pPr>
      <w:r>
        <w:t>7.1 Estados de proposta (State Machine)</w:t>
      </w:r>
    </w:p>
    <w:p>
      <w:pPr>
        <w:pStyle w:val="ListBullet"/>
      </w:pPr>
      <w:r>
        <w:t>DRAFT -&gt; SENT -&gt; UNDER_ANALYSIS -&gt; (ACCEPTED | REJECTED | COUNTERED) -&gt; CLOSED</w:t>
      </w:r>
    </w:p>
    <w:p>
      <w:pPr>
        <w:pStyle w:val="Heading2"/>
      </w:pPr>
      <w:r>
        <w:t>7.2 Regras de propostas</w:t>
      </w:r>
    </w:p>
    <w:p>
      <w:pPr>
        <w:pStyle w:val="ListNumber"/>
      </w:pPr>
      <w:r>
        <w:t>BR-PROP-01: toda proposta deve estar vinculada a uma unidade específica (padrão recomendado).</w:t>
      </w:r>
    </w:p>
    <w:p>
      <w:pPr>
        <w:pStyle w:val="ListNumber"/>
      </w:pPr>
      <w:r>
        <w:t>BR-PROP-02: ao enviar proposta (SENT), capturar condições (entrada/parcelas/financiamento/descontos) e dados mínimos do cliente (LGPD: apenas o necessário).</w:t>
      </w:r>
    </w:p>
    <w:p>
      <w:pPr>
        <w:pStyle w:val="ListNumber"/>
      </w:pPr>
      <w:r>
        <w:t>BR-PROP-03: ao entrar em UNDER_ANALYSIS, a unidade pode ir para RESERVED por janela configurável (ex.: 48h).</w:t>
      </w:r>
    </w:p>
    <w:p>
      <w:pPr>
        <w:pStyle w:val="ListNumber"/>
      </w:pPr>
      <w:r>
        <w:t>BR-PROP-04: expirou a janela sem decisão -&gt; unidade volta a AVAILABLE e a proposta vira EXPIRED (ou CLOSED-EXPIRED).</w:t>
      </w:r>
    </w:p>
    <w:p>
      <w:pPr>
        <w:pStyle w:val="ListNumber"/>
      </w:pPr>
      <w:r>
        <w:t>BR-PROP-05: toda transição de status gera evento auditável (proposal_events) com timestamp e ator.</w:t>
      </w:r>
    </w:p>
    <w:p>
      <w:pPr>
        <w:pStyle w:val="ListNumber"/>
      </w:pPr>
      <w:r>
        <w:t>BR-PROP-06: somente a construtora pode aceitar/recusar/contra-propor; o corretor pode aceitar contra-proposta dentro de prazo.</w:t>
      </w:r>
    </w:p>
    <w:p>
      <w:pPr>
        <w:pStyle w:val="Heading1"/>
      </w:pPr>
      <w:r>
        <w:t>8. Chat (Corretor &lt;-&gt; Construtora)</w:t>
      </w:r>
    </w:p>
    <w:p>
      <w:pPr>
        <w:pStyle w:val="Heading2"/>
      </w:pPr>
      <w:r>
        <w:t>8.1 Regras do chat</w:t>
      </w:r>
    </w:p>
    <w:p>
      <w:pPr>
        <w:pStyle w:val="ListNumber"/>
      </w:pPr>
      <w:r>
        <w:t>BR-CHAT-01: chat disponível apenas para corretores VERIFIED.</w:t>
      </w:r>
    </w:p>
    <w:p>
      <w:pPr>
        <w:pStyle w:val="ListNumber"/>
      </w:pPr>
      <w:r>
        <w:t>BR-CHAT-02: criar canais por (a) empreendimento (dúvidas gerais) e (b) proposta (negociação específica).</w:t>
      </w:r>
    </w:p>
    <w:p>
      <w:pPr>
        <w:pStyle w:val="ListNumber"/>
      </w:pPr>
      <w:r>
        <w:t>BR-CHAT-03: anexos permitidos: PDF/imagem; armazenar em storage com links expiráveis; opcionalmente watermark.</w:t>
      </w:r>
    </w:p>
    <w:p>
      <w:pPr>
        <w:pStyle w:val="ListNumber"/>
      </w:pPr>
      <w:r>
        <w:t>BR-CHAT-04: mensagens sem resposta entram em fila/SLA interno (dashboard do DEV_SALES).</w:t>
      </w:r>
    </w:p>
    <w:p>
      <w:pPr>
        <w:pStyle w:val="ListNumber"/>
      </w:pPr>
      <w:r>
        <w:t>BR-CHAT-05: registrar read receipts e últimos acessos para rastreabilidade.</w:t>
      </w:r>
    </w:p>
    <w:p>
      <w:pPr>
        <w:pStyle w:val="Heading1"/>
      </w:pPr>
      <w:r>
        <w:t>9. Landing Pages e Rastreamento (Leads)</w:t>
      </w:r>
    </w:p>
    <w:p>
      <w:pPr>
        <w:pStyle w:val="Heading2"/>
      </w:pPr>
      <w:r>
        <w:t>9.1 Landing pages</w:t>
      </w:r>
    </w:p>
    <w:p>
      <w:pPr>
        <w:pStyle w:val="ListNumber"/>
      </w:pPr>
      <w:r>
        <w:t>BR-LP-01: corretor pode gerar link público (landing page) por unidade/empreendimento, com contato do corretor e informações do produto.</w:t>
      </w:r>
    </w:p>
    <w:p>
      <w:pPr>
        <w:pStyle w:val="ListNumber"/>
      </w:pPr>
      <w:r>
        <w:t>BR-LP-02: links devem incluir tracking (utm, broker_id, campaign_id) e gerar eventos: page_view, click_whatsapp, lead_submit.</w:t>
      </w:r>
    </w:p>
    <w:p>
      <w:pPr>
        <w:pStyle w:val="ListNumber"/>
      </w:pPr>
      <w:r>
        <w:t>BR-LP-03: a construtora define templates e campos (ex.: formulário, WhatsApp, agendamento).</w:t>
      </w:r>
    </w:p>
    <w:p>
      <w:pPr>
        <w:pStyle w:val="Heading2"/>
      </w:pPr>
      <w:r>
        <w:t>9.2 Pixel e compliance</w:t>
      </w:r>
    </w:p>
    <w:p>
      <w:pPr>
        <w:pStyle w:val="ListNumber"/>
      </w:pPr>
      <w:r>
        <w:t>BR-TRK-01: permitir configuração de pixel (Meta/Google) por campanha, se habilitado pela construtora.</w:t>
      </w:r>
    </w:p>
    <w:p>
      <w:pPr>
        <w:pStyle w:val="ListNumber"/>
      </w:pPr>
      <w:r>
        <w:t>BR-TRK-02: exibir consentimento LGPD (cookies/tracking) em landing pages quando aplicável.</w:t>
      </w:r>
    </w:p>
    <w:p>
      <w:pPr>
        <w:pStyle w:val="ListNumber"/>
      </w:pPr>
      <w:r>
        <w:t>BR-TRK-03: armazenar eventos com retenção definida e anonimização quando necessário.</w:t>
      </w:r>
    </w:p>
    <w:p>
      <w:pPr>
        <w:pStyle w:val="Heading1"/>
      </w:pPr>
      <w:r>
        <w:t>10. Comissão, Governança e Compliance</w:t>
      </w:r>
    </w:p>
    <w:p>
      <w:pPr>
        <w:pStyle w:val="Heading2"/>
      </w:pPr>
      <w:r>
        <w:t>10.1 Regras de comissão</w:t>
      </w:r>
    </w:p>
    <w:p>
      <w:pPr>
        <w:pStyle w:val="ListNumber"/>
      </w:pPr>
      <w:r>
        <w:t>BR-COM-01: comissão definida por empreendimento (percentual ou faixas), com vigência e campanhas temporárias.</w:t>
      </w:r>
    </w:p>
    <w:p>
      <w:pPr>
        <w:pStyle w:val="ListNumber"/>
      </w:pPr>
      <w:r>
        <w:t>BR-COM-02: para atribuir venda ao corretor: (a) lead registrado antes da proposta; ou (b) proposta aceita com corretor identificado e sem conflito.</w:t>
      </w:r>
    </w:p>
    <w:p>
      <w:pPr>
        <w:pStyle w:val="ListNumber"/>
      </w:pPr>
      <w:r>
        <w:t>BR-COM-03: política de conflitos (dois corretores para o mesmo cliente) deve ser objetiva: prioridade por timestamp do primeiro lead ou decisão manual registrada.</w:t>
      </w:r>
    </w:p>
    <w:p>
      <w:pPr>
        <w:pStyle w:val="ListNumber"/>
      </w:pPr>
      <w:r>
        <w:t>BR-COM-04: toda decisão de comissão deve ter trilha de auditoria (ator, justificativa, data).</w:t>
      </w:r>
    </w:p>
    <w:p>
      <w:pPr>
        <w:pStyle w:val="Heading1"/>
      </w:pPr>
      <w:r>
        <w:t>11. Relatórios (Construtora)</w:t>
      </w:r>
    </w:p>
    <w:p>
      <w:pPr>
        <w:pStyle w:val="Heading2"/>
      </w:pPr>
      <w:r>
        <w:t>11.1 Relatórios essenciais</w:t>
      </w:r>
    </w:p>
    <w:p>
      <w:pPr>
        <w:pStyle w:val="ListBullet"/>
      </w:pPr>
      <w:r>
        <w:t>Pipeline: propostas por status, tempo médio de resposta, taxa de conversão por corretor.</w:t>
      </w:r>
    </w:p>
    <w:p>
      <w:pPr>
        <w:pStyle w:val="ListBullet"/>
      </w:pPr>
      <w:r>
        <w:t>Catálogo: unidades disponíveis/reservadas/vendidas por tipologia e empreendimento.</w:t>
      </w:r>
    </w:p>
    <w:p>
      <w:pPr>
        <w:pStyle w:val="ListBullet"/>
      </w:pPr>
      <w:r>
        <w:t>Materiais: downloads por peça/campanha; materiais mais usados por corretor.</w:t>
      </w:r>
    </w:p>
    <w:p>
      <w:pPr>
        <w:pStyle w:val="ListBullet"/>
      </w:pPr>
      <w:r>
        <w:t>Leads: origem (landing, orgânico, indicação), funil e taxa de contato.</w:t>
      </w:r>
    </w:p>
    <w:p>
      <w:pPr>
        <w:pStyle w:val="ListBullet"/>
      </w:pPr>
      <w:r>
        <w:t>SLA: filas do chat, tempo de primeira resposta, gargalos por equipe.</w:t>
      </w:r>
    </w:p>
    <w:p>
      <w:pPr>
        <w:pStyle w:val="Heading1"/>
      </w:pPr>
      <w:r>
        <w:t>12. Requisitos Não Funcionais (NFRs)</w:t>
      </w:r>
    </w:p>
    <w:p>
      <w:pPr>
        <w:pStyle w:val="ListBullet"/>
      </w:pPr>
      <w:r>
        <w:t>Auditoria: qualquer mudança em estoque, tabela e status de proposta deve ser registrada (eventos).</w:t>
      </w:r>
    </w:p>
    <w:p>
      <w:pPr>
        <w:pStyle w:val="ListBullet"/>
      </w:pPr>
      <w:r>
        <w:t>Segurança: RBAC + proteção de assets (URLs assinadas) + logs de acesso e bloqueios por risco.</w:t>
      </w:r>
    </w:p>
    <w:p>
      <w:pPr>
        <w:pStyle w:val="ListBullet"/>
      </w:pPr>
      <w:r>
        <w:t>LGPD: coletar apenas dados mínimos; consentimento quando houver tracking; retenção e exclusão conforme política.</w:t>
      </w:r>
    </w:p>
    <w:p>
      <w:pPr>
        <w:pStyle w:val="ListBullet"/>
      </w:pPr>
      <w:r>
        <w:t>Disponibilidade: notificações (push/e-mail) para mudanças de status, reservas expirando e novos materiais.</w:t>
      </w:r>
    </w:p>
    <w:p>
      <w:pPr>
        <w:pStyle w:val="ListBullet"/>
      </w:pPr>
      <w:r>
        <w:t>Performance: catálogo e assets com CDN, cache e carregamento progressivo (lazy loading).</w:t>
      </w:r>
    </w:p>
    <w:p>
      <w:pPr>
        <w:pStyle w:val="Heading1"/>
      </w:pPr>
      <w:r>
        <w:t>13. Próximos Passos (Saídas para Engenharia)</w:t>
      </w:r>
    </w:p>
    <w:p>
      <w:r>
        <w:t>Com base neste BRD, recomenda-se produzir:</w:t>
      </w:r>
    </w:p>
    <w:p>
      <w:pPr>
        <w:pStyle w:val="ListBullet"/>
      </w:pPr>
      <w:r>
        <w:t>Backlog em épicos/histórias (com critérios de aceitação) para Catálogo, CRECI, Propostas, Chat, Landing e Relatórios.</w:t>
      </w:r>
    </w:p>
    <w:p>
      <w:pPr>
        <w:pStyle w:val="ListBullet"/>
      </w:pPr>
      <w:r>
        <w:t>Modelo de dados (ERD) e contratos de API (OpenAPI/Swagger).</w:t>
      </w:r>
    </w:p>
    <w:p>
      <w:pPr>
        <w:pStyle w:val="ListBullet"/>
      </w:pPr>
      <w:r>
        <w:t>Política de validação de CRECI (automática, manual ou híbrida) e política LGPD de dados de leads.</w:t>
      </w:r>
    </w:p>
    <w:p>
      <w:pPr>
        <w:pStyle w:val="ListBullet"/>
      </w:pPr>
      <w:r>
        <w:t>Design System e fluxos do onboarding (entrada premium) com vitrine do empreendimento âncora.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