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663A4" w14:textId="77777777" w:rsidR="00B23817" w:rsidRDefault="00B23817"/>
    <w:p w14:paraId="4EB94F96" w14:textId="77777777" w:rsidR="00996754" w:rsidRDefault="00996754" w:rsidP="00996754">
      <w:pPr>
        <w:pStyle w:val="Title"/>
        <w:rPr>
          <w:rStyle w:val="BookTitle"/>
        </w:rPr>
      </w:pPr>
      <w:r>
        <w:rPr>
          <w:rStyle w:val="BookTitle"/>
        </w:rPr>
        <w:t>Modern Ducai</w:t>
      </w:r>
    </w:p>
    <w:p w14:paraId="362F127F" w14:textId="77777777" w:rsidR="00996754" w:rsidRPr="00996754" w:rsidRDefault="00B23817" w:rsidP="00996754">
      <w:pPr>
        <w:pStyle w:val="Title"/>
      </w:pPr>
      <w:bookmarkStart w:id="0" w:name="_GoBack"/>
      <w:r w:rsidRPr="00996754">
        <w:rPr>
          <w:rStyle w:val="BookTitle"/>
          <w:b w:val="0"/>
          <w:bCs w:val="0"/>
          <w:smallCaps w:val="0"/>
        </w:rPr>
        <w:t>Basic Guide to Grammar</w:t>
      </w:r>
    </w:p>
    <w:bookmarkEnd w:id="0"/>
    <w:p w14:paraId="46E56648" w14:textId="77777777" w:rsidR="00B23817" w:rsidRDefault="00B23817" w:rsidP="00B23817">
      <w:pPr>
        <w:pStyle w:val="Heading1"/>
      </w:pPr>
      <w:r>
        <w:t>Verbs</w:t>
      </w:r>
    </w:p>
    <w:p w14:paraId="6991B152" w14:textId="77777777" w:rsidR="00B23817" w:rsidRDefault="00B23817" w:rsidP="00B23817">
      <w:pPr>
        <w:pStyle w:val="Heading2"/>
      </w:pPr>
      <w:r>
        <w:t>Infinitives</w:t>
      </w:r>
    </w:p>
    <w:p w14:paraId="154C767A" w14:textId="77777777" w:rsidR="00B23817" w:rsidRPr="00B23817" w:rsidRDefault="00B23817" w:rsidP="00B23817"/>
    <w:p w14:paraId="3169D813" w14:textId="77777777" w:rsidR="00B23817" w:rsidRDefault="00B23817" w:rsidP="00A46EB1">
      <w:pPr>
        <w:ind w:left="720"/>
      </w:pPr>
      <w:r>
        <w:t>All infinitive verbs in Ducai are delimited with the –r morpheme. Infinitive verbs are also the only the only occurrence of word-final lateral consonants. Modern Ducai common has a surface form of /</w:t>
      </w:r>
      <w:r>
        <w:rPr>
          <w:i/>
        </w:rPr>
        <w:t>-j</w:t>
      </w:r>
      <w:r>
        <w:t xml:space="preserve">/, replacing the lateral consonant with a glide. </w:t>
      </w:r>
    </w:p>
    <w:p w14:paraId="44931BC1" w14:textId="77777777" w:rsidR="00B23817" w:rsidRDefault="00B23817" w:rsidP="00A46EB1">
      <w:pPr>
        <w:ind w:left="720"/>
      </w:pPr>
    </w:p>
    <w:p w14:paraId="5A9CA68F" w14:textId="77777777" w:rsidR="00B23817" w:rsidRPr="008A4E8E" w:rsidRDefault="00B23817" w:rsidP="00A46EB1">
      <w:pPr>
        <w:ind w:left="720"/>
      </w:pPr>
      <w:r>
        <w:t>Although technically any letter can proceed the –r verb marker, the most common form is /</w:t>
      </w:r>
      <w:r>
        <w:rPr>
          <w:i/>
        </w:rPr>
        <w:t>-</w:t>
      </w:r>
      <w:proofErr w:type="spellStart"/>
      <w:r>
        <w:rPr>
          <w:i/>
        </w:rPr>
        <w:t>ar</w:t>
      </w:r>
      <w:proofErr w:type="spellEnd"/>
      <w:r>
        <w:t xml:space="preserve">/ and it has been convention since the </w:t>
      </w:r>
      <w:proofErr w:type="spellStart"/>
      <w:r>
        <w:t>Cruseiro</w:t>
      </w:r>
      <w:proofErr w:type="spellEnd"/>
      <w:r>
        <w:t xml:space="preserve"> Reform (1947) to adopt any foreign verb with the /</w:t>
      </w:r>
      <w:r>
        <w:rPr>
          <w:i/>
        </w:rPr>
        <w:t>-</w:t>
      </w:r>
      <w:proofErr w:type="spellStart"/>
      <w:r>
        <w:rPr>
          <w:i/>
        </w:rPr>
        <w:t>ar</w:t>
      </w:r>
      <w:proofErr w:type="spellEnd"/>
      <w:r>
        <w:t xml:space="preserve">/ marker (consider </w:t>
      </w:r>
      <w:r>
        <w:rPr>
          <w:i/>
        </w:rPr>
        <w:t xml:space="preserve">program -&gt; </w:t>
      </w:r>
      <w:proofErr w:type="spellStart"/>
      <w:r>
        <w:rPr>
          <w:i/>
        </w:rPr>
        <w:t>programar</w:t>
      </w:r>
      <w:proofErr w:type="spellEnd"/>
      <w:proofErr w:type="gramStart"/>
      <w:r w:rsidR="008A4E8E">
        <w:t xml:space="preserve">, </w:t>
      </w:r>
      <w:r>
        <w:rPr>
          <w:i/>
        </w:rPr>
        <w:t xml:space="preserve"> </w:t>
      </w:r>
      <w:r>
        <w:t>or</w:t>
      </w:r>
      <w:proofErr w:type="gramEnd"/>
      <w:r>
        <w:t xml:space="preserve"> </w:t>
      </w:r>
      <w:r w:rsidR="008A4E8E">
        <w:rPr>
          <w:i/>
        </w:rPr>
        <w:t xml:space="preserve">download -&gt; </w:t>
      </w:r>
      <w:proofErr w:type="spellStart"/>
      <w:r w:rsidR="008A4E8E">
        <w:rPr>
          <w:i/>
        </w:rPr>
        <w:t>downlodar</w:t>
      </w:r>
      <w:proofErr w:type="spellEnd"/>
      <w:r w:rsidR="008A4E8E">
        <w:t>).</w:t>
      </w:r>
    </w:p>
    <w:p w14:paraId="46AEA7EC" w14:textId="77777777" w:rsidR="00B23817" w:rsidRDefault="00B23817" w:rsidP="00A46EB1">
      <w:pPr>
        <w:ind w:left="720"/>
      </w:pPr>
    </w:p>
    <w:p w14:paraId="356CD8C2" w14:textId="77777777" w:rsidR="00B23817" w:rsidRDefault="00B23817" w:rsidP="00A46EB1">
      <w:pPr>
        <w:ind w:left="720"/>
      </w:pPr>
      <w:r>
        <w:t xml:space="preserve">Infinitive verbs and gerunds are interchangeable, occasionally distinguished by the direct affix </w:t>
      </w:r>
      <w:r>
        <w:rPr>
          <w:i/>
        </w:rPr>
        <w:t>/</w:t>
      </w:r>
      <w:proofErr w:type="spellStart"/>
      <w:r>
        <w:rPr>
          <w:i/>
        </w:rPr>
        <w:t>jea</w:t>
      </w:r>
      <w:proofErr w:type="spellEnd"/>
      <w:r>
        <w:rPr>
          <w:i/>
        </w:rPr>
        <w:t>-/</w:t>
      </w:r>
      <w:r>
        <w:t xml:space="preserve">. </w:t>
      </w:r>
    </w:p>
    <w:p w14:paraId="2BC46404" w14:textId="77777777" w:rsidR="00B23817" w:rsidRDefault="00B23817" w:rsidP="00A46EB1">
      <w:pPr>
        <w:ind w:left="720"/>
      </w:pPr>
    </w:p>
    <w:p w14:paraId="283DC99E" w14:textId="77777777" w:rsidR="00B23817" w:rsidRDefault="00B23817" w:rsidP="00A46EB1">
      <w:pPr>
        <w:ind w:left="720"/>
      </w:pPr>
      <w:r>
        <w:t>Examples:</w:t>
      </w:r>
    </w:p>
    <w:p w14:paraId="656C75E8" w14:textId="77777777" w:rsidR="00B23817" w:rsidRPr="00B23817" w:rsidRDefault="00B23817" w:rsidP="00A46EB1">
      <w:pPr>
        <w:ind w:left="720"/>
        <w:rPr>
          <w:b/>
        </w:rPr>
      </w:pPr>
      <w:r>
        <w:tab/>
      </w:r>
      <w:r w:rsidRPr="00B23817">
        <w:rPr>
          <w:b/>
        </w:rPr>
        <w:t>He can speak</w:t>
      </w:r>
    </w:p>
    <w:p w14:paraId="0CF43860" w14:textId="77777777" w:rsidR="00B23817" w:rsidRDefault="00B23817" w:rsidP="00A46EB1">
      <w:pPr>
        <w:ind w:left="720"/>
        <w:rPr>
          <w:i/>
        </w:rPr>
      </w:pPr>
      <w:r>
        <w:tab/>
      </w:r>
      <w:proofErr w:type="spellStart"/>
      <w:r w:rsidRPr="00B23817">
        <w:rPr>
          <w:i/>
        </w:rPr>
        <w:t>Yli</w:t>
      </w:r>
      <w:proofErr w:type="spellEnd"/>
      <w:r w:rsidRPr="00B23817">
        <w:rPr>
          <w:i/>
        </w:rPr>
        <w:t xml:space="preserve"> </w:t>
      </w:r>
      <w:proofErr w:type="spellStart"/>
      <w:r w:rsidRPr="00B23817">
        <w:rPr>
          <w:i/>
        </w:rPr>
        <w:t>aiver</w:t>
      </w:r>
      <w:proofErr w:type="spellEnd"/>
      <w:r w:rsidRPr="00B23817">
        <w:rPr>
          <w:i/>
        </w:rPr>
        <w:t xml:space="preserve"> je </w:t>
      </w:r>
      <w:proofErr w:type="spellStart"/>
      <w:r w:rsidRPr="00B23817">
        <w:rPr>
          <w:i/>
        </w:rPr>
        <w:t>denda</w:t>
      </w:r>
      <w:proofErr w:type="spellEnd"/>
    </w:p>
    <w:p w14:paraId="10236E5B" w14:textId="77777777" w:rsidR="00B23817" w:rsidRDefault="00B23817" w:rsidP="00A46EB1">
      <w:pPr>
        <w:ind w:left="720"/>
        <w:rPr>
          <w:b/>
        </w:rPr>
      </w:pPr>
      <w:r>
        <w:rPr>
          <w:i/>
        </w:rPr>
        <w:tab/>
      </w:r>
      <w:r w:rsidR="00243F62">
        <w:rPr>
          <w:b/>
        </w:rPr>
        <w:t>Dogs</w:t>
      </w:r>
      <w:r>
        <w:rPr>
          <w:b/>
        </w:rPr>
        <w:t xml:space="preserve"> </w:t>
      </w:r>
      <w:r w:rsidR="00243F62">
        <w:rPr>
          <w:b/>
        </w:rPr>
        <w:t>enjoy eating</w:t>
      </w:r>
    </w:p>
    <w:p w14:paraId="3A4D445E" w14:textId="77777777" w:rsidR="00243F62" w:rsidRDefault="00243F62" w:rsidP="00A46EB1">
      <w:pPr>
        <w:ind w:left="720"/>
        <w:rPr>
          <w:i/>
        </w:rPr>
      </w:pPr>
      <w:r>
        <w:rPr>
          <w:b/>
        </w:rPr>
        <w:tab/>
      </w:r>
      <w:proofErr w:type="spellStart"/>
      <w:r>
        <w:rPr>
          <w:i/>
        </w:rPr>
        <w:t>Uba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komar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gosta</w:t>
      </w:r>
      <w:proofErr w:type="spellEnd"/>
    </w:p>
    <w:p w14:paraId="4144A38A" w14:textId="77777777" w:rsidR="00243F62" w:rsidRDefault="00243F62" w:rsidP="00B23817">
      <w:pPr>
        <w:rPr>
          <w:i/>
        </w:rPr>
      </w:pPr>
    </w:p>
    <w:p w14:paraId="0142B35D" w14:textId="77777777" w:rsidR="00243F62" w:rsidRDefault="00243F62" w:rsidP="00243F62">
      <w:pPr>
        <w:pStyle w:val="Heading2"/>
      </w:pPr>
      <w:r>
        <w:t>Prepositional Verbs</w:t>
      </w:r>
    </w:p>
    <w:p w14:paraId="76E79C2C" w14:textId="77777777" w:rsidR="00243F62" w:rsidRDefault="00243F62" w:rsidP="00B23817"/>
    <w:p w14:paraId="2E5F3654" w14:textId="77777777" w:rsidR="00243F62" w:rsidRDefault="00243F62" w:rsidP="00A46EB1">
      <w:pPr>
        <w:ind w:left="720"/>
      </w:pPr>
      <w:r>
        <w:t>One characteristic unique of Ducai is its reserved class of prepositions sp</w:t>
      </w:r>
      <w:r w:rsidR="00402B52">
        <w:t xml:space="preserve">ecific to verbs. Although native speakers of Ducai find this reservation efficient and simple, non-native speakers may struggle to learn them, as there is no effective translation of a given word. Rather than memorize each reserved preposition, the learner is encouraged to engage the preposition within context. The following list is by no means complete, but provides a general overview of </w:t>
      </w:r>
      <w:r w:rsidR="00996754">
        <w:t>situational use.</w:t>
      </w:r>
    </w:p>
    <w:p w14:paraId="15B3FA94" w14:textId="77777777" w:rsidR="00996754" w:rsidRDefault="00996754" w:rsidP="00B23817"/>
    <w:p w14:paraId="34A0ACE0" w14:textId="77777777" w:rsidR="00996754" w:rsidRPr="00A46EB1" w:rsidRDefault="00996754" w:rsidP="00996754">
      <w:pPr>
        <w:ind w:left="720" w:right="720"/>
      </w:pPr>
      <w:r w:rsidRPr="00A46EB1">
        <w:t>Je – descriptive trait verbs not relating to personality characteristics</w:t>
      </w:r>
    </w:p>
    <w:p w14:paraId="1314CE31" w14:textId="77777777" w:rsidR="00996754" w:rsidRDefault="00996754" w:rsidP="00996754">
      <w:pPr>
        <w:pStyle w:val="ListParagraph"/>
        <w:numPr>
          <w:ilvl w:val="0"/>
          <w:numId w:val="2"/>
        </w:numPr>
        <w:ind w:right="720"/>
      </w:pPr>
      <w:proofErr w:type="spellStart"/>
      <w:r w:rsidRPr="00996754">
        <w:rPr>
          <w:i/>
        </w:rPr>
        <w:t>Fraijet</w:t>
      </w:r>
      <w:proofErr w:type="spellEnd"/>
      <w:r w:rsidRPr="00996754">
        <w:rPr>
          <w:i/>
        </w:rPr>
        <w:t xml:space="preserve"> it </w:t>
      </w:r>
      <w:proofErr w:type="spellStart"/>
      <w:r w:rsidRPr="00996754">
        <w:rPr>
          <w:i/>
        </w:rPr>
        <w:t>nal</w:t>
      </w:r>
      <w:proofErr w:type="spellEnd"/>
      <w:r w:rsidRPr="00996754">
        <w:rPr>
          <w:i/>
        </w:rPr>
        <w:t xml:space="preserve"> </w:t>
      </w:r>
      <w:proofErr w:type="spellStart"/>
      <w:r w:rsidRPr="00996754">
        <w:rPr>
          <w:i/>
        </w:rPr>
        <w:t>kontrar</w:t>
      </w:r>
      <w:proofErr w:type="spellEnd"/>
      <w:r w:rsidRPr="00996754">
        <w:rPr>
          <w:i/>
        </w:rPr>
        <w:t xml:space="preserve"> je </w:t>
      </w:r>
      <w:proofErr w:type="spellStart"/>
      <w:r w:rsidRPr="00996754">
        <w:rPr>
          <w:i/>
        </w:rPr>
        <w:t>denda</w:t>
      </w:r>
      <w:proofErr w:type="spellEnd"/>
      <w:r>
        <w:t xml:space="preserve"> – Fred cannot find it</w:t>
      </w:r>
    </w:p>
    <w:p w14:paraId="2036E5D9" w14:textId="77777777" w:rsidR="00996754" w:rsidRPr="00996754" w:rsidRDefault="00627066" w:rsidP="00996754">
      <w:pPr>
        <w:pStyle w:val="ListParagraph"/>
        <w:numPr>
          <w:ilvl w:val="0"/>
          <w:numId w:val="2"/>
        </w:numPr>
        <w:ind w:right="720"/>
      </w:pPr>
      <w:r w:rsidRPr="00627066">
        <w:rPr>
          <w:i/>
        </w:rPr>
        <w:t xml:space="preserve">Yu de jai </w:t>
      </w:r>
      <w:proofErr w:type="spellStart"/>
      <w:r w:rsidRPr="00627066">
        <w:rPr>
          <w:i/>
        </w:rPr>
        <w:t>nal</w:t>
      </w:r>
      <w:proofErr w:type="spellEnd"/>
      <w:r w:rsidRPr="00627066">
        <w:rPr>
          <w:i/>
        </w:rPr>
        <w:t xml:space="preserve"> </w:t>
      </w:r>
      <w:proofErr w:type="spellStart"/>
      <w:r w:rsidRPr="00627066">
        <w:rPr>
          <w:i/>
        </w:rPr>
        <w:t>vora-kita</w:t>
      </w:r>
      <w:proofErr w:type="spellEnd"/>
      <w:r w:rsidRPr="00627066">
        <w:rPr>
          <w:i/>
        </w:rPr>
        <w:t xml:space="preserve"> je </w:t>
      </w:r>
      <w:proofErr w:type="spellStart"/>
      <w:r w:rsidRPr="00627066">
        <w:rPr>
          <w:i/>
        </w:rPr>
        <w:t>denda</w:t>
      </w:r>
      <w:proofErr w:type="spellEnd"/>
      <w:r w:rsidRPr="00627066">
        <w:rPr>
          <w:i/>
        </w:rPr>
        <w:t xml:space="preserve"> </w:t>
      </w:r>
      <w:proofErr w:type="spellStart"/>
      <w:r w:rsidRPr="00627066">
        <w:rPr>
          <w:i/>
        </w:rPr>
        <w:t>pash</w:t>
      </w:r>
      <w:proofErr w:type="spellEnd"/>
      <w:r w:rsidRPr="00627066">
        <w:rPr>
          <w:i/>
        </w:rPr>
        <w:t xml:space="preserve"> nun</w:t>
      </w:r>
      <w:r>
        <w:t xml:space="preserve"> – You may not leave the house before noon</w:t>
      </w:r>
    </w:p>
    <w:p w14:paraId="751C8A93" w14:textId="77777777" w:rsidR="00996754" w:rsidRDefault="001126DE" w:rsidP="001126DE">
      <w:pPr>
        <w:pStyle w:val="ListParagraph"/>
        <w:numPr>
          <w:ilvl w:val="0"/>
          <w:numId w:val="2"/>
        </w:numPr>
        <w:ind w:right="720"/>
      </w:pPr>
      <w:proofErr w:type="spellStart"/>
      <w:r w:rsidRPr="001126DE">
        <w:rPr>
          <w:i/>
        </w:rPr>
        <w:lastRenderedPageBreak/>
        <w:t>Yli</w:t>
      </w:r>
      <w:proofErr w:type="spellEnd"/>
      <w:r w:rsidRPr="001126DE">
        <w:rPr>
          <w:i/>
        </w:rPr>
        <w:t xml:space="preserve"> </w:t>
      </w:r>
      <w:proofErr w:type="spellStart"/>
      <w:r>
        <w:rPr>
          <w:i/>
        </w:rPr>
        <w:t>duhua</w:t>
      </w:r>
      <w:proofErr w:type="spellEnd"/>
      <w:r w:rsidRPr="001126DE">
        <w:rPr>
          <w:i/>
        </w:rPr>
        <w:t xml:space="preserve"> je </w:t>
      </w:r>
      <w:proofErr w:type="spellStart"/>
      <w:r w:rsidRPr="001126DE">
        <w:rPr>
          <w:i/>
        </w:rPr>
        <w:t>koa</w:t>
      </w:r>
      <w:proofErr w:type="spellEnd"/>
      <w:r>
        <w:t xml:space="preserve"> – He’s quite poor</w:t>
      </w:r>
    </w:p>
    <w:p w14:paraId="62FD13F3" w14:textId="77777777" w:rsidR="001126DE" w:rsidRDefault="001126DE" w:rsidP="001126DE">
      <w:pPr>
        <w:ind w:left="720" w:right="720"/>
      </w:pPr>
      <w:r>
        <w:t xml:space="preserve">De – borrowed </w:t>
      </w:r>
      <w:r w:rsidR="00917E91">
        <w:t xml:space="preserve">from </w:t>
      </w:r>
      <w:r w:rsidR="00657070">
        <w:t xml:space="preserve">Latin-based </w:t>
      </w:r>
      <w:proofErr w:type="spellStart"/>
      <w:r w:rsidR="00657070">
        <w:t>langauges</w:t>
      </w:r>
      <w:proofErr w:type="spellEnd"/>
      <w:r w:rsidR="00917E91">
        <w:t xml:space="preserve">. Only productive in context of </w:t>
      </w:r>
      <w:r w:rsidR="00657070">
        <w:t>loan words</w:t>
      </w:r>
    </w:p>
    <w:p w14:paraId="21F33682" w14:textId="77777777" w:rsidR="00657070" w:rsidRDefault="00657070" w:rsidP="00657070">
      <w:pPr>
        <w:pStyle w:val="ListParagraph"/>
        <w:numPr>
          <w:ilvl w:val="0"/>
          <w:numId w:val="3"/>
        </w:numPr>
        <w:ind w:right="720"/>
      </w:pPr>
      <w:proofErr w:type="spellStart"/>
      <w:r w:rsidRPr="00657070">
        <w:rPr>
          <w:i/>
        </w:rPr>
        <w:t>Yli</w:t>
      </w:r>
      <w:proofErr w:type="spellEnd"/>
      <w:r w:rsidRPr="00657070">
        <w:rPr>
          <w:i/>
        </w:rPr>
        <w:t xml:space="preserve"> </w:t>
      </w:r>
      <w:proofErr w:type="spellStart"/>
      <w:r w:rsidRPr="00657070">
        <w:rPr>
          <w:i/>
        </w:rPr>
        <w:t>komar</w:t>
      </w:r>
      <w:proofErr w:type="spellEnd"/>
      <w:r w:rsidRPr="00657070">
        <w:rPr>
          <w:i/>
        </w:rPr>
        <w:t xml:space="preserve"> de </w:t>
      </w:r>
      <w:proofErr w:type="spellStart"/>
      <w:r w:rsidRPr="00657070">
        <w:rPr>
          <w:i/>
        </w:rPr>
        <w:t>gosta</w:t>
      </w:r>
      <w:proofErr w:type="spellEnd"/>
      <w:r>
        <w:t xml:space="preserve"> – He enjoys eating</w:t>
      </w:r>
    </w:p>
    <w:p w14:paraId="0A7EDBEB" w14:textId="77777777" w:rsidR="00657070" w:rsidRDefault="00657070" w:rsidP="00657070">
      <w:pPr>
        <w:pStyle w:val="ListParagraph"/>
        <w:numPr>
          <w:ilvl w:val="0"/>
          <w:numId w:val="3"/>
        </w:numPr>
        <w:ind w:right="720"/>
      </w:pPr>
      <w:proofErr w:type="spellStart"/>
      <w:r>
        <w:rPr>
          <w:i/>
        </w:rPr>
        <w:t>Yo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xelcorda</w:t>
      </w:r>
      <w:proofErr w:type="spellEnd"/>
      <w:r>
        <w:t xml:space="preserve"> – I don’t remember you</w:t>
      </w:r>
    </w:p>
    <w:p w14:paraId="3FC76CCF" w14:textId="77777777" w:rsidR="00657070" w:rsidRDefault="00657070" w:rsidP="00657070">
      <w:pPr>
        <w:ind w:left="720" w:right="720"/>
      </w:pPr>
    </w:p>
    <w:p w14:paraId="60A62201" w14:textId="77777777" w:rsidR="00657070" w:rsidRPr="00F1188B" w:rsidRDefault="00657070" w:rsidP="00657070">
      <w:pPr>
        <w:ind w:left="720" w:right="720"/>
      </w:pPr>
      <w:proofErr w:type="spellStart"/>
      <w:proofErr w:type="gramStart"/>
      <w:r>
        <w:t>Mej</w:t>
      </w:r>
      <w:proofErr w:type="spellEnd"/>
      <w:r>
        <w:t xml:space="preserve"> – comparable to Germanic </w:t>
      </w:r>
      <w:proofErr w:type="spellStart"/>
      <w:r>
        <w:rPr>
          <w:i/>
        </w:rPr>
        <w:t>mit</w:t>
      </w:r>
      <w:proofErr w:type="spellEnd"/>
      <w:r>
        <w:t xml:space="preserve"> and used to denote accompanying action</w:t>
      </w:r>
      <w:r w:rsidR="00F1188B">
        <w:t>.</w:t>
      </w:r>
      <w:proofErr w:type="gramEnd"/>
      <w:r w:rsidR="00F1188B">
        <w:t xml:space="preserve"> </w:t>
      </w:r>
      <w:proofErr w:type="spellStart"/>
      <w:r w:rsidR="00F1188B">
        <w:rPr>
          <w:i/>
        </w:rPr>
        <w:t>Mej</w:t>
      </w:r>
      <w:proofErr w:type="spellEnd"/>
      <w:r w:rsidR="00F1188B">
        <w:t xml:space="preserve"> is technically both a reserved prepositional verb and a regular preposition</w:t>
      </w:r>
    </w:p>
    <w:p w14:paraId="60737447" w14:textId="77777777" w:rsidR="00657070" w:rsidRDefault="00657070" w:rsidP="00657070">
      <w:pPr>
        <w:pStyle w:val="ListParagraph"/>
        <w:numPr>
          <w:ilvl w:val="0"/>
          <w:numId w:val="4"/>
        </w:numPr>
        <w:ind w:right="720"/>
      </w:pPr>
      <w:r w:rsidRPr="00F1188B">
        <w:rPr>
          <w:i/>
        </w:rPr>
        <w:t xml:space="preserve">Yu </w:t>
      </w:r>
      <w:proofErr w:type="spellStart"/>
      <w:proofErr w:type="gramStart"/>
      <w:r w:rsidRPr="00F1188B">
        <w:rPr>
          <w:i/>
        </w:rPr>
        <w:t>jos</w:t>
      </w:r>
      <w:proofErr w:type="spellEnd"/>
      <w:proofErr w:type="gram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mej</w:t>
      </w:r>
      <w:proofErr w:type="spell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komar</w:t>
      </w:r>
      <w:proofErr w:type="spellEnd"/>
      <w:r w:rsidRPr="00F1188B">
        <w:rPr>
          <w:i/>
        </w:rPr>
        <w:t xml:space="preserve"> je </w:t>
      </w:r>
      <w:proofErr w:type="spellStart"/>
      <w:r w:rsidRPr="00F1188B">
        <w:rPr>
          <w:i/>
        </w:rPr>
        <w:t>denda</w:t>
      </w:r>
      <w:proofErr w:type="spellEnd"/>
      <w:r w:rsidRPr="00F1188B">
        <w:rPr>
          <w:i/>
        </w:rPr>
        <w:t>?</w:t>
      </w:r>
      <w:r>
        <w:t xml:space="preserve"> – Would you like to eat with us?</w:t>
      </w:r>
    </w:p>
    <w:p w14:paraId="4840A18F" w14:textId="77777777" w:rsidR="00657070" w:rsidRDefault="00657070" w:rsidP="00657070">
      <w:pPr>
        <w:pStyle w:val="ListParagraph"/>
        <w:numPr>
          <w:ilvl w:val="0"/>
          <w:numId w:val="4"/>
        </w:numPr>
        <w:ind w:right="720"/>
      </w:pPr>
      <w:proofErr w:type="spellStart"/>
      <w:r w:rsidRPr="00F1188B">
        <w:rPr>
          <w:i/>
        </w:rPr>
        <w:t>Yli</w:t>
      </w:r>
      <w:proofErr w:type="spell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jos</w:t>
      </w:r>
      <w:proofErr w:type="spell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mej</w:t>
      </w:r>
      <w:proofErr w:type="spell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va</w:t>
      </w:r>
      <w:r w:rsidR="00F1188B" w:rsidRPr="00F1188B">
        <w:rPr>
          <w:i/>
        </w:rPr>
        <w:t>ja</w:t>
      </w:r>
      <w:proofErr w:type="spellEnd"/>
      <w:r w:rsidRPr="00F1188B">
        <w:rPr>
          <w:i/>
        </w:rPr>
        <w:t xml:space="preserve"> </w:t>
      </w:r>
      <w:r w:rsidR="00F1188B" w:rsidRPr="00F1188B">
        <w:rPr>
          <w:i/>
        </w:rPr>
        <w:t xml:space="preserve">pal </w:t>
      </w:r>
      <w:proofErr w:type="spellStart"/>
      <w:r w:rsidR="00F1188B">
        <w:rPr>
          <w:i/>
        </w:rPr>
        <w:t>Pujolant</w:t>
      </w:r>
      <w:proofErr w:type="spellEnd"/>
      <w:r w:rsidR="00F1188B">
        <w:t xml:space="preserve"> </w:t>
      </w:r>
      <w:r>
        <w:t>–</w:t>
      </w:r>
      <w:r w:rsidR="00F1188B">
        <w:t xml:space="preserve"> He used to accompany us to Poland</w:t>
      </w:r>
    </w:p>
    <w:p w14:paraId="7282B5A6" w14:textId="77777777" w:rsidR="00F1188B" w:rsidRDefault="00F1188B" w:rsidP="00F1188B">
      <w:pPr>
        <w:ind w:left="720" w:right="720"/>
      </w:pPr>
      <w:proofErr w:type="spellStart"/>
      <w:proofErr w:type="gramStart"/>
      <w:r>
        <w:t>Apei</w:t>
      </w:r>
      <w:proofErr w:type="spellEnd"/>
      <w:r>
        <w:t xml:space="preserve"> – descriptive trait verbs relating to personality characteristics</w:t>
      </w:r>
      <w:r w:rsidR="00310C35">
        <w:t>.</w:t>
      </w:r>
      <w:proofErr w:type="gramEnd"/>
      <w:r w:rsidR="00310C35">
        <w:t xml:space="preserve"> Also used to express volition of a characteristic</w:t>
      </w:r>
    </w:p>
    <w:p w14:paraId="1B7FA52E" w14:textId="77777777" w:rsidR="00F1188B" w:rsidRDefault="00F1188B" w:rsidP="00F1188B">
      <w:pPr>
        <w:pStyle w:val="ListParagraph"/>
        <w:numPr>
          <w:ilvl w:val="0"/>
          <w:numId w:val="5"/>
        </w:numPr>
        <w:ind w:right="720"/>
      </w:pPr>
      <w:proofErr w:type="spellStart"/>
      <w:r w:rsidRPr="00F1188B">
        <w:rPr>
          <w:i/>
        </w:rPr>
        <w:t>Yli</w:t>
      </w:r>
      <w:proofErr w:type="spell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ekret</w:t>
      </w:r>
      <w:proofErr w:type="spell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uba</w:t>
      </w:r>
      <w:proofErr w:type="spell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japei</w:t>
      </w:r>
      <w:proofErr w:type="spellEnd"/>
      <w:r w:rsidRPr="00F1188B">
        <w:rPr>
          <w:i/>
        </w:rPr>
        <w:t xml:space="preserve"> </w:t>
      </w:r>
      <w:proofErr w:type="spellStart"/>
      <w:r w:rsidRPr="00F1188B">
        <w:rPr>
          <w:i/>
        </w:rPr>
        <w:t>koa</w:t>
      </w:r>
      <w:proofErr w:type="spellEnd"/>
      <w:r w:rsidRPr="00F1188B">
        <w:rPr>
          <w:i/>
        </w:rPr>
        <w:t>!</w:t>
      </w:r>
      <w:r>
        <w:t xml:space="preserve"> – He’s a real scoundrel!</w:t>
      </w:r>
    </w:p>
    <w:p w14:paraId="0AF0A391" w14:textId="77777777" w:rsidR="00F1188B" w:rsidRDefault="00F1188B" w:rsidP="00F1188B">
      <w:pPr>
        <w:pStyle w:val="ListParagraph"/>
        <w:numPr>
          <w:ilvl w:val="0"/>
          <w:numId w:val="5"/>
        </w:numPr>
        <w:ind w:right="720"/>
      </w:pPr>
      <w:proofErr w:type="spellStart"/>
      <w:r>
        <w:rPr>
          <w:i/>
        </w:rPr>
        <w:t>Jeamu</w:t>
      </w:r>
      <w:r w:rsidR="00310C35">
        <w:rPr>
          <w:i/>
        </w:rPr>
        <w:t>zeu</w:t>
      </w:r>
      <w:proofErr w:type="spellEnd"/>
      <w:r w:rsidR="00310C35">
        <w:rPr>
          <w:i/>
        </w:rPr>
        <w:t xml:space="preserve"> </w:t>
      </w:r>
      <w:proofErr w:type="spellStart"/>
      <w:r w:rsidR="00310C35">
        <w:rPr>
          <w:i/>
        </w:rPr>
        <w:t>jiy</w:t>
      </w:r>
      <w:proofErr w:type="spellEnd"/>
      <w:r w:rsidR="00310C35">
        <w:rPr>
          <w:i/>
        </w:rPr>
        <w:t xml:space="preserve"> </w:t>
      </w:r>
      <w:proofErr w:type="spellStart"/>
      <w:r w:rsidR="00310C35">
        <w:rPr>
          <w:i/>
        </w:rPr>
        <w:t>gaf</w:t>
      </w:r>
      <w:proofErr w:type="spellEnd"/>
      <w:r w:rsidR="00310C35">
        <w:rPr>
          <w:i/>
        </w:rPr>
        <w:t xml:space="preserve"> </w:t>
      </w:r>
      <w:proofErr w:type="spellStart"/>
      <w:r w:rsidR="00310C35">
        <w:rPr>
          <w:i/>
        </w:rPr>
        <w:t>apei</w:t>
      </w:r>
      <w:proofErr w:type="spellEnd"/>
      <w:r w:rsidR="00310C35">
        <w:rPr>
          <w:i/>
        </w:rPr>
        <w:t xml:space="preserve"> </w:t>
      </w:r>
      <w:proofErr w:type="spellStart"/>
      <w:r w:rsidR="00310C35">
        <w:rPr>
          <w:i/>
        </w:rPr>
        <w:t>koa</w:t>
      </w:r>
      <w:proofErr w:type="spellEnd"/>
      <w:r w:rsidR="00310C35">
        <w:rPr>
          <w:i/>
        </w:rPr>
        <w:t xml:space="preserve"> </w:t>
      </w:r>
      <w:r w:rsidR="00310C35">
        <w:t>– That museum is supposed to be great</w:t>
      </w:r>
    </w:p>
    <w:p w14:paraId="4CBF9A96" w14:textId="77777777" w:rsidR="0010582D" w:rsidRPr="00657070" w:rsidRDefault="0010582D" w:rsidP="00F1188B">
      <w:pPr>
        <w:pStyle w:val="ListParagraph"/>
        <w:numPr>
          <w:ilvl w:val="0"/>
          <w:numId w:val="5"/>
        </w:numPr>
        <w:ind w:right="720"/>
      </w:pPr>
      <w:proofErr w:type="spellStart"/>
      <w:r>
        <w:rPr>
          <w:i/>
        </w:rPr>
        <w:t>Yuï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tutemp</w:t>
      </w:r>
      <w:proofErr w:type="spellEnd"/>
      <w:r>
        <w:rPr>
          <w:i/>
        </w:rPr>
        <w:t xml:space="preserve">) dash temp </w:t>
      </w:r>
      <w:proofErr w:type="spellStart"/>
      <w:r>
        <w:rPr>
          <w:i/>
        </w:rPr>
        <w:t>apei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koa</w:t>
      </w:r>
      <w:proofErr w:type="spellEnd"/>
      <w:r w:rsidRPr="0010582D">
        <w:t>!</w:t>
      </w:r>
      <w:r>
        <w:t xml:space="preserve"> – You are always late! (</w:t>
      </w:r>
      <w:proofErr w:type="spellStart"/>
      <w:proofErr w:type="gramStart"/>
      <w:r>
        <w:rPr>
          <w:i/>
        </w:rPr>
        <w:t>tutemp</w:t>
      </w:r>
      <w:proofErr w:type="spellEnd"/>
      <w:proofErr w:type="gramEnd"/>
      <w:r>
        <w:t xml:space="preserve"> can be omitted without any change in meaning because </w:t>
      </w:r>
      <w:proofErr w:type="spellStart"/>
      <w:r>
        <w:rPr>
          <w:i/>
        </w:rPr>
        <w:t>apei</w:t>
      </w:r>
      <w:proofErr w:type="spellEnd"/>
      <w:r>
        <w:t xml:space="preserve"> signifies characteristic permanence)</w:t>
      </w:r>
    </w:p>
    <w:p w14:paraId="6D9A4D13" w14:textId="77777777" w:rsidR="00A46EB1" w:rsidRDefault="00996754" w:rsidP="00A46EB1">
      <w:pPr>
        <w:pStyle w:val="Heading2"/>
      </w:pPr>
      <w:r>
        <w:t>Conjugation</w:t>
      </w:r>
    </w:p>
    <w:p w14:paraId="538BB0E9" w14:textId="77777777" w:rsidR="00A46EB1" w:rsidRDefault="00A46EB1" w:rsidP="00A46EB1"/>
    <w:p w14:paraId="310EC0C6" w14:textId="77777777" w:rsidR="00A46EB1" w:rsidRPr="00A46EB1" w:rsidRDefault="00A46EB1" w:rsidP="00A46EB1">
      <w:pPr>
        <w:pStyle w:val="Heading4"/>
        <w:ind w:left="720"/>
        <w:rPr>
          <w:color w:val="auto"/>
        </w:rPr>
      </w:pPr>
      <w:r w:rsidRPr="00A46EB1">
        <w:rPr>
          <w:color w:val="auto"/>
        </w:rPr>
        <w:t>Historical Context</w:t>
      </w:r>
    </w:p>
    <w:p w14:paraId="1E063583" w14:textId="77777777" w:rsidR="00996754" w:rsidRDefault="00996754" w:rsidP="00A46EB1">
      <w:pPr>
        <w:ind w:left="720"/>
      </w:pPr>
    </w:p>
    <w:p w14:paraId="69C31D1C" w14:textId="77777777" w:rsidR="00CD7500" w:rsidRDefault="00996754" w:rsidP="00A46EB1">
      <w:pPr>
        <w:ind w:left="720"/>
      </w:pPr>
      <w:r>
        <w:t xml:space="preserve">The greatest difference between </w:t>
      </w:r>
      <w:r>
        <w:rPr>
          <w:i/>
        </w:rPr>
        <w:t>Ducai-</w:t>
      </w:r>
      <w:proofErr w:type="spellStart"/>
      <w:r>
        <w:rPr>
          <w:i/>
        </w:rPr>
        <w:t>aiver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Yliöma</w:t>
      </w:r>
      <w:proofErr w:type="spellEnd"/>
      <w:r>
        <w:rPr>
          <w:i/>
        </w:rPr>
        <w:t xml:space="preserve"> </w:t>
      </w:r>
      <w:r>
        <w:t xml:space="preserve">(Old Ducai) and Modern Ducai occurs in diction and morphological agreement, especially of verbs. </w:t>
      </w:r>
      <w:r w:rsidR="0010582D">
        <w:t>Speakers and writers of Old Ducai pride themselves on complexity of forms as they claim it avoids all ambiguity that might otherwise arise in commu</w:t>
      </w:r>
      <w:r w:rsidR="00A46EB1">
        <w:t xml:space="preserve">nication. </w:t>
      </w:r>
    </w:p>
    <w:p w14:paraId="3592585F" w14:textId="77777777" w:rsidR="00CD7500" w:rsidRDefault="00CD7500" w:rsidP="00A46EB1">
      <w:pPr>
        <w:ind w:left="720"/>
      </w:pPr>
    </w:p>
    <w:p w14:paraId="447D8473" w14:textId="37F853B4" w:rsidR="00A46EB1" w:rsidRDefault="00A46EB1" w:rsidP="00CD7500">
      <w:pPr>
        <w:ind w:left="720"/>
      </w:pPr>
      <w:r>
        <w:t xml:space="preserve">Ducai schools will generally teach students to read and occasionally write in Old Ducai, but fluent speakers are very hard to find. </w:t>
      </w:r>
      <w:r w:rsidR="00CD7500">
        <w:t xml:space="preserve"> </w:t>
      </w:r>
      <w:r>
        <w:t xml:space="preserve">As of 1997, all known texts written in Old Ducai were translated to Modern Ducai. </w:t>
      </w:r>
      <w:r w:rsidR="00914DCF">
        <w:t xml:space="preserve"> Most linguistics wishing to study and record spoken examples</w:t>
      </w:r>
      <w:r w:rsidR="005321C8">
        <w:t xml:space="preserve"> of </w:t>
      </w:r>
      <w:r w:rsidR="005321C8">
        <w:rPr>
          <w:i/>
        </w:rPr>
        <w:t>Ducai-</w:t>
      </w:r>
      <w:proofErr w:type="spellStart"/>
      <w:r w:rsidR="005321C8">
        <w:rPr>
          <w:i/>
        </w:rPr>
        <w:t>aiver</w:t>
      </w:r>
      <w:proofErr w:type="spellEnd"/>
      <w:r w:rsidR="005321C8">
        <w:rPr>
          <w:i/>
        </w:rPr>
        <w:t xml:space="preserve"> </w:t>
      </w:r>
      <w:proofErr w:type="spellStart"/>
      <w:r w:rsidR="005321C8">
        <w:rPr>
          <w:i/>
        </w:rPr>
        <w:t>Yliöma</w:t>
      </w:r>
      <w:proofErr w:type="spellEnd"/>
      <w:r w:rsidR="005321C8">
        <w:rPr>
          <w:i/>
        </w:rPr>
        <w:t xml:space="preserve"> </w:t>
      </w:r>
      <w:r w:rsidR="005321C8">
        <w:t xml:space="preserve">travel to colonies in Telemark or Oslo. </w:t>
      </w:r>
    </w:p>
    <w:p w14:paraId="1E4EF889" w14:textId="77777777" w:rsidR="00A46EB1" w:rsidRDefault="00A46EB1" w:rsidP="00A46EB1">
      <w:pPr>
        <w:ind w:left="720"/>
      </w:pPr>
    </w:p>
    <w:p w14:paraId="56A1618E" w14:textId="77777777" w:rsidR="00996754" w:rsidRDefault="00A46EB1" w:rsidP="00A46EB1">
      <w:pPr>
        <w:ind w:left="720"/>
      </w:pPr>
      <w:r>
        <w:t xml:space="preserve">After the end of Spanish occupancy in 1622, the linguist </w:t>
      </w:r>
      <w:proofErr w:type="spellStart"/>
      <w:r>
        <w:t>Karlos</w:t>
      </w:r>
      <w:proofErr w:type="spellEnd"/>
      <w:r>
        <w:t xml:space="preserve"> </w:t>
      </w:r>
      <w:proofErr w:type="spellStart"/>
      <w:r>
        <w:t>Otçoa</w:t>
      </w:r>
      <w:proofErr w:type="spellEnd"/>
      <w:r>
        <w:t xml:space="preserve"> (Carlos Ochoa) began to condense a</w:t>
      </w:r>
      <w:r w:rsidR="00914DCF">
        <w:t xml:space="preserve">ll conjugated forms into their common categories. Although his rules have since been reformed and many known exceptions exist, his </w:t>
      </w:r>
      <w:proofErr w:type="spellStart"/>
      <w:r w:rsidR="00914DCF">
        <w:rPr>
          <w:i/>
        </w:rPr>
        <w:t>Reglas</w:t>
      </w:r>
      <w:proofErr w:type="spellEnd"/>
      <w:r w:rsidR="00914DCF">
        <w:rPr>
          <w:i/>
        </w:rPr>
        <w:t xml:space="preserve"> </w:t>
      </w:r>
      <w:proofErr w:type="spellStart"/>
      <w:r w:rsidR="00914DCF">
        <w:rPr>
          <w:i/>
        </w:rPr>
        <w:t>Conjugaciónales</w:t>
      </w:r>
      <w:proofErr w:type="spellEnd"/>
      <w:r w:rsidR="00914DCF">
        <w:rPr>
          <w:i/>
        </w:rPr>
        <w:t xml:space="preserve"> de Ducai-</w:t>
      </w:r>
      <w:proofErr w:type="spellStart"/>
      <w:r w:rsidR="00914DCF">
        <w:rPr>
          <w:i/>
        </w:rPr>
        <w:t>aiver</w:t>
      </w:r>
      <w:proofErr w:type="spellEnd"/>
      <w:r w:rsidR="00914DCF">
        <w:rPr>
          <w:i/>
        </w:rPr>
        <w:t xml:space="preserve"> </w:t>
      </w:r>
      <w:r w:rsidR="00914DCF">
        <w:t>(Ducai Conjugation Rules) are still productive and immensely popular in the process of language change and evolution.</w:t>
      </w:r>
    </w:p>
    <w:p w14:paraId="082870DC" w14:textId="77777777" w:rsidR="00914DCF" w:rsidRDefault="00914DCF" w:rsidP="00A46EB1">
      <w:pPr>
        <w:ind w:left="720"/>
      </w:pPr>
    </w:p>
    <w:p w14:paraId="127E6D75" w14:textId="77777777" w:rsidR="00914DCF" w:rsidRDefault="00914DCF" w:rsidP="00914DCF">
      <w:pPr>
        <w:pStyle w:val="Heading4"/>
        <w:ind w:left="720"/>
        <w:rPr>
          <w:color w:val="auto"/>
        </w:rPr>
      </w:pPr>
      <w:proofErr w:type="spellStart"/>
      <w:r w:rsidRPr="00914DCF">
        <w:rPr>
          <w:color w:val="auto"/>
        </w:rPr>
        <w:t>Karlos</w:t>
      </w:r>
      <w:proofErr w:type="spellEnd"/>
      <w:r w:rsidRPr="00914DCF">
        <w:rPr>
          <w:color w:val="auto"/>
        </w:rPr>
        <w:t xml:space="preserve"> </w:t>
      </w:r>
      <w:proofErr w:type="spellStart"/>
      <w:r w:rsidRPr="00914DCF">
        <w:rPr>
          <w:color w:val="auto"/>
        </w:rPr>
        <w:t>Otçoa’s</w:t>
      </w:r>
      <w:proofErr w:type="spellEnd"/>
      <w:r w:rsidRPr="00914DCF">
        <w:rPr>
          <w:color w:val="auto"/>
        </w:rPr>
        <w:t xml:space="preserve"> Rules</w:t>
      </w:r>
    </w:p>
    <w:p w14:paraId="1739EA90" w14:textId="77777777" w:rsidR="00914DCF" w:rsidRDefault="00914DCF" w:rsidP="005321C8">
      <w:pPr>
        <w:ind w:left="720"/>
      </w:pPr>
    </w:p>
    <w:p w14:paraId="46EB3A60" w14:textId="77777777" w:rsidR="00AF1220" w:rsidRDefault="00AF1220" w:rsidP="005321C8">
      <w:pPr>
        <w:ind w:left="720"/>
      </w:pPr>
    </w:p>
    <w:p w14:paraId="492B45F2" w14:textId="77777777" w:rsidR="00AF1220" w:rsidRDefault="00AF1220" w:rsidP="005321C8">
      <w:pPr>
        <w:ind w:left="720"/>
      </w:pPr>
    </w:p>
    <w:p w14:paraId="1C274349" w14:textId="77777777" w:rsidR="00AF1220" w:rsidRDefault="00AF1220" w:rsidP="005321C8">
      <w:pPr>
        <w:ind w:left="720"/>
      </w:pPr>
    </w:p>
    <w:p w14:paraId="294D105A" w14:textId="77777777" w:rsidR="00AF1220" w:rsidRDefault="00AF1220" w:rsidP="005321C8">
      <w:pPr>
        <w:ind w:left="720"/>
      </w:pPr>
    </w:p>
    <w:p w14:paraId="0C791574" w14:textId="77777777" w:rsidR="00AF1220" w:rsidRDefault="00AF1220" w:rsidP="005321C8">
      <w:pPr>
        <w:ind w:left="720"/>
      </w:pPr>
    </w:p>
    <w:p w14:paraId="1C38C4EE" w14:textId="77777777" w:rsidR="00AF1220" w:rsidRDefault="00AF1220" w:rsidP="005321C8">
      <w:pPr>
        <w:ind w:left="720"/>
      </w:pPr>
    </w:p>
    <w:p w14:paraId="48E7A45E" w14:textId="77777777" w:rsidR="00AF1220" w:rsidRDefault="00AF1220" w:rsidP="005321C8">
      <w:pPr>
        <w:ind w:left="720"/>
      </w:pPr>
    </w:p>
    <w:p w14:paraId="7999960B" w14:textId="77777777" w:rsidR="00AF1220" w:rsidRDefault="00AF1220" w:rsidP="005321C8">
      <w:pPr>
        <w:ind w:left="720"/>
      </w:pPr>
    </w:p>
    <w:p w14:paraId="141E136B" w14:textId="77777777" w:rsidR="00AF1220" w:rsidRDefault="00AF1220" w:rsidP="005321C8">
      <w:pPr>
        <w:ind w:left="720"/>
      </w:pPr>
    </w:p>
    <w:p w14:paraId="60DBA73E" w14:textId="77777777" w:rsidR="00AF1220" w:rsidRDefault="00AF1220" w:rsidP="005321C8">
      <w:pPr>
        <w:ind w:left="720"/>
      </w:pPr>
    </w:p>
    <w:p w14:paraId="65ABD847" w14:textId="77777777" w:rsidR="00AF1220" w:rsidRDefault="00AF1220" w:rsidP="005321C8">
      <w:pPr>
        <w:ind w:left="720"/>
      </w:pPr>
    </w:p>
    <w:p w14:paraId="0C950512" w14:textId="236F9448" w:rsidR="00AF1220" w:rsidRDefault="00264531" w:rsidP="005321C8">
      <w:pPr>
        <w:ind w:left="720"/>
      </w:pPr>
      <w:proofErr w:type="spellStart"/>
      <w:r>
        <w:t>Sd</w:t>
      </w:r>
      <w:proofErr w:type="spellEnd"/>
    </w:p>
    <w:tbl>
      <w:tblPr>
        <w:tblStyle w:val="MediumGrid2-Accent5"/>
        <w:tblpPr w:leftFromText="180" w:rightFromText="180" w:vertAnchor="page" w:horzAnchor="page" w:tblpX="2449" w:tblpY="8281"/>
        <w:tblW w:w="8446" w:type="dxa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89"/>
        <w:gridCol w:w="1690"/>
      </w:tblGrid>
      <w:tr w:rsidR="00264531" w14:paraId="74C3564F" w14:textId="77777777" w:rsidTr="0026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</w:tcPr>
          <w:p w14:paraId="377EFCDF" w14:textId="3D72F83C" w:rsidR="00264531" w:rsidRDefault="00264531" w:rsidP="00264531">
            <w:r>
              <w:t>Conditional</w:t>
            </w:r>
          </w:p>
        </w:tc>
        <w:tc>
          <w:tcPr>
            <w:tcW w:w="1689" w:type="dxa"/>
          </w:tcPr>
          <w:p w14:paraId="1DB7D87F" w14:textId="55D90B14" w:rsidR="00264531" w:rsidRPr="00264531" w:rsidRDefault="00264531" w:rsidP="00264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64531">
              <w:rPr>
                <w:b w:val="0"/>
              </w:rPr>
              <w:t>-</w:t>
            </w:r>
            <w:proofErr w:type="spellStart"/>
            <w:proofErr w:type="gramStart"/>
            <w:r w:rsidRPr="00264531">
              <w:rPr>
                <w:b w:val="0"/>
              </w:rPr>
              <w:t>ara</w:t>
            </w:r>
            <w:proofErr w:type="spellEnd"/>
            <w:proofErr w:type="gramEnd"/>
          </w:p>
        </w:tc>
        <w:tc>
          <w:tcPr>
            <w:tcW w:w="1689" w:type="dxa"/>
          </w:tcPr>
          <w:p w14:paraId="30F93FAD" w14:textId="254921B2" w:rsidR="00264531" w:rsidRPr="00264531" w:rsidRDefault="00264531" w:rsidP="00264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proofErr w:type="gramStart"/>
            <w:r w:rsidRPr="00264531">
              <w:rPr>
                <w:b w:val="0"/>
              </w:rPr>
              <w:t>komara</w:t>
            </w:r>
            <w:proofErr w:type="spellEnd"/>
            <w:proofErr w:type="gramEnd"/>
          </w:p>
        </w:tc>
        <w:tc>
          <w:tcPr>
            <w:tcW w:w="1689" w:type="dxa"/>
          </w:tcPr>
          <w:p w14:paraId="650CAAE2" w14:textId="0AA1E4FB" w:rsidR="00264531" w:rsidRPr="00264531" w:rsidRDefault="00264531" w:rsidP="00264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proofErr w:type="gramStart"/>
            <w:r w:rsidRPr="00264531">
              <w:rPr>
                <w:b w:val="0"/>
              </w:rPr>
              <w:t>aivera</w:t>
            </w:r>
            <w:proofErr w:type="spellEnd"/>
            <w:proofErr w:type="gramEnd"/>
          </w:p>
        </w:tc>
        <w:tc>
          <w:tcPr>
            <w:tcW w:w="1690" w:type="dxa"/>
          </w:tcPr>
          <w:p w14:paraId="3204948B" w14:textId="6F82DE95" w:rsidR="00264531" w:rsidRPr="00264531" w:rsidRDefault="00264531" w:rsidP="00264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proofErr w:type="gramStart"/>
            <w:r w:rsidRPr="00264531">
              <w:rPr>
                <w:b w:val="0"/>
              </w:rPr>
              <w:t>japra</w:t>
            </w:r>
            <w:proofErr w:type="spellEnd"/>
            <w:proofErr w:type="gramEnd"/>
          </w:p>
        </w:tc>
      </w:tr>
      <w:tr w:rsidR="00264531" w14:paraId="7E2C58E0" w14:textId="77777777" w:rsidTr="0026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04D30F49" w14:textId="564D098D" w:rsidR="00264531" w:rsidRDefault="00264531" w:rsidP="00264531">
            <w:r>
              <w:t>Subjunctive II</w:t>
            </w:r>
          </w:p>
        </w:tc>
        <w:tc>
          <w:tcPr>
            <w:tcW w:w="1689" w:type="dxa"/>
          </w:tcPr>
          <w:p w14:paraId="2FFE1D4A" w14:textId="5E84CC8C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ia</w:t>
            </w:r>
            <w:proofErr w:type="spellEnd"/>
            <w:proofErr w:type="gramEnd"/>
          </w:p>
        </w:tc>
        <w:tc>
          <w:tcPr>
            <w:tcW w:w="1689" w:type="dxa"/>
          </w:tcPr>
          <w:p w14:paraId="42B67B72" w14:textId="27A7FD23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komia</w:t>
            </w:r>
            <w:proofErr w:type="spellEnd"/>
            <w:proofErr w:type="gramEnd"/>
          </w:p>
        </w:tc>
        <w:tc>
          <w:tcPr>
            <w:tcW w:w="1689" w:type="dxa"/>
          </w:tcPr>
          <w:p w14:paraId="6DAA9CE7" w14:textId="0B9A5A45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aivia</w:t>
            </w:r>
            <w:proofErr w:type="spellEnd"/>
            <w:proofErr w:type="gramEnd"/>
          </w:p>
        </w:tc>
        <w:tc>
          <w:tcPr>
            <w:tcW w:w="1690" w:type="dxa"/>
          </w:tcPr>
          <w:p w14:paraId="4552379D" w14:textId="3B85C8D5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japia</w:t>
            </w:r>
            <w:proofErr w:type="spellEnd"/>
            <w:proofErr w:type="gramEnd"/>
          </w:p>
        </w:tc>
      </w:tr>
    </w:tbl>
    <w:p w14:paraId="4BF03EE2" w14:textId="77777777" w:rsidR="00AF1220" w:rsidRDefault="00AF1220" w:rsidP="005321C8">
      <w:pPr>
        <w:ind w:left="720"/>
      </w:pPr>
    </w:p>
    <w:p w14:paraId="400C2AB5" w14:textId="454E158D" w:rsidR="00AF1220" w:rsidRDefault="00AF1220" w:rsidP="005321C8">
      <w:pPr>
        <w:ind w:left="720"/>
      </w:pPr>
      <w:r>
        <w:t>The following rules were later adaptations</w:t>
      </w:r>
      <w:r w:rsidR="00264531">
        <w:t xml:space="preserve"> based on colloquial conjugations that eventually made their way into everyday speech and writing. Note that the conditional tense was previously</w:t>
      </w:r>
      <w:r>
        <w:t xml:space="preserve"> </w:t>
      </w:r>
      <w:r w:rsidR="00264531">
        <w:t xml:space="preserve">expressed by use of the imperfect past and subjunctive II was largely the result of newspapers and print advertising </w:t>
      </w:r>
      <w:proofErr w:type="gramStart"/>
      <w:r w:rsidR="00264531">
        <w:t>who</w:t>
      </w:r>
      <w:proofErr w:type="gramEnd"/>
      <w:r w:rsidR="00264531">
        <w:t xml:space="preserve"> wished to dodge libel/unjustified claims charges by expressing volition. </w:t>
      </w:r>
    </w:p>
    <w:p w14:paraId="0A98592A" w14:textId="77777777" w:rsidR="00264531" w:rsidRDefault="00264531" w:rsidP="005321C8">
      <w:pPr>
        <w:ind w:left="720"/>
      </w:pPr>
    </w:p>
    <w:p w14:paraId="741090BC" w14:textId="5F923BF8" w:rsidR="00264531" w:rsidRDefault="00264531" w:rsidP="005321C8">
      <w:pPr>
        <w:ind w:left="720"/>
        <w:rPr>
          <w:b/>
          <w:i/>
        </w:rPr>
      </w:pPr>
      <w:r>
        <w:rPr>
          <w:b/>
          <w:i/>
        </w:rPr>
        <w:t>Additional Rules</w:t>
      </w:r>
    </w:p>
    <w:p w14:paraId="3A8D736F" w14:textId="77777777" w:rsidR="00264531" w:rsidRDefault="00264531" w:rsidP="005321C8">
      <w:pPr>
        <w:ind w:left="720"/>
        <w:rPr>
          <w:b/>
          <w:i/>
        </w:rPr>
      </w:pPr>
    </w:p>
    <w:tbl>
      <w:tblPr>
        <w:tblStyle w:val="MediumGrid2-Accent5"/>
        <w:tblpPr w:leftFromText="180" w:rightFromText="180" w:vertAnchor="page" w:horzAnchor="page" w:tblpX="2629" w:tblpY="2161"/>
        <w:tblW w:w="8096" w:type="dxa"/>
        <w:tblLook w:val="04A0" w:firstRow="1" w:lastRow="0" w:firstColumn="1" w:lastColumn="0" w:noHBand="0" w:noVBand="1"/>
      </w:tblPr>
      <w:tblGrid>
        <w:gridCol w:w="1619"/>
        <w:gridCol w:w="1619"/>
        <w:gridCol w:w="1619"/>
        <w:gridCol w:w="1619"/>
        <w:gridCol w:w="1620"/>
      </w:tblGrid>
      <w:tr w:rsidR="00264531" w14:paraId="10C4C5EC" w14:textId="77777777" w:rsidTr="0026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9" w:type="dxa"/>
          </w:tcPr>
          <w:p w14:paraId="745087CD" w14:textId="77777777" w:rsidR="00264531" w:rsidRDefault="00264531" w:rsidP="00264531">
            <w:r>
              <w:t>Infinitive</w:t>
            </w:r>
          </w:p>
        </w:tc>
        <w:tc>
          <w:tcPr>
            <w:tcW w:w="1619" w:type="dxa"/>
          </w:tcPr>
          <w:p w14:paraId="5076AC5F" w14:textId="77777777" w:rsidR="00264531" w:rsidRDefault="00264531" w:rsidP="00264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ar</w:t>
            </w:r>
            <w:proofErr w:type="spellEnd"/>
            <w:proofErr w:type="gramEnd"/>
          </w:p>
        </w:tc>
        <w:tc>
          <w:tcPr>
            <w:tcW w:w="1619" w:type="dxa"/>
          </w:tcPr>
          <w:p w14:paraId="73BF9DBD" w14:textId="77777777" w:rsidR="00264531" w:rsidRDefault="00264531" w:rsidP="00264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komar</w:t>
            </w:r>
            <w:proofErr w:type="spellEnd"/>
            <w:proofErr w:type="gramEnd"/>
            <w:r>
              <w:t xml:space="preserve"> (eat)</w:t>
            </w:r>
          </w:p>
        </w:tc>
        <w:tc>
          <w:tcPr>
            <w:tcW w:w="1619" w:type="dxa"/>
          </w:tcPr>
          <w:p w14:paraId="191344B6" w14:textId="77777777" w:rsidR="00264531" w:rsidRDefault="00264531" w:rsidP="00264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aiver</w:t>
            </w:r>
            <w:proofErr w:type="spellEnd"/>
            <w:proofErr w:type="gramEnd"/>
            <w:r>
              <w:t xml:space="preserve"> (speak)</w:t>
            </w:r>
          </w:p>
        </w:tc>
        <w:tc>
          <w:tcPr>
            <w:tcW w:w="1620" w:type="dxa"/>
          </w:tcPr>
          <w:p w14:paraId="133FC712" w14:textId="77777777" w:rsidR="00264531" w:rsidRDefault="00264531" w:rsidP="00264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japr</w:t>
            </w:r>
            <w:proofErr w:type="spellEnd"/>
            <w:proofErr w:type="gramEnd"/>
            <w:r>
              <w:t xml:space="preserve"> (laugh)</w:t>
            </w:r>
          </w:p>
        </w:tc>
      </w:tr>
      <w:tr w:rsidR="00264531" w14:paraId="698D13BB" w14:textId="77777777" w:rsidTr="0026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67E9B40A" w14:textId="77777777" w:rsidR="00264531" w:rsidRDefault="00264531" w:rsidP="00264531">
            <w:r>
              <w:t>Present</w:t>
            </w:r>
          </w:p>
        </w:tc>
        <w:tc>
          <w:tcPr>
            <w:tcW w:w="1619" w:type="dxa"/>
          </w:tcPr>
          <w:p w14:paraId="0BACE483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1619" w:type="dxa"/>
          </w:tcPr>
          <w:p w14:paraId="02C73941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koma</w:t>
            </w:r>
            <w:proofErr w:type="spellEnd"/>
            <w:proofErr w:type="gramEnd"/>
          </w:p>
        </w:tc>
        <w:tc>
          <w:tcPr>
            <w:tcW w:w="1619" w:type="dxa"/>
          </w:tcPr>
          <w:p w14:paraId="2FEC26EA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aive</w:t>
            </w:r>
            <w:proofErr w:type="spellEnd"/>
            <w:proofErr w:type="gramEnd"/>
          </w:p>
        </w:tc>
        <w:tc>
          <w:tcPr>
            <w:tcW w:w="1620" w:type="dxa"/>
          </w:tcPr>
          <w:p w14:paraId="119DB09C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jap</w:t>
            </w:r>
            <w:proofErr w:type="gramEnd"/>
          </w:p>
        </w:tc>
      </w:tr>
      <w:tr w:rsidR="00264531" w14:paraId="7E944FF3" w14:textId="77777777" w:rsidTr="0026453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643ADC93" w14:textId="77777777" w:rsidR="00264531" w:rsidRDefault="00264531" w:rsidP="00264531">
            <w:r>
              <w:t>Past Imperfect</w:t>
            </w:r>
          </w:p>
        </w:tc>
        <w:tc>
          <w:tcPr>
            <w:tcW w:w="1619" w:type="dxa"/>
          </w:tcPr>
          <w:p w14:paraId="412CE5F8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aja</w:t>
            </w:r>
            <w:proofErr w:type="spellEnd"/>
            <w:proofErr w:type="gramEnd"/>
          </w:p>
        </w:tc>
        <w:tc>
          <w:tcPr>
            <w:tcW w:w="1619" w:type="dxa"/>
          </w:tcPr>
          <w:p w14:paraId="727F2A84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komaja</w:t>
            </w:r>
            <w:proofErr w:type="spellEnd"/>
            <w:proofErr w:type="gramEnd"/>
          </w:p>
        </w:tc>
        <w:tc>
          <w:tcPr>
            <w:tcW w:w="1619" w:type="dxa"/>
          </w:tcPr>
          <w:p w14:paraId="138EF87A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aiveja</w:t>
            </w:r>
            <w:proofErr w:type="spellEnd"/>
            <w:proofErr w:type="gramEnd"/>
          </w:p>
        </w:tc>
        <w:tc>
          <w:tcPr>
            <w:tcW w:w="1620" w:type="dxa"/>
          </w:tcPr>
          <w:p w14:paraId="6EDF10CC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japja</w:t>
            </w:r>
            <w:proofErr w:type="spellEnd"/>
            <w:proofErr w:type="gramEnd"/>
          </w:p>
        </w:tc>
      </w:tr>
      <w:tr w:rsidR="00264531" w14:paraId="38531966" w14:textId="77777777" w:rsidTr="0026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1ACC2892" w14:textId="77777777" w:rsidR="00264531" w:rsidRDefault="00264531" w:rsidP="00264531">
            <w:proofErr w:type="spellStart"/>
            <w:r>
              <w:t>Preterite</w:t>
            </w:r>
            <w:proofErr w:type="spellEnd"/>
          </w:p>
        </w:tc>
        <w:tc>
          <w:tcPr>
            <w:tcW w:w="1619" w:type="dxa"/>
          </w:tcPr>
          <w:p w14:paraId="253D364B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ijo</w:t>
            </w:r>
            <w:proofErr w:type="spellEnd"/>
            <w:proofErr w:type="gramEnd"/>
          </w:p>
        </w:tc>
        <w:tc>
          <w:tcPr>
            <w:tcW w:w="1619" w:type="dxa"/>
          </w:tcPr>
          <w:p w14:paraId="38589923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komijo</w:t>
            </w:r>
            <w:proofErr w:type="spellEnd"/>
            <w:proofErr w:type="gramEnd"/>
          </w:p>
        </w:tc>
        <w:tc>
          <w:tcPr>
            <w:tcW w:w="1619" w:type="dxa"/>
          </w:tcPr>
          <w:p w14:paraId="39F7AEE7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aivija</w:t>
            </w:r>
            <w:proofErr w:type="spellEnd"/>
            <w:proofErr w:type="gramEnd"/>
          </w:p>
        </w:tc>
        <w:tc>
          <w:tcPr>
            <w:tcW w:w="1620" w:type="dxa"/>
          </w:tcPr>
          <w:p w14:paraId="6DFDAFED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japija</w:t>
            </w:r>
            <w:proofErr w:type="spellEnd"/>
            <w:proofErr w:type="gramEnd"/>
          </w:p>
        </w:tc>
      </w:tr>
      <w:tr w:rsidR="00264531" w14:paraId="648B25FF" w14:textId="77777777" w:rsidTr="0026453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67023319" w14:textId="77777777" w:rsidR="00264531" w:rsidRDefault="00264531" w:rsidP="00264531">
            <w:r>
              <w:t>Future</w:t>
            </w:r>
          </w:p>
        </w:tc>
        <w:tc>
          <w:tcPr>
            <w:tcW w:w="1619" w:type="dxa"/>
          </w:tcPr>
          <w:p w14:paraId="5A6F2624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pya</w:t>
            </w:r>
            <w:proofErr w:type="spellEnd"/>
            <w:proofErr w:type="gramEnd"/>
          </w:p>
        </w:tc>
        <w:tc>
          <w:tcPr>
            <w:tcW w:w="1619" w:type="dxa"/>
          </w:tcPr>
          <w:p w14:paraId="751707AB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kompya</w:t>
            </w:r>
            <w:proofErr w:type="spellEnd"/>
            <w:proofErr w:type="gramEnd"/>
          </w:p>
        </w:tc>
        <w:tc>
          <w:tcPr>
            <w:tcW w:w="1619" w:type="dxa"/>
          </w:tcPr>
          <w:p w14:paraId="0F8E2E19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aivpya</w:t>
            </w:r>
            <w:proofErr w:type="spellEnd"/>
            <w:proofErr w:type="gramEnd"/>
          </w:p>
        </w:tc>
        <w:tc>
          <w:tcPr>
            <w:tcW w:w="1620" w:type="dxa"/>
          </w:tcPr>
          <w:p w14:paraId="5C8B3C0A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japya</w:t>
            </w:r>
            <w:proofErr w:type="spellEnd"/>
            <w:proofErr w:type="gramEnd"/>
          </w:p>
        </w:tc>
      </w:tr>
      <w:tr w:rsidR="00264531" w14:paraId="4D4A4225" w14:textId="77777777" w:rsidTr="0026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493D83B9" w14:textId="77777777" w:rsidR="00264531" w:rsidRDefault="00264531" w:rsidP="00264531">
            <w:r>
              <w:t>Present Perfect</w:t>
            </w:r>
          </w:p>
        </w:tc>
        <w:tc>
          <w:tcPr>
            <w:tcW w:w="1619" w:type="dxa"/>
          </w:tcPr>
          <w:p w14:paraId="57F3331C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aja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rha</w:t>
            </w:r>
            <w:proofErr w:type="spellEnd"/>
          </w:p>
        </w:tc>
        <w:tc>
          <w:tcPr>
            <w:tcW w:w="1619" w:type="dxa"/>
          </w:tcPr>
          <w:p w14:paraId="27FCB062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komaja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rha</w:t>
            </w:r>
            <w:proofErr w:type="spellEnd"/>
          </w:p>
        </w:tc>
        <w:tc>
          <w:tcPr>
            <w:tcW w:w="1619" w:type="dxa"/>
          </w:tcPr>
          <w:p w14:paraId="24077911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aiveja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rha</w:t>
            </w:r>
            <w:proofErr w:type="spellEnd"/>
          </w:p>
        </w:tc>
        <w:tc>
          <w:tcPr>
            <w:tcW w:w="1620" w:type="dxa"/>
          </w:tcPr>
          <w:p w14:paraId="4DBC565E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japja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rha</w:t>
            </w:r>
            <w:proofErr w:type="spellEnd"/>
          </w:p>
        </w:tc>
      </w:tr>
      <w:tr w:rsidR="00264531" w14:paraId="52ADFF93" w14:textId="77777777" w:rsidTr="00264531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34D851CB" w14:textId="77777777" w:rsidR="00264531" w:rsidRDefault="00264531" w:rsidP="00264531">
            <w:r>
              <w:t>Past Perfect</w:t>
            </w:r>
          </w:p>
        </w:tc>
        <w:tc>
          <w:tcPr>
            <w:tcW w:w="1619" w:type="dxa"/>
          </w:tcPr>
          <w:p w14:paraId="69C6B61B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aja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rhej</w:t>
            </w:r>
            <w:proofErr w:type="spellEnd"/>
          </w:p>
        </w:tc>
        <w:tc>
          <w:tcPr>
            <w:tcW w:w="1619" w:type="dxa"/>
          </w:tcPr>
          <w:p w14:paraId="07451017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komaja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rhej</w:t>
            </w:r>
            <w:proofErr w:type="spellEnd"/>
          </w:p>
        </w:tc>
        <w:tc>
          <w:tcPr>
            <w:tcW w:w="1619" w:type="dxa"/>
          </w:tcPr>
          <w:p w14:paraId="7F86F381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aiveja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rhej</w:t>
            </w:r>
            <w:proofErr w:type="spellEnd"/>
          </w:p>
        </w:tc>
        <w:tc>
          <w:tcPr>
            <w:tcW w:w="1620" w:type="dxa"/>
          </w:tcPr>
          <w:p w14:paraId="7738A20F" w14:textId="77777777" w:rsidR="00264531" w:rsidRDefault="00264531" w:rsidP="0026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japja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rhej</w:t>
            </w:r>
            <w:proofErr w:type="spellEnd"/>
          </w:p>
        </w:tc>
      </w:tr>
      <w:tr w:rsidR="00264531" w14:paraId="1A37E71E" w14:textId="77777777" w:rsidTr="0026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78329A6B" w14:textId="77777777" w:rsidR="00264531" w:rsidRDefault="00264531" w:rsidP="00264531">
            <w:r>
              <w:t>Subjunctive I</w:t>
            </w:r>
          </w:p>
        </w:tc>
        <w:tc>
          <w:tcPr>
            <w:tcW w:w="1619" w:type="dxa"/>
          </w:tcPr>
          <w:p w14:paraId="485AE9EA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1619" w:type="dxa"/>
          </w:tcPr>
          <w:p w14:paraId="62CC9756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komi</w:t>
            </w:r>
            <w:proofErr w:type="spellEnd"/>
            <w:proofErr w:type="gramEnd"/>
          </w:p>
        </w:tc>
        <w:tc>
          <w:tcPr>
            <w:tcW w:w="1619" w:type="dxa"/>
          </w:tcPr>
          <w:p w14:paraId="5DD6BC92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aivi</w:t>
            </w:r>
            <w:proofErr w:type="spellEnd"/>
            <w:proofErr w:type="gramEnd"/>
          </w:p>
        </w:tc>
        <w:tc>
          <w:tcPr>
            <w:tcW w:w="1620" w:type="dxa"/>
          </w:tcPr>
          <w:p w14:paraId="120D1052" w14:textId="77777777" w:rsidR="00264531" w:rsidRDefault="00264531" w:rsidP="0026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japi</w:t>
            </w:r>
            <w:proofErr w:type="spellEnd"/>
            <w:proofErr w:type="gramEnd"/>
          </w:p>
        </w:tc>
      </w:tr>
    </w:tbl>
    <w:p w14:paraId="08138059" w14:textId="77777777" w:rsidR="00264531" w:rsidRPr="00264531" w:rsidRDefault="00264531" w:rsidP="005321C8">
      <w:pPr>
        <w:ind w:left="720"/>
        <w:rPr>
          <w:b/>
          <w:i/>
        </w:rPr>
      </w:pPr>
    </w:p>
    <w:p w14:paraId="3ADCA5FB" w14:textId="77777777" w:rsidR="005321C8" w:rsidRDefault="005321C8" w:rsidP="005321C8">
      <w:pPr>
        <w:ind w:left="720"/>
      </w:pPr>
    </w:p>
    <w:p w14:paraId="3DD86A0C" w14:textId="77777777" w:rsidR="00914DCF" w:rsidRPr="00914DCF" w:rsidRDefault="00914DCF" w:rsidP="00914DCF"/>
    <w:p w14:paraId="32691C5C" w14:textId="77777777" w:rsidR="00243F62" w:rsidRPr="00243F62" w:rsidRDefault="00243F62" w:rsidP="00B23817"/>
    <w:sectPr w:rsidR="00243F62" w:rsidRPr="00243F62" w:rsidSect="007D18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2143"/>
    <w:multiLevelType w:val="hybridMultilevel"/>
    <w:tmpl w:val="73DAD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D327CF"/>
    <w:multiLevelType w:val="hybridMultilevel"/>
    <w:tmpl w:val="E2D0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A945C9"/>
    <w:multiLevelType w:val="hybridMultilevel"/>
    <w:tmpl w:val="0C9AA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DB3C5A"/>
    <w:multiLevelType w:val="hybridMultilevel"/>
    <w:tmpl w:val="9C02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9366C"/>
    <w:multiLevelType w:val="hybridMultilevel"/>
    <w:tmpl w:val="9A1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17"/>
    <w:rsid w:val="0010582D"/>
    <w:rsid w:val="001126DE"/>
    <w:rsid w:val="001E7FB2"/>
    <w:rsid w:val="00243F62"/>
    <w:rsid w:val="00264531"/>
    <w:rsid w:val="00310C35"/>
    <w:rsid w:val="00376731"/>
    <w:rsid w:val="00402B52"/>
    <w:rsid w:val="004E0ED6"/>
    <w:rsid w:val="005321C8"/>
    <w:rsid w:val="00627066"/>
    <w:rsid w:val="00657070"/>
    <w:rsid w:val="00776C99"/>
    <w:rsid w:val="007D1850"/>
    <w:rsid w:val="008A4E8E"/>
    <w:rsid w:val="008F2059"/>
    <w:rsid w:val="00914DCF"/>
    <w:rsid w:val="00917E91"/>
    <w:rsid w:val="00996754"/>
    <w:rsid w:val="00A46EB1"/>
    <w:rsid w:val="00AF1220"/>
    <w:rsid w:val="00B23817"/>
    <w:rsid w:val="00CD4405"/>
    <w:rsid w:val="00CD7500"/>
    <w:rsid w:val="00F1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A6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8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E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4D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8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23817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96754"/>
    <w:pPr>
      <w:pBdr>
        <w:bottom w:val="single" w:sz="8" w:space="4" w:color="4F81BD" w:themeColor="accent1"/>
      </w:pBdr>
      <w:spacing w:after="300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7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B2381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3817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46E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4DCF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532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321C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321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321C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321C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5321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321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5321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8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E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4D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8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23817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96754"/>
    <w:pPr>
      <w:pBdr>
        <w:bottom w:val="single" w:sz="8" w:space="4" w:color="4F81BD" w:themeColor="accent1"/>
      </w:pBdr>
      <w:spacing w:after="300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7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B2381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3817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46E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4DCF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532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321C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321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321C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321C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5321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321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5321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640</Words>
  <Characters>3648</Characters>
  <Application>Microsoft Macintosh Word</Application>
  <DocSecurity>0</DocSecurity>
  <Lines>30</Lines>
  <Paragraphs>8</Paragraphs>
  <ScaleCrop>false</ScaleCrop>
  <Company>Domo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Hyer</dc:creator>
  <cp:keywords/>
  <dc:description/>
  <cp:lastModifiedBy>Trent Hyer</cp:lastModifiedBy>
  <cp:revision>1</cp:revision>
  <dcterms:created xsi:type="dcterms:W3CDTF">2014-08-14T16:09:00Z</dcterms:created>
  <dcterms:modified xsi:type="dcterms:W3CDTF">2014-08-25T15:28:00Z</dcterms:modified>
</cp:coreProperties>
</file>