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center"/>
      </w:pPr>
      <w:r>
        <w:t>دراسة المشروع ونموذج الإيرادات المحدث</w:t>
      </w:r>
    </w:p>
    <w:p>
      <w:pPr>
        <w:bidi/>
        <w:jc w:val="center"/>
      </w:pPr>
      <w:r>
        <w:t>Darna DJ — بوابة السكن والإيجار في جيبوتي</w:t>
      </w:r>
    </w:p>
    <w:p>
      <w:pPr>
        <w:bidi/>
        <w:jc w:val="right"/>
      </w:pPr>
      <w:r>
        <w:t>الإصدار المحدّث: 12 أكتوبر 2026 | مسودة تشغيلية تحتاج مراجعة قانونية محلية قبل الاعتماد.</w:t>
      </w:r>
    </w:p>
    <w:p>
      <w:pPr>
        <w:pStyle w:val="Heading1"/>
        <w:bidi/>
        <w:jc w:val="right"/>
      </w:pPr>
      <w:r>
        <w:t>1. الملخص التنفيذي</w:t>
      </w:r>
    </w:p>
    <w:p>
      <w:pPr>
        <w:bidi/>
        <w:jc w:val="right"/>
      </w:pPr>
      <w:r>
        <w:t>Darna DJ اسم عمل مؤقت إلى حين التحقق من النطاق والعلامة التجارية. المشروع بوابة عقارية محلية للإيجار في جيبوتي، تُدار يدويًا، وتعرض العقارات كمشاركات Blogger. لا توجد حسابات للمؤجرين أو حجوزات مؤكدة آليًا. ميزتنا هي التحقق من بيانات العقار والسعر والتوافر، الصور الحديثة، وضوح الرسوم، وسرعة الرد باللغات العربية والإنجليزية والفرنسية.</w:t>
      </w:r>
    </w:p>
    <w:p>
      <w:pPr>
        <w:pStyle w:val="Heading1"/>
        <w:bidi/>
        <w:jc w:val="right"/>
      </w:pPr>
      <w:r>
        <w:t>2. نموذج الإيرادات المقترح</w:t>
      </w:r>
    </w:p>
    <w:p>
      <w:pPr>
        <w:bidi/>
        <w:jc w:val="right"/>
      </w:pPr>
      <w:r>
        <w:t>القرار المبدئي: عمولة مالك 10% ورسوم خدمة على المستأجر 10% من أساس عمولة محدد ومعلن كتابةً. لا توجد زيادة سرية في السعر الأساسي. يجب أن يوافق الطرفان على الرسوم قبل تأكيد الحجز.</w:t>
      </w:r>
    </w:p>
    <w:tbl>
      <w:tblPr>
        <w:tblStyle w:val="TableGrid"/>
        <w:tblW w:type="auto" w:w="0"/>
        <w:tblLook w:firstColumn="1" w:firstRow="1" w:lastColumn="0" w:lastRow="0" w:noHBand="0" w:noVBand="1" w:val="04A0"/>
      </w:tblPr>
      <w:tblGrid>
        <w:gridCol w:w="3408"/>
        <w:gridCol w:w="3408"/>
        <w:gridCol w:w="3408"/>
      </w:tblGrid>
      <w:tr>
        <w:tc>
          <w:tcPr>
            <w:tcW w:type="dxa" w:w="3408"/>
          </w:tcPr>
          <w:p>
            <w:pPr>
              <w:bidi/>
              <w:jc w:val="right"/>
            </w:pPr>
            <w:r>
              <w:t>البند</w:t>
            </w:r>
          </w:p>
        </w:tc>
        <w:tc>
          <w:tcPr>
            <w:tcW w:type="dxa" w:w="3408"/>
          </w:tcPr>
          <w:p>
            <w:pPr>
              <w:bidi/>
              <w:jc w:val="right"/>
            </w:pPr>
            <w:r>
              <w:t>مثال على إيجار أساسي 1,000 USD</w:t>
            </w:r>
          </w:p>
        </w:tc>
        <w:tc>
          <w:tcPr>
            <w:tcW w:type="dxa" w:w="3408"/>
          </w:tcPr>
          <w:p>
            <w:pPr>
              <w:bidi/>
              <w:jc w:val="right"/>
            </w:pPr>
            <w:r>
              <w:t>المعنى</w:t>
            </w:r>
          </w:p>
        </w:tc>
      </w:tr>
      <w:tr>
        <w:tc>
          <w:tcPr>
            <w:tcW w:type="dxa" w:w="3408"/>
          </w:tcPr>
          <w:p>
            <w:pPr>
              <w:bidi/>
              <w:jc w:val="right"/>
            </w:pPr>
            <w:r>
              <w:t>السعر الأساسي</w:t>
            </w:r>
          </w:p>
        </w:tc>
        <w:tc>
          <w:tcPr>
            <w:tcW w:type="dxa" w:w="3408"/>
          </w:tcPr>
          <w:p>
            <w:pPr>
              <w:bidi/>
              <w:jc w:val="right"/>
            </w:pPr>
            <w:r>
              <w:t>$1,000</w:t>
            </w:r>
          </w:p>
        </w:tc>
        <w:tc>
          <w:tcPr>
            <w:tcW w:type="dxa" w:w="3408"/>
          </w:tcPr>
          <w:p>
            <w:pPr>
              <w:bidi/>
              <w:jc w:val="right"/>
            </w:pPr>
            <w:r>
              <w:t>الإيجار المتفق عليه للفترة المحددة.</w:t>
            </w:r>
          </w:p>
        </w:tc>
      </w:tr>
      <w:tr>
        <w:tc>
          <w:tcPr>
            <w:tcW w:type="dxa" w:w="3408"/>
          </w:tcPr>
          <w:p>
            <w:pPr>
              <w:bidi/>
              <w:jc w:val="right"/>
            </w:pPr>
            <w:r>
              <w:t>عمولة المالك 10%</w:t>
            </w:r>
          </w:p>
        </w:tc>
        <w:tc>
          <w:tcPr>
            <w:tcW w:type="dxa" w:w="3408"/>
          </w:tcPr>
          <w:p>
            <w:pPr>
              <w:bidi/>
              <w:jc w:val="right"/>
            </w:pPr>
            <w:r>
              <w:t>$100</w:t>
            </w:r>
          </w:p>
        </w:tc>
        <w:tc>
          <w:tcPr>
            <w:tcW w:type="dxa" w:w="3408"/>
          </w:tcPr>
          <w:p>
            <w:pPr>
              <w:bidi/>
              <w:jc w:val="right"/>
            </w:pPr>
            <w:r>
              <w:t>مستحق للمنصة بموجب عقد المالك.</w:t>
            </w:r>
          </w:p>
        </w:tc>
      </w:tr>
      <w:tr>
        <w:tc>
          <w:tcPr>
            <w:tcW w:type="dxa" w:w="3408"/>
          </w:tcPr>
          <w:p>
            <w:pPr>
              <w:bidi/>
              <w:jc w:val="right"/>
            </w:pPr>
            <w:r>
              <w:t>رسوم المستأجر 10%</w:t>
            </w:r>
          </w:p>
        </w:tc>
        <w:tc>
          <w:tcPr>
            <w:tcW w:type="dxa" w:w="3408"/>
          </w:tcPr>
          <w:p>
            <w:pPr>
              <w:bidi/>
              <w:jc w:val="right"/>
            </w:pPr>
            <w:r>
              <w:t>$100</w:t>
            </w:r>
          </w:p>
        </w:tc>
        <w:tc>
          <w:tcPr>
            <w:tcW w:type="dxa" w:w="3408"/>
          </w:tcPr>
          <w:p>
            <w:pPr>
              <w:bidi/>
              <w:jc w:val="right"/>
            </w:pPr>
            <w:r>
              <w:t>رسوم خدمة منفصلة ومعلنة قبل الموافقة.</w:t>
            </w:r>
          </w:p>
        </w:tc>
      </w:tr>
      <w:tr>
        <w:tc>
          <w:tcPr>
            <w:tcW w:type="dxa" w:w="3408"/>
          </w:tcPr>
          <w:p>
            <w:pPr>
              <w:bidi/>
              <w:jc w:val="right"/>
            </w:pPr>
            <w:r>
              <w:t>إجمالي إيراد المنصة</w:t>
            </w:r>
          </w:p>
        </w:tc>
        <w:tc>
          <w:tcPr>
            <w:tcW w:type="dxa" w:w="3408"/>
          </w:tcPr>
          <w:p>
            <w:pPr>
              <w:bidi/>
              <w:jc w:val="right"/>
            </w:pPr>
            <w:r>
              <w:t>$200</w:t>
            </w:r>
          </w:p>
        </w:tc>
        <w:tc>
          <w:tcPr>
            <w:tcW w:type="dxa" w:w="3408"/>
          </w:tcPr>
          <w:p>
            <w:pPr>
              <w:bidi/>
              <w:jc w:val="right"/>
            </w:pPr>
            <w:r>
              <w:t>إيراد إجمالي قبل المصروفات والضرائب والوسطاء والاستردادات.</w:t>
            </w:r>
          </w:p>
        </w:tc>
      </w:tr>
      <w:tr>
        <w:tc>
          <w:tcPr>
            <w:tcW w:type="dxa" w:w="3408"/>
          </w:tcPr>
          <w:p>
            <w:pPr>
              <w:bidi/>
              <w:jc w:val="right"/>
            </w:pPr>
            <w:r>
              <w:t>إجمالي ما يدفعه المستأجر إذا دفع الإيجار مباشرة للمالك</w:t>
            </w:r>
          </w:p>
        </w:tc>
        <w:tc>
          <w:tcPr>
            <w:tcW w:type="dxa" w:w="3408"/>
          </w:tcPr>
          <w:p>
            <w:pPr>
              <w:bidi/>
              <w:jc w:val="right"/>
            </w:pPr>
            <w:r>
              <w:t>$1,100</w:t>
            </w:r>
          </w:p>
        </w:tc>
        <w:tc>
          <w:tcPr>
            <w:tcW w:type="dxa" w:w="3408"/>
          </w:tcPr>
          <w:p>
            <w:pPr>
              <w:bidi/>
              <w:jc w:val="right"/>
            </w:pPr>
            <w:r>
              <w:t>$1,000 إيجار + $100 رسوم خدمة للمنصة، ولا يشمل أي رسوم أخرى معلنة.</w:t>
            </w:r>
          </w:p>
        </w:tc>
      </w:tr>
      <w:tr>
        <w:tc>
          <w:tcPr>
            <w:tcW w:type="dxa" w:w="3408"/>
          </w:tcPr>
          <w:p>
            <w:pPr>
              <w:bidi/>
              <w:jc w:val="right"/>
            </w:pPr>
            <w:r>
              <w:t>صافي ما يبقى للمالك بعد العمولة</w:t>
            </w:r>
          </w:p>
        </w:tc>
        <w:tc>
          <w:tcPr>
            <w:tcW w:type="dxa" w:w="3408"/>
          </w:tcPr>
          <w:p>
            <w:pPr>
              <w:bidi/>
              <w:jc w:val="right"/>
            </w:pPr>
            <w:r>
              <w:t>$900</w:t>
            </w:r>
          </w:p>
        </w:tc>
        <w:tc>
          <w:tcPr>
            <w:tcW w:type="dxa" w:w="3408"/>
          </w:tcPr>
          <w:p>
            <w:pPr>
              <w:bidi/>
              <w:jc w:val="right"/>
            </w:pPr>
            <w:r>
              <w:t>إذا استلم $1,000 ثم سدد $100 عمولة للمنصة.</w:t>
            </w:r>
          </w:p>
        </w:tc>
      </w:tr>
      <w:tr>
        <w:tc>
          <w:tcPr>
            <w:tcW w:type="dxa" w:w="3408"/>
          </w:tcPr>
          <w:p>
            <w:pPr>
              <w:bidi/>
              <w:jc w:val="right"/>
            </w:pPr>
            <w:r>
              <w:t>صافي ربح المنصة</w:t>
            </w:r>
          </w:p>
        </w:tc>
        <w:tc>
          <w:tcPr>
            <w:tcW w:type="dxa" w:w="3408"/>
          </w:tcPr>
          <w:p>
            <w:pPr>
              <w:bidi/>
              <w:jc w:val="right"/>
            </w:pPr>
            <w:r>
              <w:t>غير محسوب</w:t>
            </w:r>
          </w:p>
        </w:tc>
        <w:tc>
          <w:tcPr>
            <w:tcW w:type="dxa" w:w="3408"/>
          </w:tcPr>
          <w:p>
            <w:pPr>
              <w:bidi/>
              <w:jc w:val="right"/>
            </w:pPr>
            <w:r>
              <w:t>الإيراد الإجمالي ليس ربحًا صافيًا.</w:t>
            </w:r>
          </w:p>
        </w:tc>
      </w:tr>
    </w:tbl>
    <w:p>
      <w:pPr>
        <w:pStyle w:val="Heading1"/>
        <w:bidi/>
        <w:jc w:val="right"/>
      </w:pPr>
      <w:r>
        <w:t>3. أساس العمولة والتحصيل</w:t>
      </w:r>
    </w:p>
    <w:p>
      <w:pPr>
        <w:pStyle w:val="ListBullet"/>
        <w:bidi/>
        <w:jc w:val="right"/>
      </w:pPr>
      <w:r>
        <w:t>يجب تحديد ما إذا كانت النسبة تُحسب على كامل قيمة الإقامة المؤكدة أم على شهر إيجار واحد. في هذا المثال افترضنا أن $1,000 هو أساس العمولة للفترة المحددة. لا تُترك هذه النقطة غامضة في العقد.</w:t>
      </w:r>
    </w:p>
    <w:p>
      <w:pPr>
        <w:pStyle w:val="ListBullet"/>
        <w:bidi/>
        <w:jc w:val="right"/>
      </w:pPr>
      <w:r>
        <w:t>قبل نشر العقار، يوقع المالك/الوكيل عقد وساطة يحدد النسبة وأساس الحساب وتاريخ الاستحقاق وطريقة السداد، ويُسجل مصدر العميل Lead ID.</w:t>
      </w:r>
    </w:p>
    <w:p>
      <w:pPr>
        <w:pStyle w:val="ListBullet"/>
        <w:bidi/>
        <w:jc w:val="right"/>
      </w:pPr>
      <w:r>
        <w:t>قبل تأكيد الحجز، يستلم العميل عرضًا مكتوبًا يفصل الإيجار الأساسي، ورسوم المستأجر، وأي وديعة أو مصروفات، والإجمالي وشروط الإلغاء.</w:t>
      </w:r>
    </w:p>
    <w:p>
      <w:pPr>
        <w:pStyle w:val="ListBullet"/>
        <w:bidi/>
        <w:jc w:val="right"/>
      </w:pPr>
      <w:r>
        <w:t>الأفضل تشغيليًا تحصيل رسوم المستأجر مباشرة للمنصة قبل تأكيد الحجز، وتحصيل عمولة المالك بعد استلامه الإيجار، مع إيصال لكل دفعة ومطابقة سجل المعاملات.</w:t>
      </w:r>
    </w:p>
    <w:p>
      <w:pPr>
        <w:pStyle w:val="ListBullet"/>
        <w:bidi/>
        <w:jc w:val="right"/>
      </w:pPr>
      <w:r>
        <w:t>في المرحلة الأولى لا توجد بوابة دفع داخل Blogger. لا تعتمد تحويلًا أو محفظة أو نقدًا إلا بعد التحقق من قانونيتها وتوفرها فعليًا وإمكانية إصدار إيصال.</w:t>
      </w:r>
    </w:p>
    <w:p>
      <w:pPr>
        <w:pStyle w:val="ListBullet"/>
        <w:bidi/>
        <w:jc w:val="right"/>
      </w:pPr>
      <w:r>
        <w:t>إذا دفع المستأجر الإيجار مباشرة للمالك، لا توجد ضمانة تقنية لتحصيل عمولة المالك؛ يقل الخطر بعقد واضح، وسجل Leads، وإيصالات، ومطابقة دورية. لا تجمع الإيجار أو الوديعة نيابة عن المالك دون تفويض ومراجعة قانونية.</w:t>
      </w:r>
    </w:p>
    <w:p>
      <w:pPr>
        <w:pStyle w:val="ListBullet"/>
        <w:bidi/>
        <w:jc w:val="right"/>
      </w:pPr>
      <w:r>
        <w:t>العمولة المستحقة ليست عمولة محصلة. سجّل كل مبلغ كـ مستحق، محصل، متأخر، متنازع عليه، أو مسترد.</w:t>
      </w:r>
    </w:p>
    <w:p>
      <w:pPr>
        <w:pStyle w:val="Heading1"/>
        <w:bidi/>
        <w:jc w:val="right"/>
      </w:pPr>
      <w:r>
        <w:t>4. رحلة الاستفسار والحجز</w:t>
      </w:r>
    </w:p>
    <w:p>
      <w:pPr>
        <w:pStyle w:val="ListBullet"/>
        <w:bidi/>
        <w:jc w:val="right"/>
      </w:pPr>
      <w:r>
        <w:t>المستخدم يقرأ السعر والشروط وتاريخ آخر تحقق في صفحة العقار.</w:t>
      </w:r>
    </w:p>
    <w:p>
      <w:pPr>
        <w:pStyle w:val="ListBullet"/>
        <w:bidi/>
        <w:jc w:val="right"/>
      </w:pPr>
      <w:r>
        <w:t>زر «تحقق من التوافر» يفتح WhatsApp +25377313443 برسالة فيها Property ID والرابط والسعر والتواريخ وعدد النزلاء.</w:t>
      </w:r>
    </w:p>
    <w:p>
      <w:pPr>
        <w:pStyle w:val="ListBullet"/>
        <w:bidi/>
        <w:jc w:val="right"/>
      </w:pPr>
      <w:r>
        <w:t>المدير ينشئ Lead ID ويتحقق من التوافر مع المالك/الوكيل.</w:t>
      </w:r>
    </w:p>
    <w:p>
      <w:pPr>
        <w:pStyle w:val="ListBullet"/>
        <w:bidi/>
        <w:jc w:val="right"/>
      </w:pPr>
      <w:r>
        <w:t>يرسل عرضًا نهائيًا مكتوبًا بالسعر والرسوم والإجمالي وشروط الإلغاء.</w:t>
      </w:r>
    </w:p>
    <w:p>
      <w:pPr>
        <w:pStyle w:val="ListBullet"/>
        <w:bidi/>
        <w:jc w:val="right"/>
      </w:pPr>
      <w:r>
        <w:t>لا يوصف الطلب بأنه حجز مؤكد إلا بعد تأكيد التوافر وموافقة الطرفين وإتمام متطلبات السداد المتفق عليها.</w:t>
      </w:r>
    </w:p>
    <w:p>
      <w:pPr>
        <w:pStyle w:val="Heading1"/>
        <w:bidi/>
        <w:jc w:val="right"/>
      </w:pPr>
      <w:r>
        <w:t>5. بنية Blogger واللغات</w:t>
      </w:r>
    </w:p>
    <w:p>
      <w:pPr>
        <w:pStyle w:val="ListBullet"/>
        <w:bidi/>
        <w:jc w:val="right"/>
      </w:pPr>
      <w:r>
        <w:t>Blogger هو واجهة النشر وليس قاعدة بيانات علائقية أو نظام حجز.</w:t>
      </w:r>
    </w:p>
    <w:p>
      <w:pPr>
        <w:pStyle w:val="ListBullet"/>
        <w:bidi/>
        <w:jc w:val="right"/>
      </w:pPr>
      <w:r>
        <w:t>كل عقار مشاركة مستقلة بمعرف ثابت مثل DJ-APT-0001 وتصنيفات مرنة للنوع والمنطقة والمزايا.</w:t>
      </w:r>
    </w:p>
    <w:p>
      <w:pPr>
        <w:pStyle w:val="ListBullet"/>
        <w:bidi/>
        <w:jc w:val="right"/>
      </w:pPr>
      <w:r>
        <w:t>العربية مصدر الإدخال، والإنجليزية والفرنسية مدونتان منفصلتان مرتبطتان بمعرف العقار نفسه. Blogger لا يزامن المدونات الثلاث تلقائيًا.</w:t>
      </w:r>
    </w:p>
    <w:p>
      <w:pPr>
        <w:pStyle w:val="ListBullet"/>
        <w:bidi/>
        <w:jc w:val="right"/>
      </w:pPr>
      <w:r>
        <w:t>Google Sheets سجل تشغيلي خاص للعقارات والمالكين والطلبات والعمولات والشكاوى. لا تنشر بيانات الاتصال أو المستندات الحساسة.</w:t>
      </w:r>
    </w:p>
    <w:p>
      <w:pPr>
        <w:pStyle w:val="ListBullet"/>
        <w:bidi/>
        <w:jc w:val="right"/>
      </w:pPr>
      <w:r>
        <w:t>يمكن دراسة أتمتة عبر Blogger API وApps Script لاحقًا، لكنها لا تُعتبر موجودة حتى ينجح اختبار نشر ومزامنة فعلي.</w:t>
      </w:r>
    </w:p>
    <w:p>
      <w:pPr>
        <w:pStyle w:val="Heading1"/>
        <w:bidi/>
        <w:jc w:val="right"/>
      </w:pPr>
      <w:r>
        <w:t>6. التسويق والقياس</w:t>
      </w:r>
    </w:p>
    <w:p>
      <w:pPr>
        <w:pStyle w:val="ListBullet"/>
        <w:bidi/>
        <w:jc w:val="right"/>
      </w:pPr>
      <w:r>
        <w:t>ابدأ بـ 20–30 عقارًا موثقًا بدل مئات الإعلانات غير المتحققة.</w:t>
      </w:r>
    </w:p>
    <w:p>
      <w:pPr>
        <w:pStyle w:val="ListBullet"/>
        <w:bidi/>
        <w:jc w:val="right"/>
      </w:pPr>
      <w:r>
        <w:t>أنشئ صفحات أصلية بالعربية والإنجليزية والفرنسية لكل نوع ومنطقة، مع أسعار وتواريخ تحقق واضحة.</w:t>
      </w:r>
    </w:p>
    <w:p>
      <w:pPr>
        <w:pStyle w:val="ListBullet"/>
        <w:bidi/>
        <w:jc w:val="right"/>
      </w:pPr>
      <w:r>
        <w:t>استخدم صورًا حديثة، جولات قصيرة، روابط مباشرة لصفحات العقارات، وشراكات مع الملاك والوكلاء ومكاتب السفر والخدمات المحلية.</w:t>
      </w:r>
    </w:p>
    <w:p>
      <w:pPr>
        <w:pStyle w:val="ListBullet"/>
        <w:bidi/>
        <w:jc w:val="right"/>
      </w:pPr>
      <w:r>
        <w:t>افصل الإعلانات المدفوعة للمطاعم والأنشطة عن نتائج العقارات وعلّمها بوضوح.</w:t>
      </w:r>
    </w:p>
    <w:p>
      <w:pPr>
        <w:pStyle w:val="ListBullet"/>
        <w:bidi/>
        <w:jc w:val="right"/>
      </w:pPr>
      <w:r>
        <w:t>قِس أسبوعيًا: الزيارات، نقرات واتساب، الاستفسارات المؤهلة، زمن الرد، نسبة الإتمام، العمولات المحصلة، ونسبة التعثر.</w:t>
      </w:r>
    </w:p>
    <w:p>
      <w:pPr>
        <w:pStyle w:val="Heading1"/>
        <w:bidi/>
        <w:jc w:val="right"/>
      </w:pPr>
      <w:r>
        <w:t>7. المخاطر والضوابط</w:t>
      </w:r>
    </w:p>
    <w:tbl>
      <w:tblPr>
        <w:tblStyle w:val="TableGrid"/>
        <w:tblW w:type="auto" w:w="0"/>
        <w:tblLook w:firstColumn="1" w:firstRow="1" w:lastColumn="0" w:lastRow="0" w:noHBand="0" w:noVBand="1" w:val="04A0"/>
      </w:tblPr>
      <w:tblGrid>
        <w:gridCol w:w="5112"/>
        <w:gridCol w:w="5112"/>
      </w:tblGrid>
      <w:tr>
        <w:tc>
          <w:tcPr>
            <w:tcW w:type="dxa" w:w="5112"/>
          </w:tcPr>
          <w:p>
            <w:pPr>
              <w:bidi/>
              <w:jc w:val="right"/>
            </w:pPr>
            <w:r>
              <w:t>الخطر</w:t>
            </w:r>
          </w:p>
        </w:tc>
        <w:tc>
          <w:tcPr>
            <w:tcW w:type="dxa" w:w="5112"/>
          </w:tcPr>
          <w:p>
            <w:pPr>
              <w:bidi/>
              <w:jc w:val="right"/>
            </w:pPr>
            <w:r>
              <w:t>الضابط</w:t>
            </w:r>
          </w:p>
        </w:tc>
      </w:tr>
      <w:tr>
        <w:tc>
          <w:tcPr>
            <w:tcW w:type="dxa" w:w="5112"/>
          </w:tcPr>
          <w:p>
            <w:pPr>
              <w:bidi/>
              <w:jc w:val="right"/>
            </w:pPr>
            <w:r>
              <w:t>سعر/توافر قديم</w:t>
            </w:r>
          </w:p>
        </w:tc>
        <w:tc>
          <w:tcPr>
            <w:tcW w:type="dxa" w:w="5112"/>
          </w:tcPr>
          <w:p>
            <w:pPr>
              <w:bidi/>
              <w:jc w:val="right"/>
            </w:pPr>
            <w:r>
              <w:t>تاريخ آخر تحقق واسم المؤكد؛ لا تعرض «متاح الآن» بلا تأكيد حديث.</w:t>
            </w:r>
          </w:p>
        </w:tc>
      </w:tr>
      <w:tr>
        <w:tc>
          <w:tcPr>
            <w:tcW w:type="dxa" w:w="5112"/>
          </w:tcPr>
          <w:p>
            <w:pPr>
              <w:bidi/>
              <w:jc w:val="right"/>
            </w:pPr>
            <w:r>
              <w:t>نزاع العمولة</w:t>
            </w:r>
          </w:p>
        </w:tc>
        <w:tc>
          <w:tcPr>
            <w:tcW w:type="dxa" w:w="5112"/>
          </w:tcPr>
          <w:p>
            <w:pPr>
              <w:bidi/>
              <w:jc w:val="right"/>
            </w:pPr>
            <w:r>
              <w:t>إفصاح منفصل وموافقة مكتوبة وإيصال وسجل لكل صفقة.</w:t>
            </w:r>
          </w:p>
        </w:tc>
      </w:tr>
      <w:tr>
        <w:tc>
          <w:tcPr>
            <w:tcW w:type="dxa" w:w="5112"/>
          </w:tcPr>
          <w:p>
            <w:pPr>
              <w:bidi/>
              <w:jc w:val="right"/>
            </w:pPr>
            <w:r>
              <w:t>تجاوز المنصة</w:t>
            </w:r>
          </w:p>
        </w:tc>
        <w:tc>
          <w:tcPr>
            <w:tcW w:type="dxa" w:w="5112"/>
          </w:tcPr>
          <w:p>
            <w:pPr>
              <w:bidi/>
              <w:jc w:val="right"/>
            </w:pPr>
            <w:r>
              <w:t>Lead ID واتفاق وساطة وشروط عدم الالتفاف ضمن ما يسمح به القانون.</w:t>
            </w:r>
          </w:p>
        </w:tc>
      </w:tr>
      <w:tr>
        <w:tc>
          <w:tcPr>
            <w:tcW w:type="dxa" w:w="5112"/>
          </w:tcPr>
          <w:p>
            <w:pPr>
              <w:bidi/>
              <w:jc w:val="right"/>
            </w:pPr>
            <w:r>
              <w:t>صور غير مصرح بها</w:t>
            </w:r>
          </w:p>
        </w:tc>
        <w:tc>
          <w:tcPr>
            <w:tcW w:type="dxa" w:w="5112"/>
          </w:tcPr>
          <w:p>
            <w:pPr>
              <w:bidi/>
              <w:jc w:val="right"/>
            </w:pPr>
            <w:r>
              <w:t>إذن نشر موثق ومصدر الصور محفوظ.</w:t>
            </w:r>
          </w:p>
        </w:tc>
      </w:tr>
      <w:tr>
        <w:tc>
          <w:tcPr>
            <w:tcW w:type="dxa" w:w="5112"/>
          </w:tcPr>
          <w:p>
            <w:pPr>
              <w:bidi/>
              <w:jc w:val="right"/>
            </w:pPr>
            <w:r>
              <w:t>الخصوصية</w:t>
            </w:r>
          </w:p>
        </w:tc>
        <w:tc>
          <w:tcPr>
            <w:tcW w:type="dxa" w:w="5112"/>
          </w:tcPr>
          <w:p>
            <w:pPr>
              <w:bidi/>
              <w:jc w:val="right"/>
            </w:pPr>
            <w:r>
              <w:t>صلاحيات محدودة في Sheets وعدم جمع وثائق حساسة بلا ضرورة.</w:t>
            </w:r>
          </w:p>
        </w:tc>
      </w:tr>
      <w:tr>
        <w:tc>
          <w:tcPr>
            <w:tcW w:type="dxa" w:w="5112"/>
          </w:tcPr>
          <w:p>
            <w:pPr>
              <w:bidi/>
              <w:jc w:val="right"/>
            </w:pPr>
            <w:r>
              <w:t>الترخيص والضرائب</w:t>
            </w:r>
          </w:p>
        </w:tc>
        <w:tc>
          <w:tcPr>
            <w:tcW w:type="dxa" w:w="5112"/>
          </w:tcPr>
          <w:p>
            <w:pPr>
              <w:bidi/>
              <w:jc w:val="right"/>
            </w:pPr>
            <w:r>
              <w:t>مراجعة قانونية محلية قبل التوقيع والتحصيل؛ لا يفترض أن النشاط الرقمي معفى.</w:t>
            </w:r>
          </w:p>
        </w:tc>
      </w:tr>
    </w:tbl>
    <w:p>
      <w:pPr>
        <w:pStyle w:val="Heading1"/>
        <w:bidi/>
        <w:jc w:val="right"/>
      </w:pPr>
      <w:r>
        <w:t>8. مراحل التنفيذ</w:t>
      </w:r>
    </w:p>
    <w:p>
      <w:pPr>
        <w:pStyle w:val="ListBullet"/>
        <w:bidi/>
        <w:jc w:val="right"/>
      </w:pPr>
      <w:r>
        <w:t>حسم الترخيص وصيغة العمولة والعقود واسم العلامة.</w:t>
      </w:r>
    </w:p>
    <w:p>
      <w:pPr>
        <w:pStyle w:val="ListBullet"/>
        <w:bidi/>
        <w:jc w:val="right"/>
      </w:pPr>
      <w:r>
        <w:t>بناء قالب Blogger XML أصلي مع محتوى تجريبي ونموذج إدراج وسجل Sheets.</w:t>
      </w:r>
    </w:p>
    <w:p>
      <w:pPr>
        <w:pStyle w:val="ListBullet"/>
        <w:bidi/>
        <w:jc w:val="right"/>
      </w:pPr>
      <w:r>
        <w:t>اختبار الاستيراد الفعلي في مدونة تجريبية وإصلاح العيوب.</w:t>
      </w:r>
    </w:p>
    <w:p>
      <w:pPr>
        <w:pStyle w:val="ListBullet"/>
        <w:bidi/>
        <w:jc w:val="right"/>
      </w:pPr>
      <w:r>
        <w:t>إطلاق محدود بعد إدخال 20–30 عقارًا موثقًا.</w:t>
      </w:r>
    </w:p>
    <w:p>
      <w:pPr>
        <w:pStyle w:val="ListBullet"/>
        <w:bidi/>
        <w:jc w:val="right"/>
      </w:pPr>
      <w:r>
        <w:t>مراجعة النتائج بعد 30 يومًا قبل إضافة مزامنة لغات آلية أو مدفوعات.</w:t>
      </w:r>
    </w:p>
    <w:p>
      <w:pPr>
        <w:pStyle w:val="Heading1"/>
        <w:bidi/>
        <w:jc w:val="right"/>
      </w:pPr>
      <w:r>
        <w:t>9. حدود الدراسة</w:t>
      </w:r>
    </w:p>
    <w:p>
      <w:pPr>
        <w:bidi/>
        <w:jc w:val="right"/>
      </w:pPr>
      <w:r>
        <w:t>هذه خطة تشغيلية وليست رأيًا قانونيًا أو ضمانًا للعوائد. لم يُثبت بعد توفر الاسم/النطاق، ولا أهلية وسيلة دفع محددة في جيبوتي، كما يجب تحديد أساس العمولة في كل عقد ومراجعته محليًا.</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rPr>
  </w:style>
  <w:style w:type="paragraph" w:styleId="BodyText">
    <w:name w:val="Body Text"/>
    <w:basedOn w:val="Normal"/>
    <w:link w:val="BodyTextChar"/>
    <w:uiPriority w:val="99"/>
    <w:unhideWhenUsed/>
    <w:rsid w:val="00AA1D8D"/>
    <w:pPr>
      <w:spacing w:after="120"/>
    </w:pPr>
    <w:rPr>
      <w:rFonts w:ascii="Arial" w:hAnsi="Arial" w:eastAsia="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rPr>
  </w:style>
  <w:style w:type="paragraph" w:styleId="List2">
    <w:name w:val="List 2"/>
    <w:basedOn w:val="Normal"/>
    <w:uiPriority w:val="99"/>
    <w:unhideWhenUsed/>
    <w:rsid w:val="00326F90"/>
    <w:pPr>
      <w:ind w:left="720" w:hanging="360"/>
      <w:contextualSpacing/>
    </w:pPr>
    <w:rPr>
      <w:rFonts w:ascii="Arial" w:hAnsi="Arial" w:eastAsia="Arial"/>
    </w:rPr>
  </w:style>
  <w:style w:type="paragraph" w:styleId="List3">
    <w:name w:val="List 3"/>
    <w:basedOn w:val="Normal"/>
    <w:uiPriority w:val="99"/>
    <w:unhideWhenUsed/>
    <w:rsid w:val="00326F90"/>
    <w:pPr>
      <w:ind w:left="1080" w:hanging="360"/>
      <w:contextualSpacing/>
    </w:pPr>
    <w:rPr>
      <w:rFonts w:ascii="Arial" w:hAnsi="Arial" w:eastAsia="Arial"/>
    </w:r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rPr>
      <w:rFonts w:ascii="Arial" w:hAnsi="Arial" w:eastAsia="Arial"/>
    </w:rPr>
  </w:style>
  <w:style w:type="paragraph" w:styleId="ListBullet3">
    <w:name w:val="List Bullet 3"/>
    <w:basedOn w:val="Normal"/>
    <w:uiPriority w:val="99"/>
    <w:unhideWhenUsed/>
    <w:rsid w:val="00326F90"/>
    <w:pPr>
      <w:numPr>
        <w:numId w:val="3"/>
      </w:numPr>
      <w:contextualSpacing/>
    </w:pPr>
    <w:rPr>
      <w:rFonts w:ascii="Arial" w:hAnsi="Arial" w:eastAsia="Arial"/>
    </w:r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rPr>
      <w:rFonts w:ascii="Arial" w:hAnsi="Arial" w:eastAsia="Arial"/>
    </w:rPr>
  </w:style>
  <w:style w:type="paragraph" w:styleId="ListNumber3">
    <w:name w:val="List Number 3"/>
    <w:basedOn w:val="Normal"/>
    <w:uiPriority w:val="99"/>
    <w:unhideWhenUsed/>
    <w:rsid w:val="0029639D"/>
    <w:pPr>
      <w:numPr>
        <w:numId w:val="7"/>
      </w:numPr>
      <w:contextualSpacing/>
    </w:pPr>
    <w:rPr>
      <w:rFonts w:ascii="Arial" w:hAnsi="Arial" w:eastAsia="Arial"/>
    </w:rPr>
  </w:style>
  <w:style w:type="paragraph" w:styleId="ListContinue">
    <w:name w:val="List Continue"/>
    <w:basedOn w:val="Normal"/>
    <w:uiPriority w:val="99"/>
    <w:unhideWhenUsed/>
    <w:rsid w:val="0029639D"/>
    <w:pPr>
      <w:spacing w:after="120"/>
      <w:ind w:left="360"/>
      <w:contextualSpacing/>
    </w:pPr>
    <w:rPr>
      <w:rFonts w:ascii="Arial" w:hAnsi="Arial" w:eastAsia="Arial"/>
    </w:rPr>
  </w:style>
  <w:style w:type="paragraph" w:styleId="ListContinue2">
    <w:name w:val="List Continue 2"/>
    <w:basedOn w:val="Normal"/>
    <w:uiPriority w:val="99"/>
    <w:unhideWhenUsed/>
    <w:rsid w:val="0029639D"/>
    <w:pPr>
      <w:spacing w:after="120"/>
      <w:ind w:left="720"/>
      <w:contextualSpacing/>
    </w:pPr>
    <w:rPr>
      <w:rFonts w:ascii="Arial" w:hAnsi="Arial" w:eastAsia="Arial"/>
    </w:rPr>
  </w:style>
  <w:style w:type="paragraph" w:styleId="ListContinue3">
    <w:name w:val="List Continue 3"/>
    <w:basedOn w:val="Normal"/>
    <w:uiPriority w:val="99"/>
    <w:unhideWhenUsed/>
    <w:rsid w:val="0029639D"/>
    <w:pPr>
      <w:spacing w:after="120"/>
      <w:ind w:left="1080"/>
      <w:contextualSpacing/>
    </w:pPr>
    <w:rPr>
      <w:rFonts w:ascii="Arial" w:hAnsi="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