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center"/>
      </w:pPr>
      <w:r>
        <w:t>دليل التشغيل والبيانات والعمولات</w:t>
      </w:r>
    </w:p>
    <w:p>
      <w:pPr>
        <w:bidi/>
        <w:jc w:val="center"/>
      </w:pPr>
      <w:r>
        <w:t>إجراءات يومية قابلة للتحويل إلى Google Sheets</w:t>
      </w:r>
    </w:p>
    <w:p>
      <w:pPr>
        <w:bidi/>
        <w:jc w:val="right"/>
      </w:pPr>
      <w:r>
        <w:t>الإصدار المحدّث: 12 أكتوبر 2026 | مسودة تشغيلية تحتاج مراجعة قانونية محلية قبل الاعتماد.</w:t>
      </w:r>
    </w:p>
    <w:p>
      <w:pPr>
        <w:pStyle w:val="Heading1"/>
        <w:bidi/>
        <w:jc w:val="right"/>
      </w:pPr>
      <w:r>
        <w:t>1. جداول التشغيل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t>الورقة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الحقول المقترحة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Properties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Property ID, Status, Type, Neighborhood, Owner ID, Agent ID, Base Price USD, Period, Amenities, Arabic/English/French URLs, Photo Consent, Last Price Check, Last Availability Check, Verified By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Owners_Agents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Owner/Agent ID, Name, Role, Contact, Verification Status, Agreement Date, Commission Rate, Payment Method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Leads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Lead ID, Timestamp, Property ID, Source, Language, Dates, Guests, Contact, Status, Follow-up, Outcome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Transactions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Transaction ID, Lead ID, Contracted Rent, Owner Fee Due, Tenant Fee Due, Amount Collected, Receipt Number, Refund, Broker Share, Net Platform Revenue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Complaints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Complaint ID, Date, Property ID, Category, Severity, Evidence Link, Status, Resolution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Content_QA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Property ID, three language URLs, Translation Reviewed, SEO Title, Alt Text, Canonical Check, QA Status</w:t>
            </w:r>
          </w:p>
        </w:tc>
      </w:tr>
    </w:tbl>
    <w:p>
      <w:pPr>
        <w:pStyle w:val="Heading1"/>
        <w:bidi/>
        <w:jc w:val="right"/>
      </w:pPr>
      <w:r>
        <w:t>2. دورة العقار</w:t>
      </w:r>
    </w:p>
    <w:p>
      <w:pPr>
        <w:pStyle w:val="ListBullet"/>
        <w:bidi/>
        <w:jc w:val="right"/>
      </w:pPr>
      <w:r>
        <w:t>استلام النموذج وإعطاء طلب الإدراج رقمًا داخليًا.</w:t>
      </w:r>
    </w:p>
    <w:p>
      <w:pPr>
        <w:pStyle w:val="ListBullet"/>
        <w:bidi/>
        <w:jc w:val="right"/>
      </w:pPr>
      <w:r>
        <w:t>التحقق من صلاحية المالك/الوكيل، ثم فحص العقار والسعر والخدمات والتوافر وحق استخدام الصور.</w:t>
      </w:r>
    </w:p>
    <w:p>
      <w:pPr>
        <w:pStyle w:val="ListBullet"/>
        <w:bidi/>
        <w:jc w:val="right"/>
      </w:pPr>
      <w:r>
        <w:t>توقيع عقد الوساطة وإذن نشر الصور والبيانات.</w:t>
      </w:r>
    </w:p>
    <w:p>
      <w:pPr>
        <w:pStyle w:val="ListBullet"/>
        <w:bidi/>
        <w:jc w:val="right"/>
      </w:pPr>
      <w:r>
        <w:t>تخصيص Property ID وتسجيله في Sheets.</w:t>
      </w:r>
    </w:p>
    <w:p>
      <w:pPr>
        <w:pStyle w:val="ListBullet"/>
        <w:bidi/>
        <w:jc w:val="right"/>
      </w:pPr>
      <w:r>
        <w:t>إنشاء المشاركات العربية والإنجليزية والفرنسية باستخدام المعرف نفسه ومراجعة الترجمة.</w:t>
      </w:r>
    </w:p>
    <w:p>
      <w:pPr>
        <w:pStyle w:val="ListBullet"/>
        <w:bidi/>
        <w:jc w:val="right"/>
      </w:pPr>
      <w:r>
        <w:t>اختبار الصور والسعر والروابط ورسالة واتساب على الهاتف قبل النشر.</w:t>
      </w:r>
    </w:p>
    <w:p>
      <w:pPr>
        <w:pStyle w:val="ListBullet"/>
        <w:bidi/>
        <w:jc w:val="right"/>
      </w:pPr>
      <w:r>
        <w:t>تحديث السعر والتوافر عند كل تغيير؛ وإيقاف الإعلان عند وجود شك جوهري.</w:t>
      </w:r>
    </w:p>
    <w:p>
      <w:pPr>
        <w:pStyle w:val="Heading1"/>
        <w:bidi/>
        <w:jc w:val="right"/>
      </w:pPr>
      <w:r>
        <w:t>3. إدارة الطلبات والعمولات</w:t>
      </w:r>
    </w:p>
    <w:p>
      <w:pPr>
        <w:pStyle w:val="ListBullet"/>
        <w:bidi/>
        <w:jc w:val="right"/>
      </w:pPr>
      <w:r>
        <w:t>كل استفسار له Lead ID ولا يعتمد التشغيل على ذاكرة محادثات واتساب.</w:t>
      </w:r>
    </w:p>
    <w:p>
      <w:pPr>
        <w:pStyle w:val="ListBullet"/>
        <w:bidi/>
        <w:jc w:val="right"/>
      </w:pPr>
      <w:r>
        <w:t>كل عرض يفصل الإيجار ورسوم المستأجر والوديعة والمصاريف وشروط الإلغاء.</w:t>
      </w:r>
    </w:p>
    <w:p>
      <w:pPr>
        <w:pStyle w:val="ListBullet"/>
        <w:bidi/>
        <w:jc w:val="right"/>
      </w:pPr>
      <w:r>
        <w:t>تسجيل المستحقات والمبالغ المحصلة كلٌ على حدة، وإصدار إيصال لكل تحصيل.</w:t>
      </w:r>
    </w:p>
    <w:p>
      <w:pPr>
        <w:pStyle w:val="ListBullet"/>
        <w:bidi/>
        <w:jc w:val="right"/>
      </w:pPr>
      <w:r>
        <w:t>تسوية السجل مع التحويلات أو المحفظة أو الصندوق دوريًا.</w:t>
      </w:r>
    </w:p>
    <w:p>
      <w:pPr>
        <w:pStyle w:val="ListBullet"/>
        <w:bidi/>
        <w:jc w:val="right"/>
      </w:pPr>
      <w:r>
        <w:t>تسجيل المبالغ المستردة وعمولات الوسطاء والمصروفات قبل احتساب صافي التشغيل.</w:t>
      </w:r>
    </w:p>
    <w:p>
      <w:pPr>
        <w:pStyle w:val="Heading1"/>
        <w:bidi/>
        <w:jc w:val="right"/>
      </w:pPr>
      <w:r>
        <w:t>4. مؤشرات الإدارة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bidi/>
              <w:jc w:val="right"/>
            </w:pPr>
            <w:r>
              <w:t>المؤشر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الحساب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اكتمال التحقق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العقارات النشطة ذات السعر والتوافر المؤكدين حديثًا ÷ العقارات النشطة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تحويل الاستفسارات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الحجوزات المؤكدة ÷ الاستفسارات المؤهلة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تحصيل العمولات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العمولات المحصلة ÷ العمولات المستحقة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إيراد المنصة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مجموع عمولات الطرفين المحصلة فعليًا</w:t>
            </w:r>
          </w:p>
        </w:tc>
      </w:tr>
      <w:tr>
        <w:tc>
          <w:tcPr>
            <w:tcW w:type="dxa" w:w="5112"/>
          </w:tcPr>
          <w:p>
            <w:pPr>
              <w:bidi/>
              <w:jc w:val="right"/>
            </w:pPr>
            <w:r>
              <w:t>صافي التشغيل</w:t>
            </w:r>
          </w:p>
        </w:tc>
        <w:tc>
          <w:tcPr>
            <w:tcW w:type="dxa" w:w="5112"/>
          </w:tcPr>
          <w:p>
            <w:pPr>
              <w:bidi/>
              <w:jc w:val="right"/>
            </w:pPr>
            <w:r>
              <w:t>الإيراد المحصل ناقص المصروفات والضرائب والوسطاء والاستردادات</w:t>
            </w:r>
          </w:p>
        </w:tc>
      </w:tr>
    </w:tbl>
    <w:p>
      <w:pPr>
        <w:pStyle w:val="Heading1"/>
        <w:bidi/>
        <w:jc w:val="right"/>
      </w:pPr>
      <w:r>
        <w:t>5. الأمان والاستمرارية</w:t>
      </w:r>
    </w:p>
    <w:p>
      <w:pPr>
        <w:pStyle w:val="ListBullet"/>
        <w:bidi/>
        <w:jc w:val="right"/>
      </w:pPr>
      <w:r>
        <w:t>لا تضع مفاتيح API أو كلمات مرور داخل القالب أو ملفات عامة.</w:t>
      </w:r>
    </w:p>
    <w:p>
      <w:pPr>
        <w:pStyle w:val="ListBullet"/>
        <w:bidi/>
        <w:jc w:val="right"/>
      </w:pPr>
      <w:r>
        <w:t>قلل صلاحيات Google Sheets وفعّل المصادقة الثنائية للحسابات الإدارية.</w:t>
      </w:r>
    </w:p>
    <w:p>
      <w:pPr>
        <w:pStyle w:val="ListBullet"/>
        <w:bidi/>
        <w:jc w:val="right"/>
      </w:pPr>
      <w:r>
        <w:t>احتفظ بنسخ دورية من Blogger وSheets والصور والعقود.</w:t>
      </w:r>
    </w:p>
    <w:p>
      <w:pPr>
        <w:pStyle w:val="ListBullet"/>
        <w:bidi/>
        <w:jc w:val="right"/>
      </w:pPr>
      <w:r>
        <w:t>سجل نسخة القالب المنشورة ورقم commit وخطة الرجوع للنسخة السابقة.</w:t>
      </w:r>
    </w:p>
    <w:p>
      <w:pPr>
        <w:pStyle w:val="ListBullet"/>
        <w:bidi/>
        <w:jc w:val="right"/>
      </w:pPr>
      <w:r>
        <w:t>أي أتمتة فاشلة يجب ألا توقف استقبال العقارات أو إدارة الطلبات يدويًا.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