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t>مسودة اتفاق شراكة وتشغيل ثلاثي الأطراف</w:t>
      </w:r>
    </w:p>
    <w:p>
      <w:pPr>
        <w:bidi/>
        <w:jc w:val="right"/>
      </w:pPr>
      <w:r>
        <w:t>Darna DJ — اسم عمل مؤقت — منصة التسويق والوساطة العقارية في جيبوتي</w:t>
      </w:r>
    </w:p>
    <w:p>
      <w:pPr>
        <w:bidi/>
        <w:jc w:val="right"/>
      </w:pPr>
      <w:r>
        <w:t>الإصدار المحدّث: 12 أكتوبر 2026 | مسودة للمراجعة القانونية المحلية قبل التوقيع</w:t>
      </w:r>
    </w:p>
    <w:p>
      <w:pPr>
        <w:pStyle w:val="Heading1"/>
        <w:bidi/>
        <w:jc w:val="right"/>
      </w:pPr>
      <w:r>
        <w:t>1. الأطراف</w:t>
      </w:r>
    </w:p>
    <w:p>
      <w:pPr>
        <w:bidi/>
        <w:jc w:val="right"/>
      </w:pPr>
      <w:r>
        <w:t>الطرف الأول: ____________________ رقم الهوية/التسجيل: ____________________</w:t>
      </w:r>
    </w:p>
    <w:p>
      <w:pPr>
        <w:bidi/>
        <w:jc w:val="right"/>
      </w:pPr>
      <w:r>
        <w:t>الطرف الثاني: ____________________ رقم الهوية/التسجيل: ____________________</w:t>
      </w:r>
    </w:p>
    <w:p>
      <w:pPr>
        <w:bidi/>
        <w:jc w:val="right"/>
      </w:pPr>
      <w:r>
        <w:t>الطرف الثالث: ____________________ رقم الهوية/التسجيل: ____________________</w:t>
      </w:r>
    </w:p>
    <w:p>
      <w:pPr>
        <w:bidi/>
        <w:jc w:val="right"/>
      </w:pPr>
      <w:r>
        <w:t>تاريخ ومكان التوقيع: ____________________</w:t>
      </w:r>
    </w:p>
    <w:p>
      <w:pPr>
        <w:pStyle w:val="Heading1"/>
        <w:bidi/>
        <w:jc w:val="right"/>
      </w:pPr>
      <w:r>
        <w:t>2. موضوع الشراكة ونطاقها</w:t>
      </w:r>
    </w:p>
    <w:p>
      <w:pPr>
        <w:bidi/>
        <w:jc w:val="right"/>
      </w:pPr>
      <w:r>
        <w:t>يتعاون الأطراف في تأسيس وتشغيل بوابة عقارية لإعلانات وتأجير السكن في جيبوتي. تشمل أصول المشروع العلامة بعد اعتمادها، قوالب Blogger ومحتواها، الحسابات الرسمية، سجلات العقارات والعملاء، العقود، المواد التسويقية، وأي أصول رقمية أو تشغيلية تُنشأ لحساب المشروع، وفق ما يقرره العقد النهائي.</w:t>
      </w:r>
    </w:p>
    <w:p>
      <w:pPr>
        <w:pStyle w:val="Heading1"/>
        <w:bidi/>
        <w:jc w:val="right"/>
      </w:pPr>
      <w:r>
        <w:t>3. فصل إيراد الوساطة عن أرباح الشركاء</w:t>
      </w:r>
    </w:p>
    <w:p>
      <w:pPr>
        <w:bidi/>
        <w:jc w:val="right"/>
      </w:pPr>
      <w:r>
        <w:t>عمولات معاملات العقارات ليست حصص ملكية أو توزيع أرباح. نموذج الإيراد المقترح مبدئيًا هو عمولة مالك 10% ورسوم خدمة مستأجر 10% على أساس عمولة محدد ومعلن لكل صفقة، بموافقة تعاقدية واضحة. مثال: أساس 1,000 دولار ينتج 100 دولار من المالك و100 دولار من المستأجر، أي 200 دولار إيراد إجمالي قبل المصروفات. يجب تحديد ما إذا كان أساس العمولة هو كامل مدة الإيجار أو شهرًا واحدًا في ملحق الصفقة.</w:t>
      </w:r>
    </w:p>
    <w:p>
      <w:pPr>
        <w:bidi/>
        <w:jc w:val="right"/>
      </w:pPr>
      <w:r>
        <w:t>لا يجوز إخفاء العمولة داخل فرق سعر سري. ويجب الإفصاح عن رسم المستأجر قبل التزامه، وتوثيق جميع المبالغ بإيصالات. لا يُعد الإيراد المستحق إيرادًا محصلًا، ولا يُعد الإيراد الإجمالي ربحًا صافيًا.</w:t>
      </w:r>
    </w:p>
    <w:p>
      <w:pPr>
        <w:pStyle w:val="Heading1"/>
        <w:bidi/>
        <w:jc w:val="right"/>
      </w:pPr>
      <w:r>
        <w:t>4. مساهمات الشركاء والأدوار</w:t>
      </w:r>
    </w:p>
    <w:p>
      <w:pPr>
        <w:bidi/>
        <w:jc w:val="right"/>
      </w:pPr>
      <w:r>
        <w:t>تُحدد مساهمة كل طرف ومسؤولياته وصلاحياته ومؤشرات أدائه في ملحق موقع: التمويل، إدارة المنصة، جمع العقارات والتحقق منها، التسويق، خدمة العملاء، المحاسبة، والعلاقات القانونية. لا تُفترض صلاحية أي طرف في توقيع العقود أو تحصيل الأموال نيابة عن الآخرين ما لم تُمنح كتابةً.</w:t>
      </w:r>
    </w:p>
    <w:p>
      <w:pPr>
        <w:pStyle w:val="Heading1"/>
        <w:bidi/>
        <w:jc w:val="right"/>
      </w:pPr>
      <w:r>
        <w:t>5. توزيع الأرباح — يحتاج إلى تأكيد</w:t>
      </w:r>
    </w:p>
    <w:p>
      <w:pPr>
        <w:bidi/>
        <w:jc w:val="right"/>
      </w:pPr>
      <w:r>
        <w:t>إذا أكد الأطراف استمرار النسب الواردة في المسودة السابقة، يكون التوزيع المقترح 40% للطرف الأول و30% للطرف الثاني و30% للطرف الثالث من صافي الربح القابل للتوزيع، بعد خصم المصروفات المعتمدة والضرائب والرسوم وعمولات الوسطاء والاستردادات وأي التزامات مستحقة، وبعد تكوين احتياطي التشغيل المتفق عليه.</w:t>
      </w:r>
    </w:p>
    <w:p>
      <w:pPr>
        <w:bidi/>
        <w:jc w:val="right"/>
      </w:pPr>
      <w:r>
        <w:t>لا تُعد هذه النسب معتمدة نهائيًا إلا بعد توقيع جميع الأطراف على هذا الإصدار أو ملحق يحدد النسب. ويجب التمييز بين حصص الأرباح والملكية القانونية للشركة؛ فهذه المسودة لا تحل محل عقد تأسيس أو تسجيل شركة إذا تطلب القانون ذلك.</w:t>
      </w:r>
    </w:p>
    <w:p>
      <w:pPr>
        <w:pStyle w:val="Heading1"/>
        <w:bidi/>
        <w:jc w:val="right"/>
      </w:pPr>
      <w:r>
        <w:t>6. الحسابات والشفافية</w:t>
      </w:r>
    </w:p>
    <w:p>
      <w:pPr>
        <w:pStyle w:val="ListBullet"/>
        <w:bidi/>
        <w:jc w:val="right"/>
      </w:pPr>
      <w:r>
        <w:t>تسجل جميع الاستفسارات بمعرّف Lead ID وكل صفقة بمعرّف Transaction ID.</w:t>
      </w:r>
    </w:p>
    <w:p>
      <w:pPr>
        <w:pStyle w:val="ListBullet"/>
        <w:bidi/>
        <w:jc w:val="right"/>
      </w:pPr>
      <w:r>
        <w:t>تُسجل الإيرادات المستحقة والمحصلة والمبالغ المستردة والمصروفات كلٌ على حدة.</w:t>
      </w:r>
    </w:p>
    <w:p>
      <w:pPr>
        <w:pStyle w:val="ListBullet"/>
        <w:bidi/>
        <w:jc w:val="right"/>
      </w:pPr>
      <w:r>
        <w:t>تتاح تقارير دورية للشركاء وفق صلاحيات محددة، مع حماية بيانات العملاء والملاك.</w:t>
      </w:r>
    </w:p>
    <w:p>
      <w:pPr>
        <w:pStyle w:val="ListBullet"/>
        <w:bidi/>
        <w:jc w:val="right"/>
      </w:pPr>
      <w:r>
        <w:t>تُوثق المدفوعات بإيصالات وتتم مطابقة السجلات دوريًا.</w:t>
      </w:r>
    </w:p>
    <w:p>
      <w:pPr>
        <w:pStyle w:val="ListBullet"/>
        <w:bidi/>
        <w:jc w:val="right"/>
      </w:pPr>
      <w:r>
        <w:t>لا توزع أرباح على صفقات غير محصلة فعليًا.</w:t>
      </w:r>
    </w:p>
    <w:p>
      <w:pPr>
        <w:pStyle w:val="Heading1"/>
        <w:bidi/>
        <w:jc w:val="right"/>
      </w:pPr>
      <w:r>
        <w:t>7. الأصول الرقمية وحقوق الوصول</w:t>
      </w:r>
    </w:p>
    <w:p>
      <w:pPr>
        <w:bidi/>
        <w:jc w:val="right"/>
      </w:pPr>
      <w:r>
        <w:t>تحدد قائمة الحسابات والنطاقات والبريد وBlogger وGoogle Drive وSheets وGitHub وWhatsApp Business ومن يملكها ومن يديرها. تُحفظ بيانات الدخول في وسيلة آمنة، وتُفعّل المصادقة الثنائية، ويجب أن تظل أصول المشروع قابلة للتسليم عند خروج أي شريك وفق الاتفاق.</w:t>
      </w:r>
    </w:p>
    <w:p>
      <w:pPr>
        <w:pStyle w:val="Heading1"/>
        <w:bidi/>
        <w:jc w:val="right"/>
      </w:pPr>
      <w:r>
        <w:t>8. الالتزام القانوني والمخاطر</w:t>
      </w:r>
    </w:p>
    <w:p>
      <w:pPr>
        <w:bidi/>
        <w:jc w:val="right"/>
      </w:pPr>
      <w:r>
        <w:t>لا يبدأ التحصيل أو توقيع العقود التجارية النهائية قبل مراجعة الترخيص المناسب، والوساطة العقارية، والضرائب، وحماية المستهلك والبيانات، وشروط الإعلان في جيبوتي. لا تجمع المنصة الإيجارات أو الودائع نيابة عن المالك دون تفويض وآلية قانونية مناسبة.</w:t>
      </w:r>
    </w:p>
    <w:p>
      <w:pPr>
        <w:pStyle w:val="Heading1"/>
        <w:bidi/>
        <w:jc w:val="right"/>
      </w:pPr>
      <w:r>
        <w:t>9. اتخاذ القرار والخروج وتسوية النزاعات</w:t>
      </w:r>
    </w:p>
    <w:p>
      <w:pPr>
        <w:bidi/>
        <w:jc w:val="right"/>
      </w:pPr>
      <w:r>
        <w:t>تُحدد آلية التصويت والقرارات التي تتطلب موافقة الجميع، وتضارب المصالح، وخروج الشريك، وشراء حصته، وحل المشروع، وتسوية النزاعات والقانون المختص في نسخة يراجعها محامٍ محلي.</w:t>
      </w:r>
    </w:p>
    <w:p>
      <w:pPr>
        <w:pStyle w:val="Heading1"/>
        <w:bidi/>
        <w:jc w:val="right"/>
      </w:pPr>
      <w:r>
        <w:t>10. التوقيعات</w:t>
      </w:r>
    </w:p>
    <w:p>
      <w:pPr>
        <w:bidi/>
        <w:jc w:val="right"/>
      </w:pPr>
      <w:r>
        <w:t>الطرف الأول: ____________________ التوقيع: ____________________</w:t>
      </w:r>
    </w:p>
    <w:p>
      <w:pPr>
        <w:bidi/>
        <w:jc w:val="right"/>
      </w:pPr>
      <w:r>
        <w:t>الطرف الثاني: ____________________ التوقيع: ____________________</w:t>
      </w:r>
    </w:p>
    <w:p>
      <w:pPr>
        <w:bidi/>
        <w:jc w:val="right"/>
      </w:pPr>
      <w:r>
        <w:t>الطرف الثالث: ____________________ التوقيع: ____________________</w:t>
      </w:r>
    </w:p>
    <w:p>
      <w:pPr>
        <w:bidi/>
        <w:jc w:val="right"/>
      </w:pPr>
      <w:r>
        <w:t>تنبيه: هذه مسودة تنظيمية محدثة، ولا تعتبر رأيًا قانونيًا أو عقدًا صالحًا للتوقيع دون مراجعة مختص في جيبوتي.</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