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69EDD7">
      <w:pPr>
        <w:spacing w:before="2000"/>
      </w:pPr>
    </w:p>
    <w:p w14:paraId="3E7BB0E5">
      <w:pPr>
        <w:spacing w:before="0" w:after="80"/>
        <w:jc w:val="center"/>
      </w:pPr>
      <w:r>
        <w:rPr>
          <w:rFonts w:ascii="Arial" w:hAnsi="Arial" w:eastAsia="Arial" w:cs="Arial"/>
          <w:b/>
          <w:bCs/>
          <w:color w:val="1F3864"/>
          <w:sz w:val="52"/>
          <w:szCs w:val="52"/>
        </w:rPr>
        <w:t>INFORME FINAL DE PROYECTO</w:t>
      </w:r>
    </w:p>
    <w:p w14:paraId="494A9AEE">
      <w:pPr>
        <w:spacing w:before="0" w:after="200"/>
        <w:jc w:val="center"/>
      </w:pPr>
      <w:r>
        <w:rPr>
          <w:rFonts w:ascii="Arial" w:hAnsi="Arial" w:eastAsia="Arial" w:cs="Arial"/>
          <w:b/>
          <w:bCs/>
          <w:color w:val="2E75B6"/>
          <w:sz w:val="36"/>
          <w:szCs w:val="36"/>
        </w:rPr>
        <w:t>Prácticas DevOps</w:t>
      </w:r>
    </w:p>
    <w:p w14:paraId="0350D388">
      <w:pPr>
        <w:pBdr>
          <w:bottom w:val="single" w:color="2E75B6" w:sz="8" w:space="4"/>
        </w:pBdr>
        <w:spacing w:before="0" w:after="400"/>
        <w:jc w:val="center"/>
      </w:pPr>
    </w:p>
    <w:p w14:paraId="21C2E151">
      <w:pPr>
        <w:spacing w:before="400" w:after="80"/>
        <w:jc w:val="center"/>
      </w:pPr>
      <w:r>
        <w:rPr>
          <w:rFonts w:ascii="Arial" w:hAnsi="Arial" w:eastAsia="Arial" w:cs="Arial"/>
          <w:b/>
          <w:bCs/>
          <w:color w:val="1F3864"/>
          <w:sz w:val="28"/>
          <w:szCs w:val="28"/>
        </w:rPr>
        <w:t>[Nombre del Proyecto]</w:t>
      </w:r>
    </w:p>
    <w:p w14:paraId="23CD5160">
      <w:pPr>
        <w:keepNext w:val="0"/>
        <w:keepLines w:val="0"/>
        <w:widowControl/>
        <w:suppressLineNumbers w:val="0"/>
        <w:spacing w:before="40" w:beforeAutospacing="0" w:after="40" w:afterAutospacing="0"/>
        <w:ind w:left="0" w:right="0"/>
        <w:jc w:val="center"/>
        <w:rPr>
          <w:sz w:val="24"/>
          <w:szCs w:val="24"/>
          <w:lang/>
        </w:rPr>
      </w:pPr>
      <w:r>
        <w:rPr>
          <w:rFonts w:hint="eastAsia" w:ascii="Arial" w:hAnsi="Arial" w:eastAsia="Arial" w:cs="Arial"/>
          <w:b/>
          <w:bCs/>
          <w:color w:val="444444"/>
          <w:kern w:val="0"/>
          <w:sz w:val="24"/>
          <w:szCs w:val="24"/>
          <w:lang w:eastAsia="zh-CN" w:bidi="ar"/>
        </w:rPr>
        <w:t xml:space="preserve">Grupo 1 </w:t>
      </w:r>
      <w:r>
        <w:rPr>
          <w:rFonts w:hint="eastAsia" w:ascii="Arial" w:hAnsi="Arial" w:eastAsia="Arial" w:cs="Arial"/>
          <w:color w:val="444444"/>
          <w:kern w:val="0"/>
          <w:sz w:val="24"/>
          <w:szCs w:val="24"/>
          <w:lang w:eastAsia="zh-CN" w:bidi="ar"/>
        </w:rPr>
        <w:t xml:space="preserve"> </w:t>
      </w:r>
    </w:p>
    <w:p w14:paraId="04CD9A7C">
      <w:pPr>
        <w:keepNext w:val="0"/>
        <w:keepLines w:val="0"/>
        <w:widowControl/>
        <w:suppressLineNumbers w:val="0"/>
        <w:spacing w:before="40" w:beforeAutospacing="0" w:after="40" w:afterAutospacing="0"/>
        <w:ind w:left="0" w:right="0"/>
        <w:jc w:val="center"/>
        <w:rPr>
          <w:sz w:val="24"/>
          <w:szCs w:val="24"/>
          <w:lang/>
        </w:rPr>
      </w:pPr>
      <w:r>
        <w:rPr>
          <w:rFonts w:hint="eastAsia" w:ascii="Arial" w:hAnsi="Arial" w:eastAsia="Arial" w:cs="Arial"/>
          <w:color w:val="444444"/>
          <w:kern w:val="0"/>
          <w:sz w:val="24"/>
          <w:szCs w:val="24"/>
          <w:lang w:eastAsia="zh-CN" w:bidi="ar"/>
        </w:rPr>
        <w:t>Armando Chavez</w:t>
      </w:r>
    </w:p>
    <w:p w14:paraId="40E2C96C">
      <w:pPr>
        <w:keepNext w:val="0"/>
        <w:keepLines w:val="0"/>
        <w:widowControl/>
        <w:suppressLineNumbers w:val="0"/>
        <w:spacing w:before="40" w:beforeAutospacing="0" w:after="40" w:afterAutospacing="0"/>
        <w:ind w:left="0" w:right="0"/>
        <w:jc w:val="center"/>
        <w:rPr>
          <w:sz w:val="24"/>
          <w:szCs w:val="24"/>
          <w:lang/>
        </w:rPr>
      </w:pPr>
      <w:r>
        <w:rPr>
          <w:rFonts w:hint="eastAsia" w:ascii="Arial" w:hAnsi="Arial" w:eastAsia="Arial" w:cs="Arial"/>
          <w:color w:val="444444"/>
          <w:kern w:val="0"/>
          <w:sz w:val="24"/>
          <w:szCs w:val="24"/>
          <w:lang w:eastAsia="zh-CN" w:bidi="ar"/>
        </w:rPr>
        <w:t>Geovanny Robles]</w:t>
      </w:r>
    </w:p>
    <w:p w14:paraId="04A168E6">
      <w:pPr>
        <w:keepNext w:val="0"/>
        <w:keepLines w:val="0"/>
        <w:widowControl/>
        <w:suppressLineNumbers w:val="0"/>
        <w:spacing w:before="40" w:beforeAutospacing="0" w:after="40" w:afterAutospacing="0"/>
        <w:ind w:left="0" w:right="0"/>
        <w:jc w:val="center"/>
        <w:rPr>
          <w:sz w:val="24"/>
          <w:szCs w:val="24"/>
          <w:lang/>
        </w:rPr>
      </w:pPr>
      <w:r>
        <w:rPr>
          <w:rFonts w:hint="eastAsia" w:ascii="Arial" w:hAnsi="Arial" w:eastAsia="Arial" w:cs="Arial"/>
          <w:color w:val="444444"/>
          <w:kern w:val="0"/>
          <w:sz w:val="24"/>
          <w:szCs w:val="24"/>
          <w:lang w:eastAsia="zh-CN" w:bidi="ar"/>
        </w:rPr>
        <w:t>Guido Vallejo</w:t>
      </w:r>
    </w:p>
    <w:p w14:paraId="19E60428">
      <w:pPr>
        <w:spacing w:before="40" w:after="40"/>
        <w:jc w:val="center"/>
        <w:rPr>
          <w:rFonts w:ascii="Arial" w:hAnsi="Arial" w:eastAsia="Arial" w:cs="Arial"/>
          <w:color w:val="444444"/>
          <w:sz w:val="24"/>
          <w:szCs w:val="24"/>
        </w:rPr>
      </w:pPr>
    </w:p>
    <w:p w14:paraId="14E3FE8D">
      <w:pPr>
        <w:spacing w:before="40" w:after="40"/>
        <w:jc w:val="center"/>
      </w:pPr>
      <w:r>
        <w:rPr>
          <w:rFonts w:ascii="Arial" w:hAnsi="Arial" w:eastAsia="Arial" w:cs="Arial"/>
          <w:color w:val="444444"/>
          <w:sz w:val="24"/>
          <w:szCs w:val="24"/>
        </w:rPr>
        <w:t>[Institución / Materia]</w:t>
      </w:r>
    </w:p>
    <w:p w14:paraId="1094D9E0">
      <w:pPr>
        <w:spacing w:before="40" w:after="40"/>
        <w:jc w:val="center"/>
      </w:pPr>
      <w:r>
        <w:rPr>
          <w:rFonts w:ascii="Arial" w:hAnsi="Arial" w:eastAsia="Arial" w:cs="Arial"/>
          <w:color w:val="444444"/>
          <w:sz w:val="24"/>
          <w:szCs w:val="24"/>
        </w:rPr>
        <w:t>[Fecha de Entrega]</w:t>
      </w:r>
    </w:p>
    <w:p w14:paraId="10CA0C3B">
      <w:r>
        <w:br w:type="page"/>
      </w:r>
    </w:p>
    <w:p w14:paraId="0C79665E">
      <w:pPr>
        <w:pStyle w:val="2"/>
        <w:pBdr>
          <w:bottom w:val="single" w:color="2E75B6" w:sz="6" w:space="4"/>
        </w:pBdr>
        <w:spacing w:before="360" w:after="120"/>
      </w:pPr>
      <w:r>
        <w:rPr>
          <w:rFonts w:ascii="Arial" w:hAnsi="Arial" w:eastAsia="Arial" w:cs="Arial"/>
          <w:b/>
          <w:bCs/>
          <w:color w:val="1F3864"/>
          <w:sz w:val="32"/>
          <w:szCs w:val="32"/>
        </w:rPr>
        <w:t>Resumen Ejecutivo</w:t>
      </w:r>
    </w:p>
    <w:p w14:paraId="619D8051">
      <w:pPr>
        <w:spacing w:before="60" w:after="100"/>
        <w:jc w:val="both"/>
      </w:pPr>
      <w:r>
        <w:rPr>
          <w:rFonts w:ascii="Arial" w:hAnsi="Arial" w:eastAsia="Arial" w:cs="Arial"/>
          <w:color w:val="444444"/>
          <w:sz w:val="22"/>
          <w:szCs w:val="22"/>
        </w:rPr>
        <w:t>El presente informe documenta el desarrollo e implementación de un proyecto orientado a la adopción de prácticas DevOps. A lo largo del proyecto, el equipo trabajó en cuatro áreas fundamentales: la gestión del backlog del producto, la definición de infraestructura como código (IaC), la implementación de pipelines de integración y entrega continua (CI/CD), y el establecimiento de un sistema de monitoreo para los entornos desplegados.</w:t>
      </w:r>
    </w:p>
    <w:p w14:paraId="3C7F5955">
      <w:pPr>
        <w:spacing w:before="60" w:after="100"/>
        <w:jc w:val="both"/>
      </w:pPr>
      <w:r>
        <w:rPr>
          <w:rFonts w:ascii="Arial" w:hAnsi="Arial" w:eastAsia="Arial" w:cs="Arial"/>
          <w:color w:val="444444"/>
          <w:sz w:val="22"/>
          <w:szCs w:val="22"/>
        </w:rPr>
        <w:t>Cada área fue abordada de forma iterativa, buscando integrar las herramientas, metodologías y buenas prácticas propias de la cultura DevOps. Los resultados obtenidos demuestran una mejora significativa en la velocidad de entrega, la trazabilidad del trabajo y la estabilidad del sistema.</w:t>
      </w:r>
    </w:p>
    <w:p w14:paraId="070CA222">
      <w:pPr>
        <w:spacing w:before="80" w:after="80"/>
      </w:pPr>
    </w:p>
    <w:p w14:paraId="3A2EDCD0">
      <w:r>
        <w:br w:type="page"/>
      </w:r>
    </w:p>
    <w:p w14:paraId="7E72408A">
      <w:pPr>
        <w:pStyle w:val="2"/>
        <w:pBdr>
          <w:bottom w:val="single" w:color="2E75B6" w:sz="6" w:space="4"/>
        </w:pBdr>
        <w:spacing w:before="360" w:after="120"/>
      </w:pPr>
      <w:r>
        <w:rPr>
          <w:rFonts w:ascii="Arial" w:hAnsi="Arial" w:eastAsia="Arial" w:cs="Arial"/>
          <w:b/>
          <w:bCs/>
          <w:color w:val="1F3864"/>
          <w:sz w:val="32"/>
          <w:szCs w:val="32"/>
        </w:rPr>
        <w:t>1. Gestión de Backlog</w:t>
      </w:r>
    </w:p>
    <w:p w14:paraId="050322B4">
      <w:pPr>
        <w:spacing w:before="80" w:after="80"/>
      </w:pPr>
    </w:p>
    <w:p w14:paraId="015AA349">
      <w:pPr>
        <w:pStyle w:val="3"/>
        <w:spacing w:before="240" w:after="80"/>
      </w:pPr>
      <w:r>
        <w:rPr>
          <w:rFonts w:ascii="Arial" w:hAnsi="Arial" w:eastAsia="Arial" w:cs="Arial"/>
          <w:b/>
          <w:bCs/>
          <w:color w:val="2E75B6"/>
          <w:sz w:val="26"/>
          <w:szCs w:val="26"/>
        </w:rPr>
        <w:t>1.1 Descripción General</w:t>
      </w:r>
    </w:p>
    <w:p w14:paraId="38E83B03">
      <w:pPr>
        <w:spacing w:before="60" w:after="100"/>
        <w:jc w:val="both"/>
      </w:pPr>
      <w:r>
        <w:rPr>
          <w:rFonts w:ascii="Arial" w:hAnsi="Arial" w:eastAsia="Arial" w:cs="Arial"/>
          <w:color w:val="444444"/>
          <w:sz w:val="22"/>
          <w:szCs w:val="22"/>
        </w:rPr>
        <w:t>La gestión del backlog constituyó el punto de partida del proyecto, permitiendo al equipo organizar, priorizar y dar seguimiento a todas las tareas e historias de usuario definidas para el ciclo de desarrollo. Se adoptó un enfoque ágil basado en Scrum para estructurar el trabajo en iteraciones (sprints).</w:t>
      </w:r>
    </w:p>
    <w:p w14:paraId="3549C326">
      <w:pPr>
        <w:pStyle w:val="3"/>
        <w:spacing w:before="240" w:after="80"/>
      </w:pPr>
      <w:r>
        <w:rPr>
          <w:rFonts w:ascii="Arial" w:hAnsi="Arial" w:eastAsia="Arial" w:cs="Arial"/>
          <w:b/>
          <w:bCs/>
          <w:color w:val="2E75B6"/>
          <w:sz w:val="26"/>
          <w:szCs w:val="26"/>
        </w:rPr>
        <w:t>1.2 Herramientas Utilizadas</w:t>
      </w:r>
    </w:p>
    <w:p w14:paraId="164D888A">
      <w:pPr>
        <w:pStyle w:val="16"/>
        <w:numPr>
          <w:ilvl w:val="0"/>
          <w:numId w:val="1"/>
        </w:numPr>
        <w:spacing w:before="40" w:after="40"/>
      </w:pPr>
      <w:r>
        <w:rPr>
          <w:rFonts w:ascii="Arial" w:hAnsi="Arial" w:eastAsia="Arial" w:cs="Arial"/>
          <w:color w:val="444444"/>
          <w:sz w:val="22"/>
          <w:szCs w:val="22"/>
        </w:rPr>
        <w:t xml:space="preserve">Herramienta de gestión: Jira / GitHub Projects </w:t>
      </w:r>
    </w:p>
    <w:p w14:paraId="3E74F709">
      <w:pPr>
        <w:pStyle w:val="16"/>
        <w:numPr>
          <w:ilvl w:val="0"/>
          <w:numId w:val="1"/>
        </w:numPr>
        <w:spacing w:before="40" w:after="40"/>
      </w:pPr>
      <w:r>
        <w:rPr>
          <w:rFonts w:ascii="Arial" w:hAnsi="Arial" w:eastAsia="Arial" w:cs="Arial"/>
          <w:color w:val="444444"/>
          <w:sz w:val="22"/>
          <w:szCs w:val="22"/>
        </w:rPr>
        <w:t>Repositorio de código: GitHub Metodología: Scrum / Kanban</w:t>
      </w:r>
    </w:p>
    <w:p w14:paraId="3C252E24">
      <w:pPr>
        <w:pStyle w:val="3"/>
        <w:spacing w:before="240" w:after="80"/>
      </w:pPr>
      <w:r>
        <w:rPr>
          <w:rFonts w:ascii="Arial" w:hAnsi="Arial" w:eastAsia="Arial" w:cs="Arial"/>
          <w:b/>
          <w:bCs/>
          <w:color w:val="2E75B6"/>
          <w:sz w:val="26"/>
          <w:szCs w:val="26"/>
        </w:rPr>
        <w:t>1.3 Estructura del Backlog</w:t>
      </w:r>
    </w:p>
    <w:p w14:paraId="25256023">
      <w:pPr>
        <w:spacing w:before="60" w:after="100"/>
        <w:jc w:val="both"/>
      </w:pPr>
      <w:r>
        <w:rPr>
          <w:rFonts w:ascii="Arial" w:hAnsi="Arial" w:eastAsia="Arial" w:cs="Arial"/>
          <w:color w:val="444444"/>
          <w:sz w:val="22"/>
          <w:szCs w:val="22"/>
        </w:rPr>
        <w:t>El backlog fue organizado en los siguientes niveles jerárquicos:</w:t>
      </w:r>
    </w:p>
    <w:p w14:paraId="3229AEB5">
      <w:pPr>
        <w:pStyle w:val="16"/>
        <w:numPr>
          <w:ilvl w:val="0"/>
          <w:numId w:val="1"/>
        </w:numPr>
        <w:spacing w:before="40" w:after="40"/>
      </w:pPr>
      <w:r>
        <w:rPr>
          <w:rFonts w:ascii="Arial" w:hAnsi="Arial" w:eastAsia="Arial" w:cs="Arial"/>
          <w:color w:val="444444"/>
          <w:sz w:val="22"/>
          <w:szCs w:val="22"/>
        </w:rPr>
        <w:t>Épicas: agrupaciones de alto nivel que representan grandes funcionalidades o módulos del sistema.</w:t>
      </w:r>
    </w:p>
    <w:p w14:paraId="4EB87CF1">
      <w:pPr>
        <w:pStyle w:val="16"/>
        <w:numPr>
          <w:numId w:val="0"/>
        </w:numPr>
        <w:spacing w:before="40" w:after="40"/>
        <w:rPr>
          <w:rFonts w:ascii="Arial" w:hAnsi="Arial" w:eastAsia="Arial" w:cs="Arial"/>
          <w:color w:val="444444"/>
          <w:sz w:val="22"/>
          <w:szCs w:val="22"/>
        </w:rPr>
      </w:pPr>
    </w:p>
    <w:tbl>
      <w:tblPr>
        <w:tblW w:w="586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200"/>
        <w:gridCol w:w="5719"/>
      </w:tblGrid>
      <w:tr w14:paraId="2D6E5C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200" w:type="dxa"/>
            <w:tcBorders>
              <w:top w:val="single" w:color="auto" w:sz="2" w:space="0"/>
              <w:left w:val="single" w:color="auto" w:sz="2" w:space="0"/>
              <w:bottom w:val="single" w:color="auto" w:sz="2" w:space="0"/>
              <w:right w:val="single" w:color="auto" w:sz="2" w:space="0"/>
            </w:tcBorders>
            <w:shd w:val="clear"/>
            <w:noWrap/>
            <w:vAlign w:val="bottom"/>
          </w:tcPr>
          <w:p w14:paraId="3C8DDD25">
            <w:pPr>
              <w:keepNext w:val="0"/>
              <w:keepLines w:val="0"/>
              <w:widowControl/>
              <w:suppressLineNumbers w:val="0"/>
              <w:jc w:val="left"/>
              <w:textAlignment w:val="bottom"/>
              <w:rPr>
                <w:rFonts w:ascii="Arial" w:hAnsi="Arial" w:eastAsia="Arial" w:cs="Arial"/>
                <w:color w:val="444444"/>
                <w:sz w:val="22"/>
                <w:szCs w:val="22"/>
              </w:rPr>
            </w:pPr>
            <w:r>
              <w:rPr>
                <w:rFonts w:hint="default" w:ascii="Arial" w:hAnsi="Arial" w:eastAsia="Arial" w:cs="Arial"/>
                <w:color w:val="444444"/>
                <w:sz w:val="22"/>
                <w:szCs w:val="22"/>
                <w:lang w:val="en-US" w:eastAsia="zh-CN"/>
              </w:rPr>
              <w:t>Id Epica</w:t>
            </w:r>
          </w:p>
        </w:tc>
        <w:tc>
          <w:tcPr>
            <w:tcW w:w="4660" w:type="dxa"/>
            <w:tcBorders>
              <w:top w:val="single" w:color="auto" w:sz="2" w:space="0"/>
              <w:left w:val="nil"/>
              <w:bottom w:val="single" w:color="auto" w:sz="2" w:space="0"/>
              <w:right w:val="single" w:color="auto" w:sz="2" w:space="0"/>
            </w:tcBorders>
            <w:shd w:val="clear"/>
            <w:noWrap/>
            <w:vAlign w:val="bottom"/>
          </w:tcPr>
          <w:p w14:paraId="68FFE9EA">
            <w:pPr>
              <w:keepNext w:val="0"/>
              <w:keepLines w:val="0"/>
              <w:widowControl/>
              <w:suppressLineNumbers w:val="0"/>
              <w:jc w:val="left"/>
              <w:textAlignment w:val="bottom"/>
              <w:rPr>
                <w:rFonts w:hint="default" w:ascii="Arial" w:hAnsi="Arial" w:eastAsia="Arial" w:cs="Arial"/>
                <w:color w:val="444444"/>
                <w:sz w:val="22"/>
                <w:szCs w:val="22"/>
              </w:rPr>
            </w:pPr>
            <w:r>
              <w:rPr>
                <w:rFonts w:hint="default" w:ascii="Arial" w:hAnsi="Arial" w:eastAsia="Arial" w:cs="Arial"/>
                <w:color w:val="444444"/>
                <w:sz w:val="22"/>
                <w:szCs w:val="22"/>
                <w:lang w:val="en-US" w:eastAsia="zh-CN"/>
              </w:rPr>
              <w:t>Epica</w:t>
            </w:r>
          </w:p>
        </w:tc>
      </w:tr>
      <w:tr w14:paraId="27AC5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tcBorders>
              <w:top w:val="nil"/>
              <w:left w:val="single" w:color="auto" w:sz="2" w:space="0"/>
              <w:bottom w:val="single" w:color="auto" w:sz="2" w:space="0"/>
              <w:right w:val="single" w:color="auto" w:sz="2" w:space="0"/>
            </w:tcBorders>
            <w:shd w:val="clear"/>
            <w:noWrap/>
            <w:vAlign w:val="bottom"/>
          </w:tcPr>
          <w:p w14:paraId="02C65350">
            <w:pPr>
              <w:keepNext w:val="0"/>
              <w:keepLines w:val="0"/>
              <w:widowControl/>
              <w:suppressLineNumbers w:val="0"/>
              <w:jc w:val="left"/>
              <w:textAlignment w:val="bottom"/>
              <w:rPr>
                <w:rFonts w:hint="default" w:ascii="Arial" w:hAnsi="Arial" w:eastAsia="Arial" w:cs="Arial"/>
                <w:color w:val="444444"/>
                <w:sz w:val="22"/>
                <w:szCs w:val="22"/>
              </w:rPr>
            </w:pPr>
            <w:r>
              <w:rPr>
                <w:rFonts w:hint="default" w:ascii="Arial" w:hAnsi="Arial" w:eastAsia="Arial" w:cs="Arial"/>
                <w:color w:val="444444"/>
                <w:sz w:val="22"/>
                <w:szCs w:val="22"/>
                <w:lang w:val="en-US" w:eastAsia="zh-CN"/>
              </w:rPr>
              <w:t>DG-1</w:t>
            </w:r>
          </w:p>
        </w:tc>
        <w:tc>
          <w:tcPr>
            <w:tcW w:w="0" w:type="auto"/>
            <w:tcBorders>
              <w:top w:val="nil"/>
              <w:left w:val="nil"/>
              <w:bottom w:val="single" w:color="auto" w:sz="2" w:space="0"/>
              <w:right w:val="single" w:color="auto" w:sz="2" w:space="0"/>
            </w:tcBorders>
            <w:shd w:val="clear"/>
            <w:noWrap/>
            <w:vAlign w:val="bottom"/>
          </w:tcPr>
          <w:p w14:paraId="46422335">
            <w:pPr>
              <w:keepNext w:val="0"/>
              <w:keepLines w:val="0"/>
              <w:widowControl/>
              <w:suppressLineNumbers w:val="0"/>
              <w:jc w:val="left"/>
              <w:textAlignment w:val="bottom"/>
              <w:rPr>
                <w:rFonts w:hint="default" w:ascii="Arial" w:hAnsi="Arial" w:eastAsia="Arial" w:cs="Arial"/>
                <w:color w:val="444444"/>
                <w:sz w:val="22"/>
                <w:szCs w:val="22"/>
              </w:rPr>
            </w:pPr>
            <w:r>
              <w:rPr>
                <w:rFonts w:hint="default" w:ascii="Arial" w:hAnsi="Arial" w:eastAsia="Arial" w:cs="Arial"/>
                <w:color w:val="444444"/>
                <w:sz w:val="22"/>
                <w:szCs w:val="22"/>
                <w:lang w:val="en-US" w:eastAsia="zh-CN"/>
              </w:rPr>
              <w:t>Estructura y Contenido Base de la Documentación</w:t>
            </w:r>
          </w:p>
        </w:tc>
      </w:tr>
      <w:tr w14:paraId="15CF6D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auto" w:sz="2" w:space="0"/>
              <w:bottom w:val="single" w:color="auto" w:sz="2" w:space="0"/>
              <w:right w:val="single" w:color="auto" w:sz="2" w:space="0"/>
            </w:tcBorders>
            <w:shd w:val="clear"/>
            <w:noWrap/>
            <w:vAlign w:val="bottom"/>
          </w:tcPr>
          <w:p w14:paraId="01A371C1">
            <w:pPr>
              <w:keepNext w:val="0"/>
              <w:keepLines w:val="0"/>
              <w:widowControl/>
              <w:suppressLineNumbers w:val="0"/>
              <w:jc w:val="left"/>
              <w:textAlignment w:val="bottom"/>
              <w:rPr>
                <w:rFonts w:hint="default" w:ascii="Arial" w:hAnsi="Arial" w:eastAsia="Arial" w:cs="Arial"/>
                <w:color w:val="444444"/>
                <w:sz w:val="22"/>
                <w:szCs w:val="22"/>
              </w:rPr>
            </w:pPr>
            <w:r>
              <w:rPr>
                <w:rFonts w:hint="default" w:ascii="Arial" w:hAnsi="Arial" w:eastAsia="Arial" w:cs="Arial"/>
                <w:color w:val="444444"/>
                <w:sz w:val="22"/>
                <w:szCs w:val="22"/>
                <w:lang w:val="en-US" w:eastAsia="zh-CN"/>
              </w:rPr>
              <w:t>DG-2</w:t>
            </w:r>
          </w:p>
        </w:tc>
        <w:tc>
          <w:tcPr>
            <w:tcW w:w="0" w:type="auto"/>
            <w:tcBorders>
              <w:top w:val="nil"/>
              <w:left w:val="nil"/>
              <w:bottom w:val="single" w:color="auto" w:sz="2" w:space="0"/>
              <w:right w:val="single" w:color="auto" w:sz="2" w:space="0"/>
            </w:tcBorders>
            <w:shd w:val="clear"/>
            <w:noWrap/>
            <w:vAlign w:val="bottom"/>
          </w:tcPr>
          <w:p w14:paraId="6F629774">
            <w:pPr>
              <w:keepNext w:val="0"/>
              <w:keepLines w:val="0"/>
              <w:widowControl/>
              <w:suppressLineNumbers w:val="0"/>
              <w:jc w:val="left"/>
              <w:textAlignment w:val="bottom"/>
              <w:rPr>
                <w:rFonts w:hint="default" w:ascii="Arial" w:hAnsi="Arial" w:eastAsia="Arial" w:cs="Arial"/>
                <w:color w:val="444444"/>
                <w:sz w:val="22"/>
                <w:szCs w:val="22"/>
              </w:rPr>
            </w:pPr>
            <w:r>
              <w:rPr>
                <w:rFonts w:hint="default" w:ascii="Arial" w:hAnsi="Arial" w:eastAsia="Arial" w:cs="Arial"/>
                <w:color w:val="444444"/>
                <w:sz w:val="22"/>
                <w:szCs w:val="22"/>
                <w:lang w:val="en-US" w:eastAsia="zh-CN"/>
              </w:rPr>
              <w:t>Guías para Contribuidores y Desarrolladores</w:t>
            </w:r>
          </w:p>
        </w:tc>
      </w:tr>
      <w:tr w14:paraId="3425C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tcBorders>
              <w:top w:val="nil"/>
              <w:left w:val="single" w:color="auto" w:sz="2" w:space="0"/>
              <w:bottom w:val="single" w:color="auto" w:sz="2" w:space="0"/>
              <w:right w:val="single" w:color="auto" w:sz="2" w:space="0"/>
            </w:tcBorders>
            <w:shd w:val="clear"/>
            <w:noWrap/>
            <w:vAlign w:val="bottom"/>
          </w:tcPr>
          <w:p w14:paraId="38D23571">
            <w:pPr>
              <w:keepNext w:val="0"/>
              <w:keepLines w:val="0"/>
              <w:widowControl/>
              <w:suppressLineNumbers w:val="0"/>
              <w:jc w:val="left"/>
              <w:textAlignment w:val="bottom"/>
              <w:rPr>
                <w:rFonts w:hint="default" w:ascii="Arial" w:hAnsi="Arial" w:eastAsia="Arial" w:cs="Arial"/>
                <w:color w:val="444444"/>
                <w:sz w:val="22"/>
                <w:szCs w:val="22"/>
              </w:rPr>
            </w:pPr>
            <w:r>
              <w:rPr>
                <w:rFonts w:hint="default" w:ascii="Arial" w:hAnsi="Arial" w:eastAsia="Arial" w:cs="Arial"/>
                <w:color w:val="444444"/>
                <w:sz w:val="22"/>
                <w:szCs w:val="22"/>
                <w:lang w:val="en-US" w:eastAsia="zh-CN"/>
              </w:rPr>
              <w:t>DG-3</w:t>
            </w:r>
          </w:p>
        </w:tc>
        <w:tc>
          <w:tcPr>
            <w:tcW w:w="0" w:type="auto"/>
            <w:tcBorders>
              <w:top w:val="nil"/>
              <w:left w:val="nil"/>
              <w:bottom w:val="single" w:color="auto" w:sz="2" w:space="0"/>
              <w:right w:val="single" w:color="auto" w:sz="2" w:space="0"/>
            </w:tcBorders>
            <w:shd w:val="clear"/>
            <w:noWrap/>
            <w:vAlign w:val="bottom"/>
          </w:tcPr>
          <w:p w14:paraId="36537B19">
            <w:pPr>
              <w:keepNext w:val="0"/>
              <w:keepLines w:val="0"/>
              <w:widowControl/>
              <w:suppressLineNumbers w:val="0"/>
              <w:jc w:val="left"/>
              <w:textAlignment w:val="bottom"/>
              <w:rPr>
                <w:rFonts w:hint="default" w:ascii="Arial" w:hAnsi="Arial" w:eastAsia="Arial" w:cs="Arial"/>
                <w:color w:val="444444"/>
                <w:sz w:val="22"/>
                <w:szCs w:val="22"/>
              </w:rPr>
            </w:pPr>
            <w:r>
              <w:rPr>
                <w:rFonts w:hint="default" w:ascii="Arial" w:hAnsi="Arial" w:eastAsia="Arial" w:cs="Arial"/>
                <w:color w:val="444444"/>
                <w:sz w:val="22"/>
                <w:szCs w:val="22"/>
                <w:lang w:val="en-US" w:eastAsia="zh-CN"/>
              </w:rPr>
              <w:t>Automatización y Despliegue de la Documentación</w:t>
            </w:r>
          </w:p>
        </w:tc>
      </w:tr>
      <w:tr w14:paraId="099D79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tcBorders>
              <w:top w:val="nil"/>
              <w:left w:val="single" w:color="auto" w:sz="2" w:space="0"/>
              <w:bottom w:val="single" w:color="auto" w:sz="2" w:space="0"/>
              <w:right w:val="single" w:color="auto" w:sz="2" w:space="0"/>
            </w:tcBorders>
            <w:shd w:val="clear"/>
            <w:noWrap/>
            <w:vAlign w:val="bottom"/>
          </w:tcPr>
          <w:p w14:paraId="00FCE013">
            <w:pPr>
              <w:keepNext w:val="0"/>
              <w:keepLines w:val="0"/>
              <w:widowControl/>
              <w:suppressLineNumbers w:val="0"/>
              <w:jc w:val="left"/>
              <w:textAlignment w:val="bottom"/>
              <w:rPr>
                <w:rFonts w:hint="default" w:ascii="Arial" w:hAnsi="Arial" w:eastAsia="Arial" w:cs="Arial"/>
                <w:color w:val="444444"/>
                <w:sz w:val="22"/>
                <w:szCs w:val="22"/>
              </w:rPr>
            </w:pPr>
            <w:r>
              <w:rPr>
                <w:rFonts w:hint="default" w:ascii="Arial" w:hAnsi="Arial" w:eastAsia="Arial" w:cs="Arial"/>
                <w:color w:val="444444"/>
                <w:sz w:val="22"/>
                <w:szCs w:val="22"/>
                <w:lang w:val="en-US" w:eastAsia="zh-CN"/>
              </w:rPr>
              <w:t>SG-3</w:t>
            </w:r>
          </w:p>
        </w:tc>
        <w:tc>
          <w:tcPr>
            <w:tcW w:w="0" w:type="auto"/>
            <w:tcBorders>
              <w:top w:val="nil"/>
              <w:left w:val="nil"/>
              <w:bottom w:val="single" w:color="auto" w:sz="2" w:space="0"/>
              <w:right w:val="single" w:color="auto" w:sz="2" w:space="0"/>
            </w:tcBorders>
            <w:shd w:val="clear"/>
            <w:noWrap/>
            <w:vAlign w:val="bottom"/>
          </w:tcPr>
          <w:p w14:paraId="45809234">
            <w:pPr>
              <w:keepNext w:val="0"/>
              <w:keepLines w:val="0"/>
              <w:widowControl/>
              <w:suppressLineNumbers w:val="0"/>
              <w:jc w:val="left"/>
              <w:textAlignment w:val="bottom"/>
              <w:rPr>
                <w:rFonts w:hint="default" w:ascii="Arial" w:hAnsi="Arial" w:eastAsia="Arial" w:cs="Arial"/>
                <w:color w:val="444444"/>
                <w:sz w:val="22"/>
                <w:szCs w:val="22"/>
              </w:rPr>
            </w:pPr>
            <w:r>
              <w:rPr>
                <w:rFonts w:hint="default" w:ascii="Arial" w:hAnsi="Arial" w:eastAsia="Arial" w:cs="Arial"/>
                <w:color w:val="444444"/>
                <w:sz w:val="22"/>
                <w:szCs w:val="22"/>
                <w:lang w:val="en-US" w:eastAsia="zh-CN"/>
              </w:rPr>
              <w:t>Gestión del proyecto y gobierno del trabajo</w:t>
            </w:r>
          </w:p>
        </w:tc>
      </w:tr>
      <w:tr w14:paraId="0409E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auto" w:sz="2" w:space="0"/>
              <w:bottom w:val="single" w:color="auto" w:sz="2" w:space="0"/>
              <w:right w:val="single" w:color="auto" w:sz="2" w:space="0"/>
            </w:tcBorders>
            <w:shd w:val="clear"/>
            <w:noWrap/>
            <w:vAlign w:val="bottom"/>
          </w:tcPr>
          <w:p w14:paraId="0CF6433F">
            <w:pPr>
              <w:keepNext w:val="0"/>
              <w:keepLines w:val="0"/>
              <w:widowControl/>
              <w:suppressLineNumbers w:val="0"/>
              <w:jc w:val="left"/>
              <w:textAlignment w:val="bottom"/>
              <w:rPr>
                <w:rFonts w:hint="default" w:ascii="Arial" w:hAnsi="Arial" w:eastAsia="Arial" w:cs="Arial"/>
                <w:color w:val="444444"/>
                <w:sz w:val="22"/>
                <w:szCs w:val="22"/>
              </w:rPr>
            </w:pPr>
            <w:r>
              <w:rPr>
                <w:rFonts w:hint="default" w:ascii="Arial" w:hAnsi="Arial" w:eastAsia="Arial" w:cs="Arial"/>
                <w:color w:val="444444"/>
                <w:sz w:val="22"/>
                <w:szCs w:val="22"/>
                <w:lang w:val="en-US" w:eastAsia="zh-CN"/>
              </w:rPr>
              <w:t>SG-4</w:t>
            </w:r>
          </w:p>
        </w:tc>
        <w:tc>
          <w:tcPr>
            <w:tcW w:w="0" w:type="auto"/>
            <w:tcBorders>
              <w:top w:val="nil"/>
              <w:left w:val="nil"/>
              <w:bottom w:val="single" w:color="auto" w:sz="2" w:space="0"/>
              <w:right w:val="single" w:color="auto" w:sz="2" w:space="0"/>
            </w:tcBorders>
            <w:shd w:val="clear"/>
            <w:noWrap/>
            <w:vAlign w:val="bottom"/>
          </w:tcPr>
          <w:p w14:paraId="018D7661">
            <w:pPr>
              <w:keepNext w:val="0"/>
              <w:keepLines w:val="0"/>
              <w:widowControl/>
              <w:suppressLineNumbers w:val="0"/>
              <w:jc w:val="left"/>
              <w:textAlignment w:val="bottom"/>
              <w:rPr>
                <w:rFonts w:hint="default" w:ascii="Arial" w:hAnsi="Arial" w:eastAsia="Arial" w:cs="Arial"/>
                <w:color w:val="444444"/>
                <w:sz w:val="22"/>
                <w:szCs w:val="22"/>
              </w:rPr>
            </w:pPr>
            <w:r>
              <w:rPr>
                <w:rFonts w:hint="default" w:ascii="Arial" w:hAnsi="Arial" w:eastAsia="Arial" w:cs="Arial"/>
                <w:color w:val="444444"/>
                <w:sz w:val="22"/>
                <w:szCs w:val="22"/>
                <w:lang w:val="en-US" w:eastAsia="zh-CN"/>
              </w:rPr>
              <w:t>Diseño de base de datos y modelo de dominio</w:t>
            </w:r>
          </w:p>
        </w:tc>
      </w:tr>
      <w:tr w14:paraId="1AF40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tcBorders>
              <w:top w:val="nil"/>
              <w:left w:val="single" w:color="auto" w:sz="2" w:space="0"/>
              <w:bottom w:val="single" w:color="auto" w:sz="2" w:space="0"/>
              <w:right w:val="single" w:color="auto" w:sz="2" w:space="0"/>
            </w:tcBorders>
            <w:shd w:val="clear"/>
            <w:noWrap/>
            <w:vAlign w:val="bottom"/>
          </w:tcPr>
          <w:p w14:paraId="1C3B9DAD">
            <w:pPr>
              <w:keepNext w:val="0"/>
              <w:keepLines w:val="0"/>
              <w:widowControl/>
              <w:suppressLineNumbers w:val="0"/>
              <w:jc w:val="left"/>
              <w:textAlignment w:val="bottom"/>
              <w:rPr>
                <w:rFonts w:hint="default" w:ascii="Arial" w:hAnsi="Arial" w:eastAsia="Arial" w:cs="Arial"/>
                <w:color w:val="444444"/>
                <w:sz w:val="22"/>
                <w:szCs w:val="22"/>
              </w:rPr>
            </w:pPr>
            <w:r>
              <w:rPr>
                <w:rFonts w:hint="default" w:ascii="Arial" w:hAnsi="Arial" w:eastAsia="Arial" w:cs="Arial"/>
                <w:color w:val="444444"/>
                <w:sz w:val="22"/>
                <w:szCs w:val="22"/>
                <w:lang w:val="en-US" w:eastAsia="zh-CN"/>
              </w:rPr>
              <w:t>SG-5</w:t>
            </w:r>
          </w:p>
        </w:tc>
        <w:tc>
          <w:tcPr>
            <w:tcW w:w="0" w:type="auto"/>
            <w:tcBorders>
              <w:top w:val="nil"/>
              <w:left w:val="nil"/>
              <w:bottom w:val="single" w:color="auto" w:sz="2" w:space="0"/>
              <w:right w:val="single" w:color="auto" w:sz="2" w:space="0"/>
            </w:tcBorders>
            <w:shd w:val="clear"/>
            <w:noWrap/>
            <w:vAlign w:val="bottom"/>
          </w:tcPr>
          <w:p w14:paraId="665792B0">
            <w:pPr>
              <w:keepNext w:val="0"/>
              <w:keepLines w:val="0"/>
              <w:widowControl/>
              <w:suppressLineNumbers w:val="0"/>
              <w:jc w:val="left"/>
              <w:textAlignment w:val="bottom"/>
              <w:rPr>
                <w:rFonts w:hint="default" w:ascii="Arial" w:hAnsi="Arial" w:eastAsia="Arial" w:cs="Arial"/>
                <w:color w:val="444444"/>
                <w:sz w:val="22"/>
                <w:szCs w:val="22"/>
              </w:rPr>
            </w:pPr>
            <w:r>
              <w:rPr>
                <w:rFonts w:hint="default" w:ascii="Arial" w:hAnsi="Arial" w:eastAsia="Arial" w:cs="Arial"/>
                <w:color w:val="444444"/>
                <w:sz w:val="22"/>
                <w:szCs w:val="22"/>
                <w:lang w:val="en-US" w:eastAsia="zh-CN"/>
              </w:rPr>
              <w:t>Autenticación, usuarios y roles (RBAC)</w:t>
            </w:r>
          </w:p>
        </w:tc>
      </w:tr>
      <w:tr w14:paraId="3A4199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tcBorders>
              <w:top w:val="nil"/>
              <w:left w:val="single" w:color="auto" w:sz="2" w:space="0"/>
              <w:bottom w:val="single" w:color="auto" w:sz="2" w:space="0"/>
              <w:right w:val="single" w:color="auto" w:sz="2" w:space="0"/>
            </w:tcBorders>
            <w:shd w:val="clear"/>
            <w:noWrap/>
            <w:vAlign w:val="bottom"/>
          </w:tcPr>
          <w:p w14:paraId="03D1B6AA">
            <w:pPr>
              <w:keepNext w:val="0"/>
              <w:keepLines w:val="0"/>
              <w:widowControl/>
              <w:suppressLineNumbers w:val="0"/>
              <w:jc w:val="left"/>
              <w:textAlignment w:val="bottom"/>
              <w:rPr>
                <w:rFonts w:hint="default" w:ascii="Arial" w:hAnsi="Arial" w:eastAsia="Arial" w:cs="Arial"/>
                <w:color w:val="444444"/>
                <w:sz w:val="22"/>
                <w:szCs w:val="22"/>
              </w:rPr>
            </w:pPr>
            <w:r>
              <w:rPr>
                <w:rFonts w:hint="default" w:ascii="Arial" w:hAnsi="Arial" w:eastAsia="Arial" w:cs="Arial"/>
                <w:color w:val="444444"/>
                <w:sz w:val="22"/>
                <w:szCs w:val="22"/>
                <w:lang w:val="en-US" w:eastAsia="zh-CN"/>
              </w:rPr>
              <w:t>SG-6</w:t>
            </w:r>
          </w:p>
        </w:tc>
        <w:tc>
          <w:tcPr>
            <w:tcW w:w="0" w:type="auto"/>
            <w:tcBorders>
              <w:top w:val="nil"/>
              <w:left w:val="nil"/>
              <w:bottom w:val="single" w:color="auto" w:sz="2" w:space="0"/>
              <w:right w:val="single" w:color="auto" w:sz="2" w:space="0"/>
            </w:tcBorders>
            <w:shd w:val="clear"/>
            <w:noWrap/>
            <w:vAlign w:val="bottom"/>
          </w:tcPr>
          <w:p w14:paraId="4A9E2B3F">
            <w:pPr>
              <w:keepNext w:val="0"/>
              <w:keepLines w:val="0"/>
              <w:widowControl/>
              <w:suppressLineNumbers w:val="0"/>
              <w:jc w:val="left"/>
              <w:textAlignment w:val="bottom"/>
              <w:rPr>
                <w:rFonts w:hint="default" w:ascii="Arial" w:hAnsi="Arial" w:eastAsia="Arial" w:cs="Arial"/>
                <w:color w:val="444444"/>
                <w:sz w:val="22"/>
                <w:szCs w:val="22"/>
              </w:rPr>
            </w:pPr>
            <w:r>
              <w:rPr>
                <w:rFonts w:hint="default" w:ascii="Arial" w:hAnsi="Arial" w:eastAsia="Arial" w:cs="Arial"/>
                <w:color w:val="444444"/>
                <w:sz w:val="22"/>
                <w:szCs w:val="22"/>
                <w:lang w:val="en-US" w:eastAsia="zh-CN"/>
              </w:rPr>
              <w:t>BackEnd Core: Proveedores, contratos, entregables, facturas</w:t>
            </w:r>
          </w:p>
        </w:tc>
      </w:tr>
      <w:tr w14:paraId="4C6EFC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tcBorders>
              <w:top w:val="nil"/>
              <w:left w:val="single" w:color="auto" w:sz="2" w:space="0"/>
              <w:bottom w:val="single" w:color="auto" w:sz="2" w:space="0"/>
              <w:right w:val="single" w:color="auto" w:sz="2" w:space="0"/>
            </w:tcBorders>
            <w:shd w:val="clear"/>
            <w:noWrap/>
            <w:vAlign w:val="bottom"/>
          </w:tcPr>
          <w:p w14:paraId="1AB7047A">
            <w:pPr>
              <w:keepNext w:val="0"/>
              <w:keepLines w:val="0"/>
              <w:widowControl/>
              <w:suppressLineNumbers w:val="0"/>
              <w:jc w:val="left"/>
              <w:textAlignment w:val="bottom"/>
              <w:rPr>
                <w:rFonts w:hint="default" w:ascii="Arial" w:hAnsi="Arial" w:eastAsia="Arial" w:cs="Arial"/>
                <w:color w:val="444444"/>
                <w:sz w:val="22"/>
                <w:szCs w:val="22"/>
              </w:rPr>
            </w:pPr>
            <w:r>
              <w:rPr>
                <w:rFonts w:hint="default" w:ascii="Arial" w:hAnsi="Arial" w:eastAsia="Arial" w:cs="Arial"/>
                <w:color w:val="444444"/>
                <w:sz w:val="22"/>
                <w:szCs w:val="22"/>
                <w:lang w:val="en-US" w:eastAsia="zh-CN"/>
              </w:rPr>
              <w:t>SG-7</w:t>
            </w:r>
          </w:p>
        </w:tc>
        <w:tc>
          <w:tcPr>
            <w:tcW w:w="0" w:type="auto"/>
            <w:tcBorders>
              <w:top w:val="nil"/>
              <w:left w:val="nil"/>
              <w:bottom w:val="single" w:color="auto" w:sz="2" w:space="0"/>
              <w:right w:val="single" w:color="auto" w:sz="2" w:space="0"/>
            </w:tcBorders>
            <w:shd w:val="clear"/>
            <w:noWrap/>
            <w:vAlign w:val="bottom"/>
          </w:tcPr>
          <w:p w14:paraId="1A50A892">
            <w:pPr>
              <w:keepNext w:val="0"/>
              <w:keepLines w:val="0"/>
              <w:widowControl/>
              <w:suppressLineNumbers w:val="0"/>
              <w:jc w:val="left"/>
              <w:textAlignment w:val="bottom"/>
              <w:rPr>
                <w:rFonts w:hint="default" w:ascii="Arial" w:hAnsi="Arial" w:eastAsia="Arial" w:cs="Arial"/>
                <w:color w:val="444444"/>
                <w:sz w:val="22"/>
                <w:szCs w:val="22"/>
              </w:rPr>
            </w:pPr>
            <w:r>
              <w:rPr>
                <w:rFonts w:hint="default" w:ascii="Arial" w:hAnsi="Arial" w:eastAsia="Arial" w:cs="Arial"/>
                <w:color w:val="444444"/>
                <w:sz w:val="22"/>
                <w:szCs w:val="22"/>
                <w:lang w:val="en-US" w:eastAsia="zh-CN"/>
              </w:rPr>
              <w:t>Observabilidad</w:t>
            </w:r>
          </w:p>
        </w:tc>
      </w:tr>
      <w:tr w14:paraId="0E443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tcBorders>
              <w:top w:val="nil"/>
              <w:left w:val="single" w:color="auto" w:sz="2" w:space="0"/>
              <w:bottom w:val="single" w:color="auto" w:sz="2" w:space="0"/>
              <w:right w:val="single" w:color="auto" w:sz="2" w:space="0"/>
            </w:tcBorders>
            <w:shd w:val="clear"/>
            <w:noWrap/>
            <w:vAlign w:val="bottom"/>
          </w:tcPr>
          <w:p w14:paraId="43FEB9E2">
            <w:pPr>
              <w:keepNext w:val="0"/>
              <w:keepLines w:val="0"/>
              <w:widowControl/>
              <w:suppressLineNumbers w:val="0"/>
              <w:jc w:val="left"/>
              <w:textAlignment w:val="bottom"/>
              <w:rPr>
                <w:rFonts w:hint="default" w:ascii="Arial" w:hAnsi="Arial" w:eastAsia="Arial" w:cs="Arial"/>
                <w:color w:val="444444"/>
                <w:sz w:val="22"/>
                <w:szCs w:val="22"/>
              </w:rPr>
            </w:pPr>
            <w:r>
              <w:rPr>
                <w:rFonts w:hint="default" w:ascii="Arial" w:hAnsi="Arial" w:eastAsia="Arial" w:cs="Arial"/>
                <w:color w:val="444444"/>
                <w:sz w:val="22"/>
                <w:szCs w:val="22"/>
                <w:lang w:val="en-US" w:eastAsia="zh-CN"/>
              </w:rPr>
              <w:t>SG-8</w:t>
            </w:r>
          </w:p>
        </w:tc>
        <w:tc>
          <w:tcPr>
            <w:tcW w:w="0" w:type="auto"/>
            <w:tcBorders>
              <w:top w:val="nil"/>
              <w:left w:val="nil"/>
              <w:bottom w:val="single" w:color="auto" w:sz="2" w:space="0"/>
              <w:right w:val="single" w:color="auto" w:sz="2" w:space="0"/>
            </w:tcBorders>
            <w:shd w:val="clear"/>
            <w:noWrap/>
            <w:vAlign w:val="bottom"/>
          </w:tcPr>
          <w:p w14:paraId="6349B264">
            <w:pPr>
              <w:keepNext w:val="0"/>
              <w:keepLines w:val="0"/>
              <w:widowControl/>
              <w:suppressLineNumbers w:val="0"/>
              <w:jc w:val="left"/>
              <w:textAlignment w:val="bottom"/>
              <w:rPr>
                <w:rFonts w:hint="default" w:ascii="Arial" w:hAnsi="Arial" w:eastAsia="Arial" w:cs="Arial"/>
                <w:color w:val="444444"/>
                <w:sz w:val="22"/>
                <w:szCs w:val="22"/>
              </w:rPr>
            </w:pPr>
            <w:r>
              <w:rPr>
                <w:rFonts w:hint="default" w:ascii="Arial" w:hAnsi="Arial" w:eastAsia="Arial" w:cs="Arial"/>
                <w:color w:val="444444"/>
                <w:sz w:val="22"/>
                <w:szCs w:val="22"/>
                <w:lang w:val="en-US" w:eastAsia="zh-CN"/>
              </w:rPr>
              <w:t>Contenedores y despliegue local</w:t>
            </w:r>
          </w:p>
        </w:tc>
      </w:tr>
      <w:tr w14:paraId="3E652E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auto" w:sz="2" w:space="0"/>
              <w:bottom w:val="single" w:color="auto" w:sz="2" w:space="0"/>
              <w:right w:val="single" w:color="auto" w:sz="2" w:space="0"/>
            </w:tcBorders>
            <w:shd w:val="clear"/>
            <w:noWrap/>
            <w:vAlign w:val="bottom"/>
          </w:tcPr>
          <w:p w14:paraId="2AB6A01C">
            <w:pPr>
              <w:keepNext w:val="0"/>
              <w:keepLines w:val="0"/>
              <w:widowControl/>
              <w:suppressLineNumbers w:val="0"/>
              <w:jc w:val="left"/>
              <w:textAlignment w:val="bottom"/>
              <w:rPr>
                <w:rFonts w:hint="default" w:ascii="Arial" w:hAnsi="Arial" w:eastAsia="Arial" w:cs="Arial"/>
                <w:color w:val="444444"/>
                <w:sz w:val="22"/>
                <w:szCs w:val="22"/>
              </w:rPr>
            </w:pPr>
            <w:r>
              <w:rPr>
                <w:rFonts w:hint="default" w:ascii="Arial" w:hAnsi="Arial" w:eastAsia="Arial" w:cs="Arial"/>
                <w:color w:val="444444"/>
                <w:sz w:val="22"/>
                <w:szCs w:val="22"/>
                <w:lang w:val="en-US" w:eastAsia="zh-CN"/>
              </w:rPr>
              <w:t>SG-9</w:t>
            </w:r>
          </w:p>
        </w:tc>
        <w:tc>
          <w:tcPr>
            <w:tcW w:w="0" w:type="auto"/>
            <w:tcBorders>
              <w:top w:val="nil"/>
              <w:left w:val="nil"/>
              <w:bottom w:val="single" w:color="auto" w:sz="2" w:space="0"/>
              <w:right w:val="single" w:color="auto" w:sz="2" w:space="0"/>
            </w:tcBorders>
            <w:shd w:val="clear"/>
            <w:noWrap/>
            <w:vAlign w:val="bottom"/>
          </w:tcPr>
          <w:p w14:paraId="63459D25">
            <w:pPr>
              <w:keepNext w:val="0"/>
              <w:keepLines w:val="0"/>
              <w:widowControl/>
              <w:suppressLineNumbers w:val="0"/>
              <w:jc w:val="left"/>
              <w:textAlignment w:val="bottom"/>
              <w:rPr>
                <w:rFonts w:hint="default" w:ascii="Arial" w:hAnsi="Arial" w:eastAsia="Arial" w:cs="Arial"/>
                <w:color w:val="444444"/>
                <w:sz w:val="22"/>
                <w:szCs w:val="22"/>
              </w:rPr>
            </w:pPr>
            <w:r>
              <w:rPr>
                <w:rFonts w:hint="default" w:ascii="Arial" w:hAnsi="Arial" w:eastAsia="Arial" w:cs="Arial"/>
                <w:color w:val="444444"/>
                <w:sz w:val="22"/>
                <w:szCs w:val="22"/>
                <w:lang w:val="en-US" w:eastAsia="zh-CN"/>
              </w:rPr>
              <w:t>CI/CD (GitHub Actions)</w:t>
            </w:r>
          </w:p>
        </w:tc>
      </w:tr>
      <w:tr w14:paraId="728D75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tcBorders>
              <w:top w:val="nil"/>
              <w:left w:val="single" w:color="auto" w:sz="2" w:space="0"/>
              <w:bottom w:val="single" w:color="auto" w:sz="2" w:space="0"/>
              <w:right w:val="single" w:color="auto" w:sz="2" w:space="0"/>
            </w:tcBorders>
            <w:shd w:val="clear"/>
            <w:noWrap/>
            <w:vAlign w:val="bottom"/>
          </w:tcPr>
          <w:p w14:paraId="4D0AE8B8">
            <w:pPr>
              <w:keepNext w:val="0"/>
              <w:keepLines w:val="0"/>
              <w:widowControl/>
              <w:suppressLineNumbers w:val="0"/>
              <w:jc w:val="left"/>
              <w:textAlignment w:val="bottom"/>
              <w:rPr>
                <w:rFonts w:hint="default" w:ascii="Arial" w:hAnsi="Arial" w:eastAsia="Arial" w:cs="Arial"/>
                <w:color w:val="444444"/>
                <w:sz w:val="22"/>
                <w:szCs w:val="22"/>
              </w:rPr>
            </w:pPr>
            <w:r>
              <w:rPr>
                <w:rFonts w:hint="default" w:ascii="Arial" w:hAnsi="Arial" w:eastAsia="Arial" w:cs="Arial"/>
                <w:color w:val="444444"/>
                <w:sz w:val="22"/>
                <w:szCs w:val="22"/>
                <w:lang w:val="en-US" w:eastAsia="zh-CN"/>
              </w:rPr>
              <w:t>SG-10</w:t>
            </w:r>
          </w:p>
        </w:tc>
        <w:tc>
          <w:tcPr>
            <w:tcW w:w="0" w:type="auto"/>
            <w:tcBorders>
              <w:top w:val="nil"/>
              <w:left w:val="nil"/>
              <w:bottom w:val="single" w:color="auto" w:sz="2" w:space="0"/>
              <w:right w:val="single" w:color="auto" w:sz="2" w:space="0"/>
            </w:tcBorders>
            <w:shd w:val="clear"/>
            <w:noWrap/>
            <w:vAlign w:val="bottom"/>
          </w:tcPr>
          <w:p w14:paraId="3E782713">
            <w:pPr>
              <w:keepNext w:val="0"/>
              <w:keepLines w:val="0"/>
              <w:widowControl/>
              <w:suppressLineNumbers w:val="0"/>
              <w:jc w:val="left"/>
              <w:textAlignment w:val="bottom"/>
              <w:rPr>
                <w:rFonts w:hint="default" w:ascii="Arial" w:hAnsi="Arial" w:eastAsia="Arial" w:cs="Arial"/>
                <w:color w:val="444444"/>
                <w:sz w:val="22"/>
                <w:szCs w:val="22"/>
              </w:rPr>
            </w:pPr>
            <w:r>
              <w:rPr>
                <w:rFonts w:hint="default" w:ascii="Arial" w:hAnsi="Arial" w:eastAsia="Arial" w:cs="Arial"/>
                <w:color w:val="444444"/>
                <w:sz w:val="22"/>
                <w:szCs w:val="22"/>
                <w:lang w:val="en-US" w:eastAsia="zh-CN"/>
              </w:rPr>
              <w:t>IaC (Terraform) multiambiente</w:t>
            </w:r>
          </w:p>
        </w:tc>
      </w:tr>
      <w:tr w14:paraId="6A4133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auto" w:sz="2" w:space="0"/>
              <w:bottom w:val="single" w:color="auto" w:sz="2" w:space="0"/>
              <w:right w:val="single" w:color="auto" w:sz="2" w:space="0"/>
            </w:tcBorders>
            <w:shd w:val="clear"/>
            <w:noWrap/>
            <w:vAlign w:val="bottom"/>
          </w:tcPr>
          <w:p w14:paraId="62FA8E65">
            <w:pPr>
              <w:keepNext w:val="0"/>
              <w:keepLines w:val="0"/>
              <w:widowControl/>
              <w:suppressLineNumbers w:val="0"/>
              <w:jc w:val="left"/>
              <w:textAlignment w:val="bottom"/>
              <w:rPr>
                <w:rFonts w:hint="default" w:ascii="Arial" w:hAnsi="Arial" w:eastAsia="Arial" w:cs="Arial"/>
                <w:color w:val="444444"/>
                <w:sz w:val="22"/>
                <w:szCs w:val="22"/>
              </w:rPr>
            </w:pPr>
            <w:r>
              <w:rPr>
                <w:rFonts w:hint="default" w:ascii="Arial" w:hAnsi="Arial" w:eastAsia="Arial" w:cs="Arial"/>
                <w:color w:val="444444"/>
                <w:sz w:val="22"/>
                <w:szCs w:val="22"/>
                <w:lang w:val="en-US" w:eastAsia="zh-CN"/>
              </w:rPr>
              <w:t>SG-11</w:t>
            </w:r>
          </w:p>
        </w:tc>
        <w:tc>
          <w:tcPr>
            <w:tcW w:w="0" w:type="auto"/>
            <w:tcBorders>
              <w:top w:val="nil"/>
              <w:left w:val="nil"/>
              <w:bottom w:val="single" w:color="auto" w:sz="2" w:space="0"/>
              <w:right w:val="single" w:color="auto" w:sz="2" w:space="0"/>
            </w:tcBorders>
            <w:shd w:val="clear"/>
            <w:noWrap/>
            <w:vAlign w:val="bottom"/>
          </w:tcPr>
          <w:p w14:paraId="71B975B1">
            <w:pPr>
              <w:keepNext w:val="0"/>
              <w:keepLines w:val="0"/>
              <w:widowControl/>
              <w:suppressLineNumbers w:val="0"/>
              <w:jc w:val="left"/>
              <w:textAlignment w:val="bottom"/>
              <w:rPr>
                <w:rFonts w:hint="default" w:ascii="Arial" w:hAnsi="Arial" w:eastAsia="Arial" w:cs="Arial"/>
                <w:color w:val="444444"/>
                <w:sz w:val="22"/>
                <w:szCs w:val="22"/>
              </w:rPr>
            </w:pPr>
            <w:r>
              <w:rPr>
                <w:rFonts w:hint="default" w:ascii="Arial" w:hAnsi="Arial" w:eastAsia="Arial" w:cs="Arial"/>
                <w:color w:val="444444"/>
                <w:sz w:val="22"/>
                <w:szCs w:val="22"/>
                <w:lang w:val="en-US" w:eastAsia="zh-CN"/>
              </w:rPr>
              <w:t>Documentación, informe y demo</w:t>
            </w:r>
          </w:p>
        </w:tc>
      </w:tr>
      <w:tr w14:paraId="3BF915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tcBorders>
              <w:top w:val="nil"/>
              <w:left w:val="single" w:color="auto" w:sz="2" w:space="0"/>
              <w:bottom w:val="single" w:color="auto" w:sz="2" w:space="0"/>
              <w:right w:val="single" w:color="auto" w:sz="2" w:space="0"/>
            </w:tcBorders>
            <w:shd w:val="clear"/>
            <w:noWrap/>
            <w:vAlign w:val="bottom"/>
          </w:tcPr>
          <w:p w14:paraId="193B4910">
            <w:pPr>
              <w:keepNext w:val="0"/>
              <w:keepLines w:val="0"/>
              <w:widowControl/>
              <w:suppressLineNumbers w:val="0"/>
              <w:jc w:val="left"/>
              <w:textAlignment w:val="bottom"/>
              <w:rPr>
                <w:rFonts w:hint="default" w:ascii="Arial" w:hAnsi="Arial" w:eastAsia="Arial" w:cs="Arial"/>
                <w:color w:val="444444"/>
                <w:sz w:val="22"/>
                <w:szCs w:val="22"/>
              </w:rPr>
            </w:pPr>
            <w:r>
              <w:rPr>
                <w:rFonts w:hint="default" w:ascii="Arial" w:hAnsi="Arial" w:eastAsia="Arial" w:cs="Arial"/>
                <w:color w:val="444444"/>
                <w:sz w:val="22"/>
                <w:szCs w:val="22"/>
                <w:lang w:val="en-US" w:eastAsia="zh-CN"/>
              </w:rPr>
              <w:t>SG-25</w:t>
            </w:r>
          </w:p>
        </w:tc>
        <w:tc>
          <w:tcPr>
            <w:tcW w:w="0" w:type="auto"/>
            <w:tcBorders>
              <w:top w:val="nil"/>
              <w:left w:val="nil"/>
              <w:bottom w:val="single" w:color="auto" w:sz="2" w:space="0"/>
              <w:right w:val="single" w:color="auto" w:sz="2" w:space="0"/>
            </w:tcBorders>
            <w:shd w:val="clear"/>
            <w:noWrap/>
            <w:vAlign w:val="bottom"/>
          </w:tcPr>
          <w:p w14:paraId="0E702FD6">
            <w:pPr>
              <w:keepNext w:val="0"/>
              <w:keepLines w:val="0"/>
              <w:widowControl/>
              <w:suppressLineNumbers w:val="0"/>
              <w:jc w:val="left"/>
              <w:textAlignment w:val="bottom"/>
              <w:rPr>
                <w:rFonts w:hint="default" w:ascii="Arial" w:hAnsi="Arial" w:eastAsia="Arial" w:cs="Arial"/>
                <w:color w:val="444444"/>
                <w:sz w:val="22"/>
                <w:szCs w:val="22"/>
              </w:rPr>
            </w:pPr>
            <w:r>
              <w:rPr>
                <w:rFonts w:hint="default" w:ascii="Arial" w:hAnsi="Arial" w:eastAsia="Arial" w:cs="Arial"/>
                <w:color w:val="444444"/>
                <w:sz w:val="22"/>
                <w:szCs w:val="22"/>
                <w:lang w:val="en-US" w:eastAsia="zh-CN"/>
              </w:rPr>
              <w:t>FrontEnd (Angular)</w:t>
            </w:r>
          </w:p>
        </w:tc>
      </w:tr>
    </w:tbl>
    <w:p w14:paraId="2BDD6A4B">
      <w:pPr>
        <w:pStyle w:val="16"/>
        <w:numPr>
          <w:numId w:val="0"/>
        </w:numPr>
        <w:spacing w:before="40" w:after="40"/>
        <w:rPr>
          <w:rFonts w:ascii="Arial" w:hAnsi="Arial" w:eastAsia="Arial" w:cs="Arial"/>
          <w:color w:val="444444"/>
          <w:sz w:val="22"/>
          <w:szCs w:val="22"/>
        </w:rPr>
      </w:pPr>
    </w:p>
    <w:p w14:paraId="4E0E0577">
      <w:pPr>
        <w:pStyle w:val="16"/>
        <w:numPr>
          <w:ilvl w:val="0"/>
          <w:numId w:val="1"/>
        </w:numPr>
        <w:spacing w:before="40" w:after="40"/>
      </w:pPr>
      <w:bookmarkStart w:id="0" w:name="_GoBack"/>
      <w:bookmarkEnd w:id="0"/>
      <w:r>
        <w:rPr>
          <w:rFonts w:ascii="Arial" w:hAnsi="Arial" w:eastAsia="Arial" w:cs="Arial"/>
          <w:color w:val="444444"/>
          <w:sz w:val="22"/>
          <w:szCs w:val="22"/>
        </w:rPr>
        <w:t>Historias de Usuario: descripciones funcionales desde la perspectiva del usuario final, con criterios de aceptación definidos.</w:t>
      </w:r>
    </w:p>
    <w:p w14:paraId="45FB5B6D">
      <w:pPr>
        <w:pStyle w:val="16"/>
        <w:numPr>
          <w:ilvl w:val="0"/>
          <w:numId w:val="1"/>
        </w:numPr>
        <w:spacing w:before="40" w:after="40"/>
      </w:pPr>
      <w:r>
        <w:rPr>
          <w:rFonts w:ascii="Arial" w:hAnsi="Arial" w:eastAsia="Arial" w:cs="Arial"/>
          <w:color w:val="444444"/>
          <w:sz w:val="22"/>
          <w:szCs w:val="22"/>
        </w:rPr>
        <w:t>Tareas Técnicas: actividades concretas derivadas de cada historia de usuario.</w:t>
      </w:r>
    </w:p>
    <w:p w14:paraId="7FA46A16">
      <w:pPr>
        <w:pStyle w:val="16"/>
        <w:numPr>
          <w:ilvl w:val="0"/>
          <w:numId w:val="1"/>
        </w:numPr>
        <w:spacing w:before="40" w:after="40"/>
      </w:pPr>
      <w:r>
        <w:rPr>
          <w:rFonts w:ascii="Arial" w:hAnsi="Arial" w:eastAsia="Arial" w:cs="Arial"/>
          <w:color w:val="444444"/>
          <w:sz w:val="22"/>
          <w:szCs w:val="22"/>
        </w:rPr>
        <w:t>Bugs y Mejoras: ítems identificados durante las iteraciones para corrección o refinamiento.</w:t>
      </w:r>
    </w:p>
    <w:p w14:paraId="09B9364D">
      <w:pPr>
        <w:pStyle w:val="3"/>
        <w:spacing w:before="240" w:after="80"/>
      </w:pPr>
      <w:r>
        <w:rPr>
          <w:rFonts w:ascii="Arial" w:hAnsi="Arial" w:eastAsia="Arial" w:cs="Arial"/>
          <w:b/>
          <w:bCs/>
          <w:color w:val="2E75B6"/>
          <w:sz w:val="26"/>
          <w:szCs w:val="26"/>
        </w:rPr>
        <w:t>1.4 Proceso de Priorización</w:t>
      </w:r>
    </w:p>
    <w:p w14:paraId="3C8794CF">
      <w:pPr>
        <w:spacing w:before="60" w:after="100"/>
        <w:jc w:val="both"/>
      </w:pPr>
      <w:r>
        <w:rPr>
          <w:rFonts w:ascii="Arial" w:hAnsi="Arial" w:eastAsia="Arial" w:cs="Arial"/>
          <w:color w:val="444444"/>
          <w:sz w:val="22"/>
          <w:szCs w:val="22"/>
        </w:rPr>
        <w:t>La priorización del backlog se realizó considerando los siguientes criterios:</w:t>
      </w:r>
    </w:p>
    <w:p w14:paraId="27A6B10B">
      <w:pPr>
        <w:pStyle w:val="16"/>
        <w:numPr>
          <w:ilvl w:val="0"/>
          <w:numId w:val="1"/>
        </w:numPr>
        <w:spacing w:before="40" w:after="40"/>
      </w:pPr>
      <w:r>
        <w:rPr>
          <w:rFonts w:ascii="Arial" w:hAnsi="Arial" w:eastAsia="Arial" w:cs="Arial"/>
          <w:color w:val="444444"/>
          <w:sz w:val="22"/>
          <w:szCs w:val="22"/>
        </w:rPr>
        <w:t>Valor de negocio aportado por cada historia.</w:t>
      </w:r>
    </w:p>
    <w:p w14:paraId="46F9814E">
      <w:pPr>
        <w:pStyle w:val="16"/>
        <w:numPr>
          <w:ilvl w:val="0"/>
          <w:numId w:val="1"/>
        </w:numPr>
        <w:spacing w:before="40" w:after="40"/>
      </w:pPr>
      <w:r>
        <w:rPr>
          <w:rFonts w:ascii="Arial" w:hAnsi="Arial" w:eastAsia="Arial" w:cs="Arial"/>
          <w:color w:val="444444"/>
          <w:sz w:val="22"/>
          <w:szCs w:val="22"/>
        </w:rPr>
        <w:t>Dependencias técnicas entre ítems.</w:t>
      </w:r>
    </w:p>
    <w:p w14:paraId="7C8D2CD5">
      <w:pPr>
        <w:pStyle w:val="16"/>
        <w:numPr>
          <w:ilvl w:val="0"/>
          <w:numId w:val="1"/>
        </w:numPr>
        <w:spacing w:before="40" w:after="40"/>
      </w:pPr>
      <w:r>
        <w:rPr>
          <w:rFonts w:ascii="Arial" w:hAnsi="Arial" w:eastAsia="Arial" w:cs="Arial"/>
          <w:color w:val="444444"/>
          <w:sz w:val="22"/>
          <w:szCs w:val="22"/>
        </w:rPr>
        <w:t>Esfuerzo estimado mediante la técnica de Planning Poker / Story Points.</w:t>
      </w:r>
    </w:p>
    <w:p w14:paraId="458CA03E">
      <w:pPr>
        <w:pStyle w:val="16"/>
        <w:numPr>
          <w:ilvl w:val="0"/>
          <w:numId w:val="1"/>
        </w:numPr>
        <w:spacing w:before="40" w:after="40"/>
      </w:pPr>
      <w:r>
        <w:rPr>
          <w:rFonts w:ascii="Arial" w:hAnsi="Arial" w:eastAsia="Arial" w:cs="Arial"/>
          <w:color w:val="444444"/>
          <w:sz w:val="22"/>
          <w:szCs w:val="22"/>
        </w:rPr>
        <w:t>Riesgos identificados asociados a cada ítem.</w:t>
      </w:r>
    </w:p>
    <w:p w14:paraId="09BF50FE">
      <w:pPr>
        <w:pStyle w:val="3"/>
        <w:spacing w:before="240" w:after="80"/>
      </w:pPr>
      <w:r>
        <w:rPr>
          <w:rFonts w:ascii="Arial" w:hAnsi="Arial" w:eastAsia="Arial" w:cs="Arial"/>
          <w:b/>
          <w:bCs/>
          <w:color w:val="2E75B6"/>
          <w:sz w:val="26"/>
          <w:szCs w:val="26"/>
        </w:rPr>
        <w:t>1.5 Sprints Realizados</w:t>
      </w:r>
    </w:p>
    <w:p w14:paraId="0A36AA2E">
      <w:pPr>
        <w:spacing w:before="60" w:after="100"/>
        <w:jc w:val="both"/>
      </w:pPr>
      <w:r>
        <w:rPr>
          <w:rFonts w:ascii="Arial" w:hAnsi="Arial" w:eastAsia="Arial" w:cs="Arial"/>
          <w:color w:val="444444"/>
          <w:sz w:val="22"/>
          <w:szCs w:val="22"/>
        </w:rPr>
        <w:t>El proyecto se organizó en [N] sprints de [N] semanas cada uno. A continuación se presenta un resumen del trabajo ejecutado:</w:t>
      </w:r>
    </w:p>
    <w:p w14:paraId="6077EBEE">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64"/>
        <w:gridCol w:w="3372"/>
        <w:gridCol w:w="2846"/>
        <w:gridCol w:w="1978"/>
      </w:tblGrid>
      <w:tr w14:paraId="6991F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2E75B6" w:sz="0" w:space="0"/>
              <w:left w:val="single" w:color="2E75B6" w:sz="0" w:space="0"/>
              <w:bottom w:val="single" w:color="2E75B6" w:sz="0" w:space="0"/>
              <w:right w:val="single" w:color="2E75B6" w:sz="0" w:space="0"/>
            </w:tcBorders>
            <w:shd w:val="clear" w:color="auto" w:fill="1F3864"/>
            <w:tcMar>
              <w:top w:w="100" w:type="dxa"/>
              <w:left w:w="120" w:type="dxa"/>
              <w:bottom w:w="100" w:type="dxa"/>
              <w:right w:w="120" w:type="dxa"/>
            </w:tcMar>
          </w:tcPr>
          <w:p w14:paraId="1E6E5F49">
            <w:pPr>
              <w:jc w:val="center"/>
            </w:pPr>
            <w:r>
              <w:rPr>
                <w:rFonts w:ascii="Arial" w:hAnsi="Arial" w:eastAsia="Arial" w:cs="Arial"/>
                <w:b/>
                <w:bCs/>
                <w:color w:val="FFFFFF"/>
                <w:sz w:val="20"/>
                <w:szCs w:val="20"/>
              </w:rPr>
              <w:t>Sprint</w:t>
            </w:r>
          </w:p>
        </w:tc>
        <w:tc>
          <w:tcPr>
            <w:tcBorders>
              <w:top w:val="single" w:color="2E75B6" w:sz="0" w:space="0"/>
              <w:left w:val="single" w:color="2E75B6" w:sz="0" w:space="0"/>
              <w:bottom w:val="single" w:color="2E75B6" w:sz="0" w:space="0"/>
              <w:right w:val="single" w:color="2E75B6" w:sz="0" w:space="0"/>
            </w:tcBorders>
            <w:shd w:val="clear" w:color="auto" w:fill="1F3864"/>
            <w:tcMar>
              <w:top w:w="100" w:type="dxa"/>
              <w:left w:w="120" w:type="dxa"/>
              <w:bottom w:w="100" w:type="dxa"/>
              <w:right w:w="120" w:type="dxa"/>
            </w:tcMar>
          </w:tcPr>
          <w:p w14:paraId="438D0A8F">
            <w:pPr>
              <w:jc w:val="center"/>
            </w:pPr>
            <w:r>
              <w:rPr>
                <w:rFonts w:ascii="Arial" w:hAnsi="Arial" w:eastAsia="Arial" w:cs="Arial"/>
                <w:b/>
                <w:bCs/>
                <w:color w:val="FFFFFF"/>
                <w:sz w:val="20"/>
                <w:szCs w:val="20"/>
              </w:rPr>
              <w:t>Objetivos Principales</w:t>
            </w:r>
          </w:p>
        </w:tc>
        <w:tc>
          <w:tcPr>
            <w:tcBorders>
              <w:top w:val="single" w:color="2E75B6" w:sz="0" w:space="0"/>
              <w:left w:val="single" w:color="2E75B6" w:sz="0" w:space="0"/>
              <w:bottom w:val="single" w:color="2E75B6" w:sz="0" w:space="0"/>
              <w:right w:val="single" w:color="2E75B6" w:sz="0" w:space="0"/>
            </w:tcBorders>
            <w:shd w:val="clear" w:color="auto" w:fill="1F3864"/>
            <w:tcMar>
              <w:top w:w="100" w:type="dxa"/>
              <w:left w:w="120" w:type="dxa"/>
              <w:bottom w:w="100" w:type="dxa"/>
              <w:right w:w="120" w:type="dxa"/>
            </w:tcMar>
          </w:tcPr>
          <w:p w14:paraId="630599B7">
            <w:pPr>
              <w:jc w:val="center"/>
            </w:pPr>
            <w:r>
              <w:rPr>
                <w:rFonts w:ascii="Arial" w:hAnsi="Arial" w:eastAsia="Arial" w:cs="Arial"/>
                <w:b/>
                <w:bCs/>
                <w:color w:val="FFFFFF"/>
                <w:sz w:val="20"/>
                <w:szCs w:val="20"/>
              </w:rPr>
              <w:t>Historias Completadas</w:t>
            </w:r>
          </w:p>
        </w:tc>
        <w:tc>
          <w:tcPr>
            <w:tcBorders>
              <w:top w:val="single" w:color="2E75B6" w:sz="0" w:space="0"/>
              <w:left w:val="single" w:color="2E75B6" w:sz="0" w:space="0"/>
              <w:bottom w:val="single" w:color="2E75B6" w:sz="0" w:space="0"/>
              <w:right w:val="single" w:color="2E75B6" w:sz="0" w:space="0"/>
            </w:tcBorders>
            <w:shd w:val="clear" w:color="auto" w:fill="1F3864"/>
            <w:tcMar>
              <w:top w:w="100" w:type="dxa"/>
              <w:left w:w="120" w:type="dxa"/>
              <w:bottom w:w="100" w:type="dxa"/>
              <w:right w:w="120" w:type="dxa"/>
            </w:tcMar>
          </w:tcPr>
          <w:p w14:paraId="3B5372A0">
            <w:pPr>
              <w:jc w:val="center"/>
            </w:pPr>
            <w:r>
              <w:rPr>
                <w:rFonts w:ascii="Arial" w:hAnsi="Arial" w:eastAsia="Arial" w:cs="Arial"/>
                <w:b/>
                <w:bCs/>
                <w:color w:val="FFFFFF"/>
                <w:sz w:val="20"/>
                <w:szCs w:val="20"/>
              </w:rPr>
              <w:t>Velocidad (pts)</w:t>
            </w:r>
          </w:p>
        </w:tc>
      </w:tr>
      <w:tr w14:paraId="37FCA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4B8DA76D">
            <w:pPr>
              <w:jc w:val="center"/>
            </w:pPr>
            <w:r>
              <w:rPr>
                <w:rFonts w:ascii="Arial" w:hAnsi="Arial" w:eastAsia="Arial" w:cs="Arial"/>
                <w:b/>
                <w:bCs/>
                <w:color w:val="1F3864"/>
                <w:sz w:val="20"/>
                <w:szCs w:val="20"/>
              </w:rPr>
              <w:t>Sprint 1</w:t>
            </w:r>
          </w:p>
        </w:tc>
        <w:tc>
          <w:tcPr>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79A05A">
            <w:r>
              <w:rPr>
                <w:rFonts w:ascii="Arial" w:hAnsi="Arial" w:eastAsia="Arial" w:cs="Arial"/>
                <w:color w:val="444444"/>
                <w:sz w:val="20"/>
                <w:szCs w:val="20"/>
              </w:rPr>
              <w:t>[Describir objetivos del sprint]</w:t>
            </w:r>
          </w:p>
        </w:tc>
        <w:tc>
          <w:tcPr>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4907E40">
            <w:pPr>
              <w:jc w:val="center"/>
            </w:pPr>
            <w:r>
              <w:rPr>
                <w:rFonts w:ascii="Arial" w:hAnsi="Arial" w:eastAsia="Arial" w:cs="Arial"/>
                <w:color w:val="444444"/>
                <w:sz w:val="20"/>
                <w:szCs w:val="20"/>
              </w:rPr>
              <w:t>[N]</w:t>
            </w:r>
          </w:p>
        </w:tc>
        <w:tc>
          <w:tcPr>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0EE814B">
            <w:pPr>
              <w:jc w:val="center"/>
            </w:pPr>
            <w:r>
              <w:rPr>
                <w:rFonts w:ascii="Arial" w:hAnsi="Arial" w:eastAsia="Arial" w:cs="Arial"/>
                <w:color w:val="444444"/>
                <w:sz w:val="20"/>
                <w:szCs w:val="20"/>
              </w:rPr>
              <w:t>[N pts]</w:t>
            </w:r>
          </w:p>
        </w:tc>
      </w:tr>
      <w:tr w14:paraId="19975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68927427">
            <w:pPr>
              <w:jc w:val="center"/>
            </w:pPr>
            <w:r>
              <w:rPr>
                <w:rFonts w:ascii="Arial" w:hAnsi="Arial" w:eastAsia="Arial" w:cs="Arial"/>
                <w:b/>
                <w:bCs/>
                <w:color w:val="1F3864"/>
                <w:sz w:val="20"/>
                <w:szCs w:val="20"/>
              </w:rPr>
              <w:t>Sprint 2</w:t>
            </w:r>
          </w:p>
        </w:tc>
        <w:tc>
          <w:tcPr>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3C67B5E">
            <w:r>
              <w:rPr>
                <w:rFonts w:ascii="Arial" w:hAnsi="Arial" w:eastAsia="Arial" w:cs="Arial"/>
                <w:color w:val="444444"/>
                <w:sz w:val="20"/>
                <w:szCs w:val="20"/>
              </w:rPr>
              <w:t>[Describir objetivos del sprint]</w:t>
            </w:r>
          </w:p>
        </w:tc>
        <w:tc>
          <w:tcPr>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C4857EB">
            <w:pPr>
              <w:jc w:val="center"/>
            </w:pPr>
            <w:r>
              <w:rPr>
                <w:rFonts w:ascii="Arial" w:hAnsi="Arial" w:eastAsia="Arial" w:cs="Arial"/>
                <w:color w:val="444444"/>
                <w:sz w:val="20"/>
                <w:szCs w:val="20"/>
              </w:rPr>
              <w:t>[N]</w:t>
            </w:r>
          </w:p>
        </w:tc>
        <w:tc>
          <w:tcPr>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580CA91">
            <w:pPr>
              <w:jc w:val="center"/>
            </w:pPr>
            <w:r>
              <w:rPr>
                <w:rFonts w:ascii="Arial" w:hAnsi="Arial" w:eastAsia="Arial" w:cs="Arial"/>
                <w:color w:val="444444"/>
                <w:sz w:val="20"/>
                <w:szCs w:val="20"/>
              </w:rPr>
              <w:t>[N pts]</w:t>
            </w:r>
          </w:p>
        </w:tc>
      </w:tr>
      <w:tr w14:paraId="64A72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40D66C3F">
            <w:pPr>
              <w:jc w:val="center"/>
            </w:pPr>
            <w:r>
              <w:rPr>
                <w:rFonts w:ascii="Arial" w:hAnsi="Arial" w:eastAsia="Arial" w:cs="Arial"/>
                <w:b/>
                <w:bCs/>
                <w:color w:val="1F3864"/>
                <w:sz w:val="20"/>
                <w:szCs w:val="20"/>
              </w:rPr>
              <w:t>Sprint 3</w:t>
            </w:r>
          </w:p>
        </w:tc>
        <w:tc>
          <w:tcPr>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8DF81C">
            <w:r>
              <w:rPr>
                <w:rFonts w:ascii="Arial" w:hAnsi="Arial" w:eastAsia="Arial" w:cs="Arial"/>
                <w:color w:val="444444"/>
                <w:sz w:val="20"/>
                <w:szCs w:val="20"/>
              </w:rPr>
              <w:t>[Describir objetivos del sprint]</w:t>
            </w:r>
          </w:p>
        </w:tc>
        <w:tc>
          <w:tcPr>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66FE357">
            <w:pPr>
              <w:jc w:val="center"/>
            </w:pPr>
            <w:r>
              <w:rPr>
                <w:rFonts w:ascii="Arial" w:hAnsi="Arial" w:eastAsia="Arial" w:cs="Arial"/>
                <w:color w:val="444444"/>
                <w:sz w:val="20"/>
                <w:szCs w:val="20"/>
              </w:rPr>
              <w:t>[N]</w:t>
            </w:r>
          </w:p>
        </w:tc>
        <w:tc>
          <w:tcPr>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2159F6A">
            <w:pPr>
              <w:jc w:val="center"/>
            </w:pPr>
            <w:r>
              <w:rPr>
                <w:rFonts w:ascii="Arial" w:hAnsi="Arial" w:eastAsia="Arial" w:cs="Arial"/>
                <w:color w:val="444444"/>
                <w:sz w:val="20"/>
                <w:szCs w:val="20"/>
              </w:rPr>
              <w:t>[N pts]</w:t>
            </w:r>
          </w:p>
        </w:tc>
      </w:tr>
    </w:tbl>
    <w:p w14:paraId="3BEB5066">
      <w:pPr>
        <w:spacing w:before="80" w:after="80"/>
      </w:pPr>
    </w:p>
    <w:p w14:paraId="240DC06E">
      <w:pPr>
        <w:pStyle w:val="3"/>
        <w:spacing w:before="240" w:after="80"/>
      </w:pPr>
      <w:r>
        <w:rPr>
          <w:rFonts w:ascii="Arial" w:hAnsi="Arial" w:eastAsia="Arial" w:cs="Arial"/>
          <w:b/>
          <w:bCs/>
          <w:color w:val="2E75B6"/>
          <w:sz w:val="26"/>
          <w:szCs w:val="26"/>
        </w:rPr>
        <w:t>1.6 Definition of Done (DoD)</w:t>
      </w:r>
    </w:p>
    <w:p w14:paraId="414D0727">
      <w:pPr>
        <w:spacing w:before="60" w:after="100"/>
        <w:jc w:val="both"/>
      </w:pPr>
      <w:r>
        <w:rPr>
          <w:rFonts w:ascii="Arial" w:hAnsi="Arial" w:eastAsia="Arial" w:cs="Arial"/>
          <w:color w:val="444444"/>
          <w:sz w:val="22"/>
          <w:szCs w:val="22"/>
        </w:rPr>
        <w:t>Para asegurar la calidad de cada ítem completado, el equipo definió los siguientes criterios de terminado:</w:t>
      </w:r>
    </w:p>
    <w:p w14:paraId="31DA3B9A">
      <w:pPr>
        <w:pStyle w:val="16"/>
        <w:numPr>
          <w:ilvl w:val="0"/>
          <w:numId w:val="1"/>
        </w:numPr>
        <w:spacing w:before="40" w:after="40"/>
      </w:pPr>
      <w:r>
        <w:rPr>
          <w:rFonts w:ascii="Arial" w:hAnsi="Arial" w:eastAsia="Arial" w:cs="Arial"/>
          <w:color w:val="444444"/>
          <w:sz w:val="22"/>
          <w:szCs w:val="22"/>
        </w:rPr>
        <w:t>El código fue revisado mediante Pull Request por al menos un integrante del equipo.</w:t>
      </w:r>
    </w:p>
    <w:p w14:paraId="70909253">
      <w:pPr>
        <w:pStyle w:val="16"/>
        <w:numPr>
          <w:ilvl w:val="0"/>
          <w:numId w:val="1"/>
        </w:numPr>
        <w:spacing w:before="40" w:after="40"/>
      </w:pPr>
      <w:r>
        <w:rPr>
          <w:rFonts w:ascii="Arial" w:hAnsi="Arial" w:eastAsia="Arial" w:cs="Arial"/>
          <w:color w:val="444444"/>
          <w:sz w:val="22"/>
          <w:szCs w:val="22"/>
        </w:rPr>
        <w:t>Las pruebas unitarias y de integración definidas pasan exitosamente.</w:t>
      </w:r>
    </w:p>
    <w:p w14:paraId="42AA5DFE">
      <w:pPr>
        <w:pStyle w:val="16"/>
        <w:numPr>
          <w:ilvl w:val="0"/>
          <w:numId w:val="1"/>
        </w:numPr>
        <w:spacing w:before="40" w:after="40"/>
      </w:pPr>
      <w:r>
        <w:rPr>
          <w:rFonts w:ascii="Arial" w:hAnsi="Arial" w:eastAsia="Arial" w:cs="Arial"/>
          <w:color w:val="444444"/>
          <w:sz w:val="22"/>
          <w:szCs w:val="22"/>
        </w:rPr>
        <w:t>La funcionalidad fue desplegada en el ambiente de staging.</w:t>
      </w:r>
    </w:p>
    <w:p w14:paraId="7255137A">
      <w:pPr>
        <w:pStyle w:val="16"/>
        <w:numPr>
          <w:ilvl w:val="0"/>
          <w:numId w:val="1"/>
        </w:numPr>
        <w:spacing w:before="40" w:after="40"/>
      </w:pPr>
      <w:r>
        <w:rPr>
          <w:rFonts w:ascii="Arial" w:hAnsi="Arial" w:eastAsia="Arial" w:cs="Arial"/>
          <w:color w:val="444444"/>
          <w:sz w:val="22"/>
          <w:szCs w:val="22"/>
        </w:rPr>
        <w:t>La historia de usuario fue validada contra sus criterios de aceptación.</w:t>
      </w:r>
    </w:p>
    <w:p w14:paraId="77250E0D">
      <w:pPr>
        <w:pStyle w:val="16"/>
        <w:numPr>
          <w:ilvl w:val="0"/>
          <w:numId w:val="1"/>
        </w:numPr>
        <w:spacing w:before="40" w:after="40"/>
      </w:pPr>
      <w:r>
        <w:rPr>
          <w:rFonts w:ascii="Arial" w:hAnsi="Arial" w:eastAsia="Arial" w:cs="Arial"/>
          <w:color w:val="444444"/>
          <w:sz w:val="22"/>
          <w:szCs w:val="22"/>
        </w:rPr>
        <w:t>La documentación técnica asociada fue actualizada.</w:t>
      </w:r>
    </w:p>
    <w:p w14:paraId="104BD6F9">
      <w:pPr>
        <w:pStyle w:val="3"/>
        <w:spacing w:before="240" w:after="80"/>
      </w:pPr>
      <w:r>
        <w:rPr>
          <w:rFonts w:ascii="Arial" w:hAnsi="Arial" w:eastAsia="Arial" w:cs="Arial"/>
          <w:b/>
          <w:bCs/>
          <w:color w:val="2E75B6"/>
          <w:sz w:val="26"/>
          <w:szCs w:val="26"/>
        </w:rPr>
        <w:t>1.7 Métricas de Seguimiento</w:t>
      </w:r>
    </w:p>
    <w:p w14:paraId="27553514">
      <w:pPr>
        <w:spacing w:before="60" w:after="100"/>
        <w:jc w:val="both"/>
      </w:pPr>
      <w:r>
        <w:rPr>
          <w:rFonts w:ascii="Arial" w:hAnsi="Arial" w:eastAsia="Arial" w:cs="Arial"/>
          <w:color w:val="444444"/>
          <w:sz w:val="22"/>
          <w:szCs w:val="22"/>
        </w:rPr>
        <w:t>Durante el proyecto se monitorearon las siguientes métricas de productividad del equipo:</w:t>
      </w:r>
    </w:p>
    <w:p w14:paraId="470FB94F">
      <w:pPr>
        <w:pStyle w:val="16"/>
        <w:numPr>
          <w:ilvl w:val="0"/>
          <w:numId w:val="1"/>
        </w:numPr>
        <w:spacing w:before="40" w:after="40"/>
      </w:pPr>
      <w:r>
        <w:rPr>
          <w:rFonts w:ascii="Arial" w:hAnsi="Arial" w:eastAsia="Arial" w:cs="Arial"/>
          <w:color w:val="444444"/>
          <w:sz w:val="22"/>
          <w:szCs w:val="22"/>
        </w:rPr>
        <w:t>Burndown Chart por sprint: evolución del trabajo pendiente versus el avance real.</w:t>
      </w:r>
    </w:p>
    <w:p w14:paraId="47D30BCA">
      <w:pPr>
        <w:pStyle w:val="16"/>
        <w:numPr>
          <w:ilvl w:val="0"/>
          <w:numId w:val="1"/>
        </w:numPr>
        <w:spacing w:before="40" w:after="40"/>
      </w:pPr>
      <w:r>
        <w:rPr>
          <w:rFonts w:ascii="Arial" w:hAnsi="Arial" w:eastAsia="Arial" w:cs="Arial"/>
          <w:color w:val="444444"/>
          <w:sz w:val="22"/>
          <w:szCs w:val="22"/>
        </w:rPr>
        <w:t>Velocidad promedio del equipo: story points completados por sprint.</w:t>
      </w:r>
    </w:p>
    <w:p w14:paraId="49A19AE2">
      <w:pPr>
        <w:pStyle w:val="16"/>
        <w:numPr>
          <w:ilvl w:val="0"/>
          <w:numId w:val="1"/>
        </w:numPr>
        <w:spacing w:before="40" w:after="40"/>
      </w:pPr>
      <w:r>
        <w:rPr>
          <w:rFonts w:ascii="Arial" w:hAnsi="Arial" w:eastAsia="Arial" w:cs="Arial"/>
          <w:color w:val="444444"/>
          <w:sz w:val="22"/>
          <w:szCs w:val="22"/>
        </w:rPr>
        <w:t>Lead Time y Cycle Time: tiempo desde la creación hasta la entrega de cada ítem.</w:t>
      </w:r>
    </w:p>
    <w:p w14:paraId="2E49354B">
      <w:pPr>
        <w:pStyle w:val="16"/>
        <w:numPr>
          <w:ilvl w:val="0"/>
          <w:numId w:val="1"/>
        </w:numPr>
        <w:spacing w:before="40" w:after="40"/>
      </w:pPr>
      <w:r>
        <w:rPr>
          <w:rFonts w:ascii="Arial" w:hAnsi="Arial" w:eastAsia="Arial" w:cs="Arial"/>
          <w:color w:val="444444"/>
          <w:sz w:val="22"/>
          <w:szCs w:val="22"/>
        </w:rPr>
        <w:t>Tasa de retrabajos: porcentaje de ítems que regresaron a desarrollo tras revisión.</w:t>
      </w:r>
    </w:p>
    <w:p w14:paraId="2F466901">
      <w:pPr>
        <w:spacing w:before="80" w:after="80"/>
      </w:pPr>
    </w:p>
    <w:p w14:paraId="33C10F14">
      <w:r>
        <w:br w:type="page"/>
      </w:r>
    </w:p>
    <w:p w14:paraId="68A4F5D8">
      <w:pPr>
        <w:pStyle w:val="2"/>
        <w:pBdr>
          <w:bottom w:val="single" w:color="2E75B6" w:sz="6" w:space="4"/>
        </w:pBdr>
        <w:spacing w:before="360" w:after="120"/>
      </w:pPr>
      <w:r>
        <w:rPr>
          <w:rFonts w:ascii="Arial" w:hAnsi="Arial" w:eastAsia="Arial" w:cs="Arial"/>
          <w:b/>
          <w:bCs/>
          <w:color w:val="1F3864"/>
          <w:sz w:val="32"/>
          <w:szCs w:val="32"/>
        </w:rPr>
        <w:t>2. Infraestructura como Código (IaC)</w:t>
      </w:r>
    </w:p>
    <w:p w14:paraId="51CE7840">
      <w:pPr>
        <w:spacing w:before="80" w:after="80"/>
      </w:pPr>
    </w:p>
    <w:p w14:paraId="2B9D07D0">
      <w:pPr>
        <w:pStyle w:val="3"/>
        <w:spacing w:before="240" w:after="80"/>
      </w:pPr>
      <w:r>
        <w:rPr>
          <w:rFonts w:ascii="Arial" w:hAnsi="Arial" w:eastAsia="Arial" w:cs="Arial"/>
          <w:b/>
          <w:bCs/>
          <w:color w:val="2E75B6"/>
          <w:sz w:val="26"/>
          <w:szCs w:val="26"/>
        </w:rPr>
        <w:t>2.1 Descripción General</w:t>
      </w:r>
    </w:p>
    <w:p w14:paraId="7A248D92">
      <w:pPr>
        <w:spacing w:before="60" w:after="100"/>
        <w:jc w:val="both"/>
      </w:pPr>
      <w:r>
        <w:rPr>
          <w:rFonts w:ascii="Arial" w:hAnsi="Arial" w:eastAsia="Arial" w:cs="Arial"/>
          <w:color w:val="444444"/>
          <w:sz w:val="22"/>
          <w:szCs w:val="22"/>
        </w:rPr>
        <w:t>La infraestructura del proyecto ti-garantias fue definida y gestionada íntegramente mediante Terraform, siguiendo el principio de Infraestructura como Código (IaC). Este enfoque permitió aprovisionar, versionar y reproducir entornos completos de forma automatizada, eliminando la dependencia de configuraciones manuales y garantizando consistencia entre los distintos ambientes del sistema.</w:t>
      </w:r>
    </w:p>
    <w:p w14:paraId="3C561EA8">
      <w:pPr>
        <w:spacing w:before="60" w:after="100"/>
        <w:jc w:val="both"/>
      </w:pPr>
      <w:r>
        <w:rPr>
          <w:rFonts w:ascii="Arial" w:hAnsi="Arial" w:eastAsia="Arial" w:cs="Arial"/>
          <w:color w:val="444444"/>
          <w:sz w:val="22"/>
          <w:szCs w:val="22"/>
        </w:rPr>
        <w:t>La infraestructura se desplegó sobre Microsoft Azure, utilizando Azure Container Apps como plataforma de ejecución para el frontend y el backend de la aplicación.</w:t>
      </w:r>
    </w:p>
    <w:p w14:paraId="1A2E7B47">
      <w:pPr>
        <w:pStyle w:val="3"/>
        <w:spacing w:before="240" w:after="80"/>
      </w:pPr>
      <w:r>
        <w:rPr>
          <w:rFonts w:ascii="Arial" w:hAnsi="Arial" w:eastAsia="Arial" w:cs="Arial"/>
          <w:b/>
          <w:bCs/>
          <w:color w:val="2E75B6"/>
          <w:sz w:val="26"/>
          <w:szCs w:val="26"/>
        </w:rPr>
        <w:t>2.2 Herramientas y Tecnologías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60"/>
        <w:gridCol w:w="6300"/>
      </w:tblGrid>
      <w:tr w14:paraId="690A5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2E75B6" w:sz="0" w:space="0"/>
              <w:left w:val="single" w:color="2E75B6" w:sz="0" w:space="0"/>
              <w:bottom w:val="single" w:color="2E75B6" w:sz="0" w:space="0"/>
              <w:right w:val="single" w:color="2E75B6" w:sz="0" w:space="0"/>
            </w:tcBorders>
            <w:shd w:val="clear" w:color="auto" w:fill="1F3864"/>
            <w:tcMar>
              <w:top w:w="100" w:type="dxa"/>
              <w:left w:w="120" w:type="dxa"/>
              <w:bottom w:w="100" w:type="dxa"/>
              <w:right w:w="120" w:type="dxa"/>
            </w:tcMar>
          </w:tcPr>
          <w:p w14:paraId="23FE1084">
            <w:pPr>
              <w:jc w:val="center"/>
            </w:pPr>
            <w:r>
              <w:rPr>
                <w:rFonts w:ascii="Arial" w:hAnsi="Arial" w:eastAsia="Arial" w:cs="Arial"/>
                <w:b/>
                <w:bCs/>
                <w:color w:val="FFFFFF"/>
                <w:sz w:val="20"/>
                <w:szCs w:val="20"/>
              </w:rPr>
              <w:t>Herramienta / Servicio</w:t>
            </w:r>
          </w:p>
        </w:tc>
        <w:tc>
          <w:tcPr>
            <w:tcBorders>
              <w:top w:val="single" w:color="2E75B6" w:sz="0" w:space="0"/>
              <w:left w:val="single" w:color="2E75B6" w:sz="0" w:space="0"/>
              <w:bottom w:val="single" w:color="2E75B6" w:sz="0" w:space="0"/>
              <w:right w:val="single" w:color="2E75B6" w:sz="0" w:space="0"/>
            </w:tcBorders>
            <w:shd w:val="clear" w:color="auto" w:fill="1F3864"/>
            <w:tcMar>
              <w:top w:w="100" w:type="dxa"/>
              <w:left w:w="120" w:type="dxa"/>
              <w:bottom w:w="100" w:type="dxa"/>
              <w:right w:w="120" w:type="dxa"/>
            </w:tcMar>
          </w:tcPr>
          <w:p w14:paraId="62C50F60">
            <w:pPr>
              <w:jc w:val="center"/>
            </w:pPr>
            <w:r>
              <w:rPr>
                <w:rFonts w:ascii="Arial" w:hAnsi="Arial" w:eastAsia="Arial" w:cs="Arial"/>
                <w:b/>
                <w:bCs/>
                <w:color w:val="FFFFFF"/>
                <w:sz w:val="20"/>
                <w:szCs w:val="20"/>
              </w:rPr>
              <w:t>Rol en el Proyecto</w:t>
            </w:r>
          </w:p>
        </w:tc>
      </w:tr>
      <w:tr w14:paraId="1FE70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08EF1EEE">
            <w:r>
              <w:rPr>
                <w:rFonts w:ascii="Arial" w:hAnsi="Arial" w:eastAsia="Arial" w:cs="Arial"/>
                <w:b/>
                <w:bCs/>
                <w:color w:val="444444"/>
                <w:sz w:val="20"/>
                <w:szCs w:val="20"/>
              </w:rPr>
              <w:t>Terraform</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617F9F06">
            <w:r>
              <w:rPr>
                <w:rFonts w:ascii="Arial" w:hAnsi="Arial" w:eastAsia="Arial" w:cs="Arial"/>
                <w:b w:val="0"/>
                <w:bCs w:val="0"/>
                <w:color w:val="444444"/>
                <w:sz w:val="20"/>
                <w:szCs w:val="20"/>
              </w:rPr>
              <w:t>Herramienta principal de IaC para aprovisionamiento de recursos en Azure</w:t>
            </w:r>
          </w:p>
        </w:tc>
      </w:tr>
      <w:tr w14:paraId="7F71B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6F297705">
            <w:r>
              <w:rPr>
                <w:rFonts w:ascii="Arial" w:hAnsi="Arial" w:eastAsia="Arial" w:cs="Arial"/>
                <w:b/>
                <w:bCs/>
                <w:color w:val="444444"/>
                <w:sz w:val="20"/>
                <w:szCs w:val="20"/>
              </w:rPr>
              <w:t>Microsoft Azure</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6F7844">
            <w:r>
              <w:rPr>
                <w:rFonts w:ascii="Arial" w:hAnsi="Arial" w:eastAsia="Arial" w:cs="Arial"/>
                <w:b w:val="0"/>
                <w:bCs w:val="0"/>
                <w:color w:val="444444"/>
                <w:sz w:val="20"/>
                <w:szCs w:val="20"/>
              </w:rPr>
              <w:t>Proveedor de nube — región operativa: centralus</w:t>
            </w:r>
          </w:p>
        </w:tc>
      </w:tr>
      <w:tr w14:paraId="0C09D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33335FD6">
            <w:r>
              <w:rPr>
                <w:rFonts w:ascii="Arial" w:hAnsi="Arial" w:eastAsia="Arial" w:cs="Arial"/>
                <w:b/>
                <w:bCs/>
                <w:color w:val="444444"/>
                <w:sz w:val="20"/>
                <w:szCs w:val="20"/>
              </w:rPr>
              <w:t>Azure Container Apps</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3C8903EF">
            <w:r>
              <w:rPr>
                <w:rFonts w:ascii="Arial" w:hAnsi="Arial" w:eastAsia="Arial" w:cs="Arial"/>
                <w:b w:val="0"/>
                <w:bCs w:val="0"/>
                <w:color w:val="444444"/>
                <w:sz w:val="20"/>
                <w:szCs w:val="20"/>
              </w:rPr>
              <w:t>Plataforma de ejecución de frontend y backend</w:t>
            </w:r>
          </w:p>
        </w:tc>
      </w:tr>
      <w:tr w14:paraId="3B528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449C4446">
            <w:r>
              <w:rPr>
                <w:rFonts w:ascii="Arial" w:hAnsi="Arial" w:eastAsia="Arial" w:cs="Arial"/>
                <w:b/>
                <w:bCs/>
                <w:color w:val="444444"/>
                <w:sz w:val="20"/>
                <w:szCs w:val="20"/>
              </w:rPr>
              <w:t>Azure Database for PostgreSQL</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941446">
            <w:r>
              <w:rPr>
                <w:rFonts w:ascii="Arial" w:hAnsi="Arial" w:eastAsia="Arial" w:cs="Arial"/>
                <w:b w:val="0"/>
                <w:bCs w:val="0"/>
                <w:color w:val="444444"/>
                <w:sz w:val="20"/>
                <w:szCs w:val="20"/>
              </w:rPr>
              <w:t>Motor de base de datos gestionado (Flexible Server)</w:t>
            </w:r>
          </w:p>
        </w:tc>
      </w:tr>
      <w:tr w14:paraId="51BB3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56F8799D">
            <w:r>
              <w:rPr>
                <w:rFonts w:ascii="Arial" w:hAnsi="Arial" w:eastAsia="Arial" w:cs="Arial"/>
                <w:b/>
                <w:bCs/>
                <w:color w:val="444444"/>
                <w:sz w:val="20"/>
                <w:szCs w:val="20"/>
              </w:rPr>
              <w:t>Azure Key Vault</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5E56F20E">
            <w:r>
              <w:rPr>
                <w:rFonts w:ascii="Arial" w:hAnsi="Arial" w:eastAsia="Arial" w:cs="Arial"/>
                <w:b w:val="0"/>
                <w:bCs w:val="0"/>
                <w:color w:val="444444"/>
                <w:sz w:val="20"/>
                <w:szCs w:val="20"/>
              </w:rPr>
              <w:t>Gestión centralizada de secretos operativos</w:t>
            </w:r>
          </w:p>
        </w:tc>
      </w:tr>
      <w:tr w14:paraId="782BA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52369742">
            <w:r>
              <w:rPr>
                <w:rFonts w:ascii="Arial" w:hAnsi="Arial" w:eastAsia="Arial" w:cs="Arial"/>
                <w:b/>
                <w:bCs/>
                <w:color w:val="444444"/>
                <w:sz w:val="20"/>
                <w:szCs w:val="20"/>
              </w:rPr>
              <w:t>Azure Files</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B18AA0">
            <w:r>
              <w:rPr>
                <w:rFonts w:ascii="Arial" w:hAnsi="Arial" w:eastAsia="Arial" w:cs="Arial"/>
                <w:b w:val="0"/>
                <w:bCs w:val="0"/>
                <w:color w:val="444444"/>
                <w:sz w:val="20"/>
                <w:szCs w:val="20"/>
              </w:rPr>
              <w:t>Almacenamiento persistente para adjuntos de la aplicación</w:t>
            </w:r>
          </w:p>
        </w:tc>
      </w:tr>
      <w:tr w14:paraId="37335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2A45A4C0">
            <w:r>
              <w:rPr>
                <w:rFonts w:ascii="Arial" w:hAnsi="Arial" w:eastAsia="Arial" w:cs="Arial"/>
                <w:b/>
                <w:bCs/>
                <w:color w:val="444444"/>
                <w:sz w:val="20"/>
                <w:szCs w:val="20"/>
              </w:rPr>
              <w:t>Log Analytics Workspace</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2238253E">
            <w:r>
              <w:rPr>
                <w:rFonts w:ascii="Arial" w:hAnsi="Arial" w:eastAsia="Arial" w:cs="Arial"/>
                <w:b w:val="0"/>
                <w:bCs w:val="0"/>
                <w:color w:val="444444"/>
                <w:sz w:val="20"/>
                <w:szCs w:val="20"/>
              </w:rPr>
              <w:t>Observabilidad y logging de Container Apps</w:t>
            </w:r>
          </w:p>
        </w:tc>
      </w:tr>
      <w:tr w14:paraId="3BD47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1CBB66B5">
            <w:r>
              <w:rPr>
                <w:rFonts w:ascii="Arial" w:hAnsi="Arial" w:eastAsia="Arial" w:cs="Arial"/>
                <w:b/>
                <w:bCs/>
                <w:color w:val="444444"/>
                <w:sz w:val="20"/>
                <w:szCs w:val="20"/>
              </w:rPr>
              <w:t>Azure Storage (tfstate)</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52F77E">
            <w:r>
              <w:rPr>
                <w:rFonts w:ascii="Arial" w:hAnsi="Arial" w:eastAsia="Arial" w:cs="Arial"/>
                <w:b w:val="0"/>
                <w:bCs w:val="0"/>
                <w:color w:val="444444"/>
                <w:sz w:val="20"/>
                <w:szCs w:val="20"/>
              </w:rPr>
              <w:t>Backend remoto para el estado de Terraform</w:t>
            </w:r>
          </w:p>
        </w:tc>
      </w:tr>
      <w:tr w14:paraId="0C424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16B73B24">
            <w:r>
              <w:rPr>
                <w:rFonts w:ascii="Arial" w:hAnsi="Arial" w:eastAsia="Arial" w:cs="Arial"/>
                <w:b/>
                <w:bCs/>
                <w:color w:val="444444"/>
                <w:sz w:val="20"/>
                <w:szCs w:val="20"/>
              </w:rPr>
              <w:t>Jenkins (sobre Docker)</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7821E1EA">
            <w:r>
              <w:rPr>
                <w:rFonts w:ascii="Arial" w:hAnsi="Arial" w:eastAsia="Arial" w:cs="Arial"/>
                <w:b w:val="0"/>
                <w:bCs w:val="0"/>
                <w:color w:val="444444"/>
                <w:sz w:val="20"/>
                <w:szCs w:val="20"/>
              </w:rPr>
              <w:t>Servidor CI/CD alojado en VM compartida</w:t>
            </w:r>
          </w:p>
        </w:tc>
      </w:tr>
      <w:tr w14:paraId="43C76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2A3AF923">
            <w:r>
              <w:rPr>
                <w:rFonts w:ascii="Arial" w:hAnsi="Arial" w:eastAsia="Arial" w:cs="Arial"/>
                <w:b/>
                <w:bCs/>
                <w:color w:val="444444"/>
                <w:sz w:val="20"/>
                <w:szCs w:val="20"/>
              </w:rPr>
              <w:t>Git / GitHub</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0DFCFF">
            <w:r>
              <w:rPr>
                <w:rFonts w:ascii="Arial" w:hAnsi="Arial" w:eastAsia="Arial" w:cs="Arial"/>
                <w:b w:val="0"/>
                <w:bCs w:val="0"/>
                <w:color w:val="444444"/>
                <w:sz w:val="20"/>
                <w:szCs w:val="20"/>
              </w:rPr>
              <w:t>Control de versiones del código de infraestructura</w:t>
            </w:r>
          </w:p>
        </w:tc>
      </w:tr>
    </w:tbl>
    <w:p w14:paraId="4E410BD3">
      <w:pPr>
        <w:spacing w:before="80" w:after="80"/>
      </w:pPr>
    </w:p>
    <w:p w14:paraId="1A1055DD">
      <w:pPr>
        <w:pStyle w:val="3"/>
        <w:spacing w:before="240" w:after="80"/>
      </w:pPr>
      <w:r>
        <w:rPr>
          <w:rFonts w:ascii="Arial" w:hAnsi="Arial" w:eastAsia="Arial" w:cs="Arial"/>
          <w:b/>
          <w:bCs/>
          <w:color w:val="2E75B6"/>
          <w:sz w:val="26"/>
          <w:szCs w:val="26"/>
        </w:rPr>
        <w:t>2.3 Arquitectura de la Infraestructura</w:t>
      </w:r>
    </w:p>
    <w:p w14:paraId="36A7BEB9">
      <w:pPr>
        <w:spacing w:before="60" w:after="100"/>
        <w:jc w:val="both"/>
      </w:pPr>
      <w:r>
        <w:rPr>
          <w:rFonts w:ascii="Arial" w:hAnsi="Arial" w:eastAsia="Arial" w:cs="Arial"/>
          <w:color w:val="444444"/>
          <w:sz w:val="22"/>
          <w:szCs w:val="22"/>
        </w:rPr>
        <w:t>La arquitectura se compone de dos capas bien diferenciadas: una capa compartida de automatización (shared) que aloja el servidor Jenkins, y una capa de aplicación replicada por ambiente (dev, test, prod).</w:t>
      </w:r>
    </w:p>
    <w:p w14:paraId="2C2C2EE5">
      <w:pPr>
        <w:spacing w:before="80" w:after="80"/>
      </w:pPr>
    </w:p>
    <w:p w14:paraId="458ACDB8">
      <w:pPr>
        <w:pStyle w:val="4"/>
        <w:spacing w:before="160" w:after="60"/>
      </w:pPr>
      <w:r>
        <w:rPr>
          <w:rFonts w:ascii="Arial" w:hAnsi="Arial" w:eastAsia="Arial" w:cs="Arial"/>
          <w:b/>
          <w:bCs/>
          <w:color w:val="444444"/>
          <w:sz w:val="24"/>
          <w:szCs w:val="24"/>
        </w:rPr>
        <w:t>Capa compartida — Stack shared</w:t>
      </w:r>
    </w:p>
    <w:p w14:paraId="5D82B32F">
      <w:pPr>
        <w:spacing w:before="60" w:after="100"/>
        <w:jc w:val="both"/>
      </w:pPr>
      <w:r>
        <w:rPr>
          <w:rFonts w:ascii="Arial" w:hAnsi="Arial" w:eastAsia="Arial" w:cs="Arial"/>
          <w:color w:val="444444"/>
          <w:sz w:val="22"/>
          <w:szCs w:val="22"/>
        </w:rPr>
        <w:t>El stack shared aprovisiona la base de automatización del proyecto. No despliega la aplicación; crea el host desde el cual Jenkins opera los despliegues multiambiente.</w:t>
      </w:r>
    </w:p>
    <w:p w14:paraId="3196FB0D">
      <w:pPr>
        <w:pStyle w:val="16"/>
        <w:numPr>
          <w:ilvl w:val="0"/>
          <w:numId w:val="1"/>
        </w:numPr>
        <w:spacing w:before="40" w:after="40"/>
      </w:pPr>
      <w:r>
        <w:rPr>
          <w:rFonts w:ascii="Arial" w:hAnsi="Arial" w:eastAsia="Arial" w:cs="Arial"/>
          <w:color w:val="444444"/>
          <w:sz w:val="22"/>
          <w:szCs w:val="22"/>
        </w:rPr>
        <w:t>Resource Group: tigarantias-shared-rg — contenedor lógico de la infraestructura compartida.</w:t>
      </w:r>
    </w:p>
    <w:p w14:paraId="01ADC27A">
      <w:pPr>
        <w:pStyle w:val="16"/>
        <w:numPr>
          <w:ilvl w:val="0"/>
          <w:numId w:val="1"/>
        </w:numPr>
        <w:spacing w:before="40" w:after="40"/>
      </w:pPr>
      <w:r>
        <w:rPr>
          <w:rFonts w:ascii="Arial" w:hAnsi="Arial" w:eastAsia="Arial" w:cs="Arial"/>
          <w:color w:val="444444"/>
          <w:sz w:val="22"/>
          <w:szCs w:val="22"/>
        </w:rPr>
        <w:t>Virtual Network y Subnet: red privada aislada donde reside la VM de Jenkins.</w:t>
      </w:r>
    </w:p>
    <w:p w14:paraId="1526AF77">
      <w:pPr>
        <w:pStyle w:val="16"/>
        <w:numPr>
          <w:ilvl w:val="0"/>
          <w:numId w:val="1"/>
        </w:numPr>
        <w:spacing w:before="40" w:after="40"/>
      </w:pPr>
      <w:r>
        <w:rPr>
          <w:rFonts w:ascii="Arial" w:hAnsi="Arial" w:eastAsia="Arial" w:cs="Arial"/>
          <w:color w:val="444444"/>
          <w:sz w:val="22"/>
          <w:szCs w:val="22"/>
        </w:rPr>
        <w:t>Network Security Group: reglas de acceso para SSH (puerto 22) y la interfaz web de Jenkins (puerto 8080).</w:t>
      </w:r>
    </w:p>
    <w:p w14:paraId="5A52A3FD">
      <w:pPr>
        <w:pStyle w:val="16"/>
        <w:numPr>
          <w:ilvl w:val="0"/>
          <w:numId w:val="1"/>
        </w:numPr>
        <w:spacing w:before="40" w:after="40"/>
      </w:pPr>
      <w:r>
        <w:rPr>
          <w:rFonts w:ascii="Arial" w:hAnsi="Arial" w:eastAsia="Arial" w:cs="Arial"/>
          <w:color w:val="444444"/>
          <w:sz w:val="22"/>
          <w:szCs w:val="22"/>
        </w:rPr>
        <w:t>Public IP y Network Interface: exposición de la VM para acceso remoto y operación del pipeline.</w:t>
      </w:r>
    </w:p>
    <w:p w14:paraId="73F5F270">
      <w:pPr>
        <w:pStyle w:val="16"/>
        <w:numPr>
          <w:ilvl w:val="0"/>
          <w:numId w:val="1"/>
        </w:numPr>
        <w:spacing w:before="40" w:after="40"/>
      </w:pPr>
      <w:r>
        <w:rPr>
          <w:rFonts w:ascii="Arial" w:hAnsi="Arial" w:eastAsia="Arial" w:cs="Arial"/>
          <w:color w:val="444444"/>
          <w:sz w:val="22"/>
          <w:szCs w:val="22"/>
        </w:rPr>
        <w:t>Linux Virtual Machine (Standard_B2s_v2, Ubuntu 22.04 LTS): host Docker para el contenedor de Jenkins. Autenticación exclusiva por llave SSH.</w:t>
      </w:r>
    </w:p>
    <w:p w14:paraId="0DE16D7A">
      <w:pPr>
        <w:spacing w:before="80" w:after="80"/>
      </w:pPr>
    </w:p>
    <w:p w14:paraId="1361BAAE">
      <w:pPr>
        <w:pStyle w:val="4"/>
        <w:spacing w:before="160" w:after="60"/>
      </w:pPr>
      <w:r>
        <w:rPr>
          <w:rFonts w:ascii="Arial" w:hAnsi="Arial" w:eastAsia="Arial" w:cs="Arial"/>
          <w:b/>
          <w:bCs/>
          <w:color w:val="444444"/>
          <w:sz w:val="24"/>
          <w:szCs w:val="24"/>
        </w:rPr>
        <w:t>Capa de aplicación — Módulo pilot_environment</w:t>
      </w:r>
    </w:p>
    <w:p w14:paraId="506AC3D5">
      <w:pPr>
        <w:spacing w:before="60" w:after="100"/>
        <w:jc w:val="both"/>
      </w:pPr>
      <w:r>
        <w:rPr>
          <w:rFonts w:ascii="Arial" w:hAnsi="Arial" w:eastAsia="Arial" w:cs="Arial"/>
          <w:color w:val="444444"/>
          <w:sz w:val="22"/>
          <w:szCs w:val="22"/>
        </w:rPr>
        <w:t>Cada ambiente (dev, test, prod) instancia el mismo módulo reutilizable pilot_environment, que define la base completa de infraestructura para ejecutar la aplicación:</w:t>
      </w:r>
    </w:p>
    <w:p w14:paraId="15D1910B">
      <w:pPr>
        <w:pStyle w:val="16"/>
        <w:numPr>
          <w:ilvl w:val="0"/>
          <w:numId w:val="1"/>
        </w:numPr>
        <w:spacing w:before="40" w:after="40"/>
      </w:pPr>
      <w:r>
        <w:rPr>
          <w:rFonts w:ascii="Arial" w:hAnsi="Arial" w:eastAsia="Arial" w:cs="Arial"/>
          <w:color w:val="444444"/>
          <w:sz w:val="22"/>
          <w:szCs w:val="22"/>
        </w:rPr>
        <w:t>Resource Group — contenedor lógico del ambiente.</w:t>
      </w:r>
    </w:p>
    <w:p w14:paraId="2BC1C818">
      <w:pPr>
        <w:pStyle w:val="16"/>
        <w:numPr>
          <w:ilvl w:val="0"/>
          <w:numId w:val="1"/>
        </w:numPr>
        <w:spacing w:before="40" w:after="40"/>
      </w:pPr>
      <w:r>
        <w:rPr>
          <w:rFonts w:ascii="Arial" w:hAnsi="Arial" w:eastAsia="Arial" w:cs="Arial"/>
          <w:color w:val="444444"/>
          <w:sz w:val="22"/>
          <w:szCs w:val="22"/>
        </w:rPr>
        <w:t>Log Analytics Workspace — observabilidad básica de Container Apps.</w:t>
      </w:r>
    </w:p>
    <w:p w14:paraId="382A6527">
      <w:pPr>
        <w:pStyle w:val="16"/>
        <w:numPr>
          <w:ilvl w:val="0"/>
          <w:numId w:val="1"/>
        </w:numPr>
        <w:spacing w:before="40" w:after="40"/>
      </w:pPr>
      <w:r>
        <w:rPr>
          <w:rFonts w:ascii="Arial" w:hAnsi="Arial" w:eastAsia="Arial" w:cs="Arial"/>
          <w:color w:val="444444"/>
          <w:sz w:val="22"/>
          <w:szCs w:val="22"/>
        </w:rPr>
        <w:t>Azure Key Vault — secretos de runtime y bootstrap, con acceso controlado mediante identidades administradas.</w:t>
      </w:r>
    </w:p>
    <w:p w14:paraId="0C7ADDF7">
      <w:pPr>
        <w:pStyle w:val="16"/>
        <w:numPr>
          <w:ilvl w:val="0"/>
          <w:numId w:val="1"/>
        </w:numPr>
        <w:spacing w:before="40" w:after="40"/>
      </w:pPr>
      <w:r>
        <w:rPr>
          <w:rFonts w:ascii="Arial" w:hAnsi="Arial" w:eastAsia="Arial" w:cs="Arial"/>
          <w:color w:val="444444"/>
          <w:sz w:val="22"/>
          <w:szCs w:val="22"/>
        </w:rPr>
        <w:t>User Assigned Managed Identity — identidad usada por Container Apps para leer secretos del vault sin credenciales explícitas.</w:t>
      </w:r>
    </w:p>
    <w:p w14:paraId="1002985F">
      <w:pPr>
        <w:pStyle w:val="16"/>
        <w:numPr>
          <w:ilvl w:val="0"/>
          <w:numId w:val="1"/>
        </w:numPr>
        <w:spacing w:before="40" w:after="40"/>
      </w:pPr>
      <w:r>
        <w:rPr>
          <w:rFonts w:ascii="Arial" w:hAnsi="Arial" w:eastAsia="Arial" w:cs="Arial"/>
          <w:color w:val="444444"/>
          <w:sz w:val="22"/>
          <w:szCs w:val="22"/>
        </w:rPr>
        <w:t>Role Assignments — permisos de lectura para la app y de escritura para el pipeline de despliegue.</w:t>
      </w:r>
    </w:p>
    <w:p w14:paraId="1787BBA3">
      <w:pPr>
        <w:pStyle w:val="16"/>
        <w:numPr>
          <w:ilvl w:val="0"/>
          <w:numId w:val="1"/>
        </w:numPr>
        <w:spacing w:before="40" w:after="40"/>
      </w:pPr>
      <w:r>
        <w:rPr>
          <w:rFonts w:ascii="Arial" w:hAnsi="Arial" w:eastAsia="Arial" w:cs="Arial"/>
          <w:color w:val="444444"/>
          <w:sz w:val="22"/>
          <w:szCs w:val="22"/>
        </w:rPr>
        <w:t>PostgreSQL Flexible Server y base de datos ti_garantias — persistencia principal del sistema.</w:t>
      </w:r>
    </w:p>
    <w:p w14:paraId="01AA6998">
      <w:pPr>
        <w:pStyle w:val="16"/>
        <w:numPr>
          <w:ilvl w:val="0"/>
          <w:numId w:val="1"/>
        </w:numPr>
        <w:spacing w:before="40" w:after="40"/>
      </w:pPr>
      <w:r>
        <w:rPr>
          <w:rFonts w:ascii="Arial" w:hAnsi="Arial" w:eastAsia="Arial" w:cs="Arial"/>
          <w:color w:val="444444"/>
          <w:sz w:val="22"/>
          <w:szCs w:val="22"/>
        </w:rPr>
        <w:t>Storage Account y Azure File Share (attachments) — almacenamiento persistente para archivos adjuntos.</w:t>
      </w:r>
    </w:p>
    <w:p w14:paraId="2A676EBD">
      <w:pPr>
        <w:pStyle w:val="16"/>
        <w:numPr>
          <w:ilvl w:val="0"/>
          <w:numId w:val="1"/>
        </w:numPr>
        <w:spacing w:before="40" w:after="40"/>
      </w:pPr>
      <w:r>
        <w:rPr>
          <w:rFonts w:ascii="Arial" w:hAnsi="Arial" w:eastAsia="Arial" w:cs="Arial"/>
          <w:color w:val="444444"/>
          <w:sz w:val="22"/>
          <w:szCs w:val="22"/>
        </w:rPr>
        <w:t>Container App Environment — entorno aislado donde conviven frontend y backend.</w:t>
      </w:r>
    </w:p>
    <w:p w14:paraId="23D96146">
      <w:pPr>
        <w:pStyle w:val="16"/>
        <w:numPr>
          <w:ilvl w:val="0"/>
          <w:numId w:val="1"/>
        </w:numPr>
        <w:spacing w:before="40" w:after="40"/>
      </w:pPr>
      <w:r>
        <w:rPr>
          <w:rFonts w:ascii="Arial" w:hAnsi="Arial" w:eastAsia="Arial" w:cs="Arial"/>
          <w:color w:val="444444"/>
          <w:sz w:val="22"/>
          <w:szCs w:val="22"/>
        </w:rPr>
        <w:t>Container Apps (frontend público y backend interno) — frontend expone el sitio y proxyea /api, /swagger, /hangfire y /health hacia el backend, evitando acoplar la URL del backend a cada ambiente.</w:t>
      </w:r>
    </w:p>
    <w:p w14:paraId="3DA24CFC">
      <w:pPr>
        <w:spacing w:before="80" w:after="80"/>
      </w:pPr>
    </w:p>
    <w:p w14:paraId="3687BCC7">
      <w:pPr>
        <w:pStyle w:val="3"/>
        <w:spacing w:before="240" w:after="80"/>
      </w:pPr>
      <w:r>
        <w:rPr>
          <w:rFonts w:ascii="Arial" w:hAnsi="Arial" w:eastAsia="Arial" w:cs="Arial"/>
          <w:b/>
          <w:bCs/>
          <w:color w:val="2E75B6"/>
          <w:sz w:val="26"/>
          <w:szCs w:val="26"/>
        </w:rPr>
        <w:t>2.4 Estructura del Repositorio de IaC</w:t>
      </w:r>
    </w:p>
    <w:p w14:paraId="088EEEB2">
      <w:pPr>
        <w:spacing w:before="60" w:after="100"/>
        <w:jc w:val="both"/>
      </w:pPr>
      <w:r>
        <w:rPr>
          <w:rFonts w:ascii="Arial" w:hAnsi="Arial" w:eastAsia="Arial" w:cs="Arial"/>
          <w:color w:val="444444"/>
          <w:sz w:val="22"/>
          <w:szCs w:val="22"/>
        </w:rPr>
        <w:t>Los archivos de Terraform fueron organizados bajo el principio de módulos reutilizables con roots independientes por ambiente:</w:t>
      </w:r>
    </w:p>
    <w:p w14:paraId="194DDF4E">
      <w:pPr>
        <w:spacing w:before="80" w:after="80"/>
      </w:pPr>
    </w:p>
    <w:p w14:paraId="6091C4C1">
      <w:pPr>
        <w:pBdr>
          <w:left w:val="single" w:color="2E75B6" w:sz="12" w:space="8"/>
        </w:pBdr>
        <w:shd w:val="clear" w:fill="F2F2F2"/>
        <w:spacing w:before="80" w:after="120"/>
      </w:pPr>
      <w:r>
        <w:rPr>
          <w:rFonts w:ascii="Courier New" w:hAnsi="Courier New" w:eastAsia="Courier New" w:cs="Courier New"/>
          <w:b/>
          <w:bCs/>
          <w:color w:val="1F3864"/>
          <w:sz w:val="20"/>
          <w:szCs w:val="20"/>
        </w:rPr>
        <w:t>infra/terraform/</w:t>
      </w:r>
      <w:r>
        <w:rPr>
          <w:rFonts w:ascii="Courier New" w:hAnsi="Courier New" w:eastAsia="Courier New" w:cs="Courier New"/>
          <w:b/>
          <w:bCs/>
          <w:color w:val="2E75B6"/>
          <w:sz w:val="20"/>
          <w:szCs w:val="20"/>
        </w:rPr>
        <w:br w:type="textWrapping"/>
      </w:r>
      <w:r>
        <w:rPr>
          <w:rFonts w:ascii="Courier New" w:hAnsi="Courier New" w:eastAsia="Courier New" w:cs="Courier New"/>
          <w:b/>
          <w:bCs/>
          <w:color w:val="2E75B6"/>
          <w:sz w:val="20"/>
          <w:szCs w:val="20"/>
        </w:rPr>
        <w:t xml:space="preserve">  modules/</w:t>
      </w:r>
      <w:r>
        <w:rPr>
          <w:rFonts w:ascii="Courier New" w:hAnsi="Courier New" w:eastAsia="Courier New" w:cs="Courier New"/>
          <w:color w:val="444444"/>
          <w:sz w:val="20"/>
          <w:szCs w:val="20"/>
        </w:rPr>
        <w:br w:type="textWrapping"/>
      </w:r>
      <w:r>
        <w:rPr>
          <w:rFonts w:ascii="Courier New" w:hAnsi="Courier New" w:eastAsia="Courier New" w:cs="Courier New"/>
          <w:color w:val="444444"/>
          <w:sz w:val="20"/>
          <w:szCs w:val="20"/>
        </w:rPr>
        <w:t xml:space="preserve">    jenkins_host/       # VM compartida para Jenkins</w:t>
      </w:r>
      <w:r>
        <w:rPr>
          <w:rFonts w:ascii="Courier New" w:hAnsi="Courier New" w:eastAsia="Courier New" w:cs="Courier New"/>
          <w:color w:val="444444"/>
          <w:sz w:val="20"/>
          <w:szCs w:val="20"/>
        </w:rPr>
        <w:br w:type="textWrapping"/>
      </w:r>
      <w:r>
        <w:rPr>
          <w:rFonts w:ascii="Courier New" w:hAnsi="Courier New" w:eastAsia="Courier New" w:cs="Courier New"/>
          <w:color w:val="444444"/>
          <w:sz w:val="20"/>
          <w:szCs w:val="20"/>
        </w:rPr>
        <w:t xml:space="preserve">    pilot_environment/  # Stack reutilizable por ambiente</w:t>
      </w:r>
      <w:r>
        <w:rPr>
          <w:rFonts w:ascii="Courier New" w:hAnsi="Courier New" w:eastAsia="Courier New" w:cs="Courier New"/>
          <w:b/>
          <w:bCs/>
          <w:color w:val="2E75B6"/>
          <w:sz w:val="20"/>
          <w:szCs w:val="20"/>
        </w:rPr>
        <w:br w:type="textWrapping"/>
      </w:r>
      <w:r>
        <w:rPr>
          <w:rFonts w:ascii="Courier New" w:hAnsi="Courier New" w:eastAsia="Courier New" w:cs="Courier New"/>
          <w:b/>
          <w:bCs/>
          <w:color w:val="2E75B6"/>
          <w:sz w:val="20"/>
          <w:szCs w:val="20"/>
        </w:rPr>
        <w:t xml:space="preserve">  env/</w:t>
      </w:r>
      <w:r>
        <w:rPr>
          <w:rFonts w:ascii="Courier New" w:hAnsi="Courier New" w:eastAsia="Courier New" w:cs="Courier New"/>
          <w:color w:val="444444"/>
          <w:sz w:val="20"/>
          <w:szCs w:val="20"/>
        </w:rPr>
        <w:br w:type="textWrapping"/>
      </w:r>
      <w:r>
        <w:rPr>
          <w:rFonts w:ascii="Courier New" w:hAnsi="Courier New" w:eastAsia="Courier New" w:cs="Courier New"/>
          <w:color w:val="444444"/>
          <w:sz w:val="20"/>
          <w:szCs w:val="20"/>
        </w:rPr>
        <w:t xml:space="preserve">    shared/             # Root module Jenkins/CI</w:t>
      </w:r>
      <w:r>
        <w:rPr>
          <w:rFonts w:ascii="Courier New" w:hAnsi="Courier New" w:eastAsia="Courier New" w:cs="Courier New"/>
          <w:color w:val="444444"/>
          <w:sz w:val="20"/>
          <w:szCs w:val="20"/>
        </w:rPr>
        <w:br w:type="textWrapping"/>
      </w:r>
      <w:r>
        <w:rPr>
          <w:rFonts w:ascii="Courier New" w:hAnsi="Courier New" w:eastAsia="Courier New" w:cs="Courier New"/>
          <w:color w:val="444444"/>
          <w:sz w:val="20"/>
          <w:szCs w:val="20"/>
        </w:rPr>
        <w:t xml:space="preserve">    dev/                # Root module dev</w:t>
      </w:r>
      <w:r>
        <w:rPr>
          <w:rFonts w:ascii="Courier New" w:hAnsi="Courier New" w:eastAsia="Courier New" w:cs="Courier New"/>
          <w:color w:val="444444"/>
          <w:sz w:val="20"/>
          <w:szCs w:val="20"/>
        </w:rPr>
        <w:br w:type="textWrapping"/>
      </w:r>
      <w:r>
        <w:rPr>
          <w:rFonts w:ascii="Courier New" w:hAnsi="Courier New" w:eastAsia="Courier New" w:cs="Courier New"/>
          <w:color w:val="444444"/>
          <w:sz w:val="20"/>
          <w:szCs w:val="20"/>
        </w:rPr>
        <w:t xml:space="preserve">    test/               # Root module test</w:t>
      </w:r>
      <w:r>
        <w:rPr>
          <w:rFonts w:ascii="Courier New" w:hAnsi="Courier New" w:eastAsia="Courier New" w:cs="Courier New"/>
          <w:color w:val="444444"/>
          <w:sz w:val="20"/>
          <w:szCs w:val="20"/>
        </w:rPr>
        <w:br w:type="textWrapping"/>
      </w:r>
      <w:r>
        <w:rPr>
          <w:rFonts w:ascii="Courier New" w:hAnsi="Courier New" w:eastAsia="Courier New" w:cs="Courier New"/>
          <w:color w:val="444444"/>
          <w:sz w:val="20"/>
          <w:szCs w:val="20"/>
        </w:rPr>
        <w:t xml:space="preserve">    prod/               # Root module prod</w:t>
      </w:r>
    </w:p>
    <w:p w14:paraId="7B00C8E4">
      <w:pPr>
        <w:pStyle w:val="3"/>
        <w:spacing w:before="240" w:after="80"/>
      </w:pPr>
      <w:r>
        <w:rPr>
          <w:rFonts w:ascii="Arial" w:hAnsi="Arial" w:eastAsia="Arial" w:cs="Arial"/>
          <w:b/>
          <w:bCs/>
          <w:color w:val="2E75B6"/>
          <w:sz w:val="26"/>
          <w:szCs w:val="26"/>
        </w:rPr>
        <w:t>2.5 Estado Remoto (Remote State)</w:t>
      </w:r>
    </w:p>
    <w:p w14:paraId="77E8A4B8">
      <w:pPr>
        <w:spacing w:before="60" w:after="100"/>
        <w:jc w:val="both"/>
      </w:pPr>
      <w:r>
        <w:rPr>
          <w:rFonts w:ascii="Arial" w:hAnsi="Arial" w:eastAsia="Arial" w:cs="Arial"/>
          <w:color w:val="444444"/>
          <w:sz w:val="22"/>
          <w:szCs w:val="22"/>
        </w:rPr>
        <w:t>El estado de Terraform no se almacena en máquinas locales. Cada ambiente declara un backend remoto en Azure Storage, lo que permite que Jenkins y los operadores compartan el mismo estado real de la infraestructura de forma segura y centralizada.</w:t>
      </w:r>
    </w:p>
    <w:p w14:paraId="37F2FA1D">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96"/>
        <w:gridCol w:w="3039"/>
        <w:gridCol w:w="4925"/>
      </w:tblGrid>
      <w:tr w14:paraId="21E67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2E75B6" w:sz="0" w:space="0"/>
              <w:left w:val="single" w:color="2E75B6" w:sz="0" w:space="0"/>
              <w:bottom w:val="single" w:color="2E75B6" w:sz="0" w:space="0"/>
              <w:right w:val="single" w:color="2E75B6" w:sz="0" w:space="0"/>
            </w:tcBorders>
            <w:shd w:val="clear" w:color="auto" w:fill="2E75B6"/>
            <w:tcMar>
              <w:top w:w="100" w:type="dxa"/>
              <w:left w:w="120" w:type="dxa"/>
              <w:bottom w:w="100" w:type="dxa"/>
              <w:right w:w="120" w:type="dxa"/>
            </w:tcMar>
          </w:tcPr>
          <w:p w14:paraId="699B7CAA">
            <w:pPr>
              <w:jc w:val="center"/>
            </w:pPr>
            <w:r>
              <w:rPr>
                <w:rFonts w:ascii="Arial" w:hAnsi="Arial" w:eastAsia="Arial" w:cs="Arial"/>
                <w:b/>
                <w:bCs/>
                <w:color w:val="FFFFFF"/>
                <w:sz w:val="20"/>
                <w:szCs w:val="20"/>
              </w:rPr>
              <w:t>Ambiente</w:t>
            </w:r>
          </w:p>
        </w:tc>
        <w:tc>
          <w:tcPr>
            <w:tcBorders>
              <w:top w:val="single" w:color="2E75B6" w:sz="0" w:space="0"/>
              <w:left w:val="single" w:color="2E75B6" w:sz="0" w:space="0"/>
              <w:bottom w:val="single" w:color="2E75B6" w:sz="0" w:space="0"/>
              <w:right w:val="single" w:color="2E75B6" w:sz="0" w:space="0"/>
            </w:tcBorders>
            <w:shd w:val="clear" w:color="auto" w:fill="2E75B6"/>
            <w:tcMar>
              <w:top w:w="100" w:type="dxa"/>
              <w:left w:w="120" w:type="dxa"/>
              <w:bottom w:w="100" w:type="dxa"/>
              <w:right w:w="120" w:type="dxa"/>
            </w:tcMar>
          </w:tcPr>
          <w:p w14:paraId="53AC7D98">
            <w:pPr>
              <w:jc w:val="center"/>
            </w:pPr>
            <w:r>
              <w:rPr>
                <w:rFonts w:ascii="Arial" w:hAnsi="Arial" w:eastAsia="Arial" w:cs="Arial"/>
                <w:b/>
                <w:bCs/>
                <w:color w:val="FFFFFF"/>
                <w:sz w:val="20"/>
                <w:szCs w:val="20"/>
              </w:rPr>
              <w:t>Archivo de Estado</w:t>
            </w:r>
          </w:p>
        </w:tc>
        <w:tc>
          <w:tcPr>
            <w:tcBorders>
              <w:top w:val="single" w:color="2E75B6" w:sz="0" w:space="0"/>
              <w:left w:val="single" w:color="2E75B6" w:sz="0" w:space="0"/>
              <w:bottom w:val="single" w:color="2E75B6" w:sz="0" w:space="0"/>
              <w:right w:val="single" w:color="2E75B6" w:sz="0" w:space="0"/>
            </w:tcBorders>
            <w:shd w:val="clear" w:color="auto" w:fill="2E75B6"/>
            <w:tcMar>
              <w:top w:w="100" w:type="dxa"/>
              <w:left w:w="120" w:type="dxa"/>
              <w:bottom w:w="100" w:type="dxa"/>
              <w:right w:w="120" w:type="dxa"/>
            </w:tcMar>
          </w:tcPr>
          <w:p w14:paraId="7BE0618E">
            <w:pPr>
              <w:jc w:val="center"/>
            </w:pPr>
            <w:r>
              <w:rPr>
                <w:rFonts w:ascii="Arial" w:hAnsi="Arial" w:eastAsia="Arial" w:cs="Arial"/>
                <w:b/>
                <w:bCs/>
                <w:color w:val="FFFFFF"/>
                <w:sz w:val="20"/>
                <w:szCs w:val="20"/>
              </w:rPr>
              <w:t>Beneficio Principal</w:t>
            </w:r>
          </w:p>
        </w:tc>
      </w:tr>
      <w:tr w14:paraId="5A0D0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7252B2C6">
            <w:r>
              <w:rPr>
                <w:rFonts w:ascii="Arial" w:hAnsi="Arial" w:eastAsia="Arial" w:cs="Arial"/>
                <w:b/>
                <w:bCs/>
                <w:color w:val="444444"/>
                <w:sz w:val="20"/>
                <w:szCs w:val="20"/>
              </w:rPr>
              <w:t>shared</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64F9A4E9">
            <w:r>
              <w:rPr>
                <w:rFonts w:ascii="Arial" w:hAnsi="Arial" w:eastAsia="Arial" w:cs="Arial"/>
                <w:b w:val="0"/>
                <w:bCs w:val="0"/>
                <w:color w:val="444444"/>
                <w:sz w:val="20"/>
                <w:szCs w:val="20"/>
              </w:rPr>
              <w:t>ti-garantias-shared.tfstate</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42833C89">
            <w:r>
              <w:rPr>
                <w:rFonts w:ascii="Arial" w:hAnsi="Arial" w:eastAsia="Arial" w:cs="Arial"/>
                <w:b w:val="0"/>
                <w:bCs w:val="0"/>
                <w:color w:val="444444"/>
                <w:sz w:val="20"/>
                <w:szCs w:val="20"/>
              </w:rPr>
              <w:t>Estado de la VM de Jenkins centralizado</w:t>
            </w:r>
          </w:p>
        </w:tc>
      </w:tr>
      <w:tr w14:paraId="2FE82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20376DF7">
            <w:r>
              <w:rPr>
                <w:rFonts w:ascii="Arial" w:hAnsi="Arial" w:eastAsia="Arial" w:cs="Arial"/>
                <w:b/>
                <w:bCs/>
                <w:color w:val="444444"/>
                <w:sz w:val="20"/>
                <w:szCs w:val="20"/>
              </w:rPr>
              <w:t>dev</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F1FA14">
            <w:r>
              <w:rPr>
                <w:rFonts w:ascii="Arial" w:hAnsi="Arial" w:eastAsia="Arial" w:cs="Arial"/>
                <w:b w:val="0"/>
                <w:bCs w:val="0"/>
                <w:color w:val="444444"/>
                <w:sz w:val="20"/>
                <w:szCs w:val="20"/>
              </w:rPr>
              <w:t>ti-garantias-dev.tfstate</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CCA211">
            <w:r>
              <w:rPr>
                <w:rFonts w:ascii="Arial" w:hAnsi="Arial" w:eastAsia="Arial" w:cs="Arial"/>
                <w:b w:val="0"/>
                <w:bCs w:val="0"/>
                <w:color w:val="444444"/>
                <w:sz w:val="20"/>
                <w:szCs w:val="20"/>
              </w:rPr>
              <w:t>Estado aislado del ambiente de desarrollo</w:t>
            </w:r>
          </w:p>
        </w:tc>
      </w:tr>
      <w:tr w14:paraId="10893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78401C37">
            <w:r>
              <w:rPr>
                <w:rFonts w:ascii="Arial" w:hAnsi="Arial" w:eastAsia="Arial" w:cs="Arial"/>
                <w:b/>
                <w:bCs/>
                <w:color w:val="444444"/>
                <w:sz w:val="20"/>
                <w:szCs w:val="20"/>
              </w:rPr>
              <w:t>test</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4BF5E040">
            <w:r>
              <w:rPr>
                <w:rFonts w:ascii="Arial" w:hAnsi="Arial" w:eastAsia="Arial" w:cs="Arial"/>
                <w:b w:val="0"/>
                <w:bCs w:val="0"/>
                <w:color w:val="444444"/>
                <w:sz w:val="20"/>
                <w:szCs w:val="20"/>
              </w:rPr>
              <w:t>ti-garantias-test.tfstate</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18C7ACE6">
            <w:r>
              <w:rPr>
                <w:rFonts w:ascii="Arial" w:hAnsi="Arial" w:eastAsia="Arial" w:cs="Arial"/>
                <w:b w:val="0"/>
                <w:bCs w:val="0"/>
                <w:color w:val="444444"/>
                <w:sz w:val="20"/>
                <w:szCs w:val="20"/>
              </w:rPr>
              <w:t>Estado aislado del ambiente de pruebas</w:t>
            </w:r>
          </w:p>
        </w:tc>
      </w:tr>
      <w:tr w14:paraId="77D1B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6C503763">
            <w:r>
              <w:rPr>
                <w:rFonts w:ascii="Arial" w:hAnsi="Arial" w:eastAsia="Arial" w:cs="Arial"/>
                <w:b/>
                <w:bCs/>
                <w:color w:val="444444"/>
                <w:sz w:val="20"/>
                <w:szCs w:val="20"/>
              </w:rPr>
              <w:t>prod</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B9C62C">
            <w:r>
              <w:rPr>
                <w:rFonts w:ascii="Arial" w:hAnsi="Arial" w:eastAsia="Arial" w:cs="Arial"/>
                <w:b w:val="0"/>
                <w:bCs w:val="0"/>
                <w:color w:val="444444"/>
                <w:sz w:val="20"/>
                <w:szCs w:val="20"/>
              </w:rPr>
              <w:t>ti-garantias-prod.tfstate</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5B310A">
            <w:r>
              <w:rPr>
                <w:rFonts w:ascii="Arial" w:hAnsi="Arial" w:eastAsia="Arial" w:cs="Arial"/>
                <w:b w:val="0"/>
                <w:bCs w:val="0"/>
                <w:color w:val="444444"/>
                <w:sz w:val="20"/>
                <w:szCs w:val="20"/>
              </w:rPr>
              <w:t>Estado aislado del ambiente de producción</w:t>
            </w:r>
          </w:p>
        </w:tc>
      </w:tr>
    </w:tbl>
    <w:p w14:paraId="6D98ED33">
      <w:pPr>
        <w:spacing w:before="80" w:after="80"/>
      </w:pPr>
    </w:p>
    <w:p w14:paraId="0DB332F1">
      <w:pPr>
        <w:spacing w:before="60" w:after="100"/>
        <w:jc w:val="both"/>
      </w:pPr>
      <w:r>
        <w:rPr>
          <w:rFonts w:ascii="Arial" w:hAnsi="Arial" w:eastAsia="Arial" w:cs="Arial"/>
          <w:color w:val="444444"/>
          <w:sz w:val="22"/>
          <w:szCs w:val="22"/>
        </w:rPr>
        <w:t>El backend remoto no almacena imágenes Docker ni archivos de la aplicación. Guarda únicamente el archivo de estado de Terraform, los metadatos de los recursos creados, y la referencia de qué recurso ya existe y cuál debe actualizarse. Las imágenes Docker residen en el container registry (Docker Hub o Azure Container Registry).</w:t>
      </w:r>
    </w:p>
    <w:p w14:paraId="5C719A76">
      <w:pPr>
        <w:spacing w:before="80" w:after="80"/>
      </w:pPr>
    </w:p>
    <w:p w14:paraId="581D0883">
      <w:pPr>
        <w:pStyle w:val="3"/>
        <w:spacing w:before="240" w:after="80"/>
      </w:pPr>
      <w:r>
        <w:rPr>
          <w:rFonts w:ascii="Arial" w:hAnsi="Arial" w:eastAsia="Arial" w:cs="Arial"/>
          <w:b/>
          <w:bCs/>
          <w:color w:val="2E75B6"/>
          <w:sz w:val="26"/>
          <w:szCs w:val="26"/>
        </w:rPr>
        <w:t>2.6 Gestión de Secretos y Variables Sensibles</w:t>
      </w:r>
    </w:p>
    <w:p w14:paraId="79B0C69F">
      <w:pPr>
        <w:spacing w:before="60" w:after="100"/>
        <w:jc w:val="both"/>
      </w:pPr>
      <w:r>
        <w:rPr>
          <w:rFonts w:ascii="Arial" w:hAnsi="Arial" w:eastAsia="Arial" w:cs="Arial"/>
          <w:color w:val="444444"/>
          <w:sz w:val="22"/>
          <w:szCs w:val="22"/>
        </w:rPr>
        <w:t>Ninguna credencial ni secreto se almacena en el repositorio ni en archivos terraform.tfvars. El flujo de secretos sigue el siguiente esquema:</w:t>
      </w:r>
    </w:p>
    <w:p w14:paraId="31F38316">
      <w:pPr>
        <w:pStyle w:val="16"/>
        <w:numPr>
          <w:ilvl w:val="0"/>
          <w:numId w:val="1"/>
        </w:numPr>
        <w:spacing w:before="40" w:after="40"/>
      </w:pPr>
      <w:r>
        <w:rPr>
          <w:rFonts w:ascii="Arial" w:hAnsi="Arial" w:eastAsia="Arial" w:cs="Arial"/>
          <w:color w:val="444444"/>
          <w:sz w:val="22"/>
          <w:szCs w:val="22"/>
        </w:rPr>
        <w:t>Jenkins inyecta las variables sensibles como variables de entorno con el prefijo TF_VAR_* al momento de ejecutar Terraform.</w:t>
      </w:r>
    </w:p>
    <w:p w14:paraId="65F8CB4D">
      <w:pPr>
        <w:pStyle w:val="16"/>
        <w:numPr>
          <w:ilvl w:val="0"/>
          <w:numId w:val="1"/>
        </w:numPr>
        <w:spacing w:before="40" w:after="40"/>
      </w:pPr>
      <w:r>
        <w:rPr>
          <w:rFonts w:ascii="Arial" w:hAnsi="Arial" w:eastAsia="Arial" w:cs="Arial"/>
          <w:color w:val="444444"/>
          <w:sz w:val="22"/>
          <w:szCs w:val="22"/>
        </w:rPr>
        <w:t>Terraform crea el Key Vault, la managed identity y los permisos de lectura para Container Apps.</w:t>
      </w:r>
    </w:p>
    <w:p w14:paraId="3C5E3EB3">
      <w:pPr>
        <w:pStyle w:val="16"/>
        <w:numPr>
          <w:ilvl w:val="0"/>
          <w:numId w:val="1"/>
        </w:numPr>
        <w:spacing w:before="40" w:after="40"/>
      </w:pPr>
      <w:r>
        <w:rPr>
          <w:rFonts w:ascii="Arial" w:hAnsi="Arial" w:eastAsia="Arial" w:cs="Arial"/>
          <w:color w:val="444444"/>
          <w:sz w:val="22"/>
          <w:szCs w:val="22"/>
        </w:rPr>
        <w:t>Jenkins carga los valores reales al vault mediante az keyvault secret set.</w:t>
      </w:r>
    </w:p>
    <w:p w14:paraId="05400898">
      <w:pPr>
        <w:pStyle w:val="16"/>
        <w:numPr>
          <w:ilvl w:val="0"/>
          <w:numId w:val="1"/>
        </w:numPr>
        <w:spacing w:before="40" w:after="40"/>
      </w:pPr>
      <w:r>
        <w:rPr>
          <w:rFonts w:ascii="Arial" w:hAnsi="Arial" w:eastAsia="Arial" w:cs="Arial"/>
          <w:color w:val="444444"/>
          <w:sz w:val="22"/>
          <w:szCs w:val="22"/>
        </w:rPr>
        <w:t>Container Apps lee los secretos en tiempo de ejecución a través de la managed identity, sin exponer credenciales en el código.</w:t>
      </w:r>
    </w:p>
    <w:p w14:paraId="2162B7D6">
      <w:pPr>
        <w:spacing w:before="80" w:after="80"/>
      </w:pPr>
    </w:p>
    <w:p w14:paraId="56B00B60">
      <w:pPr>
        <w:spacing w:before="60" w:after="100"/>
        <w:jc w:val="both"/>
      </w:pPr>
      <w:r>
        <w:rPr>
          <w:rFonts w:ascii="Arial" w:hAnsi="Arial" w:eastAsia="Arial" w:cs="Arial"/>
          <w:color w:val="444444"/>
          <w:sz w:val="22"/>
          <w:szCs w:val="22"/>
        </w:rPr>
        <w:t>Secretos gestionados en Key Vault por ambiente: connection-string, jwt-secret, postgresql-admin-password, registry-password y smtp-password.</w:t>
      </w:r>
    </w:p>
    <w:p w14:paraId="589EA29F">
      <w:pPr>
        <w:spacing w:before="80" w:after="80"/>
      </w:pPr>
    </w:p>
    <w:p w14:paraId="0940A679">
      <w:pPr>
        <w:pStyle w:val="3"/>
        <w:spacing w:before="240" w:after="80"/>
      </w:pPr>
      <w:r>
        <w:rPr>
          <w:rFonts w:ascii="Arial" w:hAnsi="Arial" w:eastAsia="Arial" w:cs="Arial"/>
          <w:b/>
          <w:bCs/>
          <w:color w:val="2E75B6"/>
          <w:sz w:val="26"/>
          <w:szCs w:val="26"/>
        </w:rPr>
        <w:t>2.7 Ambientes Desplegados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2"/>
        <w:gridCol w:w="4433"/>
        <w:gridCol w:w="1426"/>
        <w:gridCol w:w="1939"/>
      </w:tblGrid>
      <w:tr w14:paraId="571DF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Borders>
              <w:top w:val="single" w:color="2E75B6" w:sz="0" w:space="0"/>
              <w:left w:val="single" w:color="2E75B6" w:sz="0" w:space="0"/>
              <w:bottom w:val="single" w:color="2E75B6" w:sz="0" w:space="0"/>
              <w:right w:val="single" w:color="2E75B6" w:sz="0" w:space="0"/>
            </w:tcBorders>
            <w:shd w:val="clear" w:color="auto" w:fill="1F3864"/>
            <w:tcMar>
              <w:top w:w="100" w:type="dxa"/>
              <w:left w:w="120" w:type="dxa"/>
              <w:bottom w:w="100" w:type="dxa"/>
              <w:right w:w="120" w:type="dxa"/>
            </w:tcMar>
          </w:tcPr>
          <w:p w14:paraId="5A0CF5E3">
            <w:pPr>
              <w:jc w:val="center"/>
            </w:pPr>
            <w:r>
              <w:rPr>
                <w:rFonts w:ascii="Arial" w:hAnsi="Arial" w:eastAsia="Arial" w:cs="Arial"/>
                <w:b/>
                <w:bCs/>
                <w:color w:val="FFFFFF"/>
                <w:sz w:val="20"/>
                <w:szCs w:val="20"/>
              </w:rPr>
              <w:t>Ambiente</w:t>
            </w:r>
          </w:p>
        </w:tc>
        <w:tc>
          <w:tcPr>
            <w:tcBorders>
              <w:top w:val="single" w:color="2E75B6" w:sz="0" w:space="0"/>
              <w:left w:val="single" w:color="2E75B6" w:sz="0" w:space="0"/>
              <w:bottom w:val="single" w:color="2E75B6" w:sz="0" w:space="0"/>
              <w:right w:val="single" w:color="2E75B6" w:sz="0" w:space="0"/>
            </w:tcBorders>
            <w:shd w:val="clear" w:color="auto" w:fill="1F3864"/>
            <w:tcMar>
              <w:top w:w="100" w:type="dxa"/>
              <w:left w:w="120" w:type="dxa"/>
              <w:bottom w:w="100" w:type="dxa"/>
              <w:right w:w="120" w:type="dxa"/>
            </w:tcMar>
          </w:tcPr>
          <w:p w14:paraId="1AA9154D">
            <w:pPr>
              <w:jc w:val="center"/>
            </w:pPr>
            <w:r>
              <w:rPr>
                <w:rFonts w:ascii="Arial" w:hAnsi="Arial" w:eastAsia="Arial" w:cs="Arial"/>
                <w:b/>
                <w:bCs/>
                <w:color w:val="FFFFFF"/>
                <w:sz w:val="20"/>
                <w:szCs w:val="20"/>
              </w:rPr>
              <w:t>Propósito</w:t>
            </w:r>
          </w:p>
        </w:tc>
        <w:tc>
          <w:tcPr>
            <w:tcBorders>
              <w:top w:val="single" w:color="2E75B6" w:sz="0" w:space="0"/>
              <w:left w:val="single" w:color="2E75B6" w:sz="0" w:space="0"/>
              <w:bottom w:val="single" w:color="2E75B6" w:sz="0" w:space="0"/>
              <w:right w:val="single" w:color="2E75B6" w:sz="0" w:space="0"/>
            </w:tcBorders>
            <w:shd w:val="clear" w:color="auto" w:fill="1F3864"/>
            <w:tcMar>
              <w:top w:w="100" w:type="dxa"/>
              <w:left w:w="120" w:type="dxa"/>
              <w:bottom w:w="100" w:type="dxa"/>
              <w:right w:w="120" w:type="dxa"/>
            </w:tcMar>
          </w:tcPr>
          <w:p w14:paraId="23673E4D">
            <w:pPr>
              <w:jc w:val="center"/>
            </w:pPr>
            <w:r>
              <w:rPr>
                <w:rFonts w:ascii="Arial" w:hAnsi="Arial" w:eastAsia="Arial" w:cs="Arial"/>
                <w:b/>
                <w:bCs/>
                <w:color w:val="FFFFFF"/>
                <w:sz w:val="20"/>
                <w:szCs w:val="20"/>
              </w:rPr>
              <w:t>Región</w:t>
            </w:r>
          </w:p>
        </w:tc>
        <w:tc>
          <w:tcPr>
            <w:tcBorders>
              <w:top w:val="single" w:color="2E75B6" w:sz="0" w:space="0"/>
              <w:left w:val="single" w:color="2E75B6" w:sz="0" w:space="0"/>
              <w:bottom w:val="single" w:color="2E75B6" w:sz="0" w:space="0"/>
              <w:right w:val="single" w:color="2E75B6" w:sz="0" w:space="0"/>
            </w:tcBorders>
            <w:shd w:val="clear" w:color="auto" w:fill="1F3864"/>
            <w:tcMar>
              <w:top w:w="100" w:type="dxa"/>
              <w:left w:w="120" w:type="dxa"/>
              <w:bottom w:w="100" w:type="dxa"/>
              <w:right w:w="120" w:type="dxa"/>
            </w:tcMar>
          </w:tcPr>
          <w:p w14:paraId="1AE004C2">
            <w:pPr>
              <w:jc w:val="center"/>
            </w:pPr>
            <w:r>
              <w:rPr>
                <w:rFonts w:ascii="Arial" w:hAnsi="Arial" w:eastAsia="Arial" w:cs="Arial"/>
                <w:b/>
                <w:bCs/>
                <w:color w:val="FFFFFF"/>
                <w:sz w:val="20"/>
                <w:szCs w:val="20"/>
              </w:rPr>
              <w:t>Estado</w:t>
            </w:r>
          </w:p>
        </w:tc>
      </w:tr>
      <w:tr w14:paraId="21EB0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1735EDE0">
            <w:pPr>
              <w:jc w:val="left"/>
            </w:pPr>
            <w:r>
              <w:rPr>
                <w:rFonts w:ascii="Arial" w:hAnsi="Arial" w:eastAsia="Arial" w:cs="Arial"/>
                <w:b/>
                <w:bCs/>
                <w:color w:val="444444"/>
                <w:sz w:val="20"/>
                <w:szCs w:val="20"/>
              </w:rPr>
              <w:t>shared</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042A9901">
            <w:pPr>
              <w:jc w:val="left"/>
            </w:pPr>
            <w:r>
              <w:rPr>
                <w:rFonts w:ascii="Arial" w:hAnsi="Arial" w:eastAsia="Arial" w:cs="Arial"/>
                <w:b w:val="0"/>
                <w:bCs w:val="0"/>
                <w:color w:val="444444"/>
                <w:sz w:val="20"/>
                <w:szCs w:val="20"/>
              </w:rPr>
              <w:t>Host Jenkins (VM Linux + Docker)</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66ECB291">
            <w:pPr>
              <w:jc w:val="left"/>
            </w:pPr>
            <w:r>
              <w:rPr>
                <w:rFonts w:ascii="Arial" w:hAnsi="Arial" w:eastAsia="Arial" w:cs="Arial"/>
                <w:b w:val="0"/>
                <w:bCs w:val="0"/>
                <w:color w:val="444444"/>
                <w:sz w:val="20"/>
                <w:szCs w:val="20"/>
              </w:rPr>
              <w:t>centralus</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6D61343C">
            <w:pPr>
              <w:jc w:val="center"/>
            </w:pPr>
            <w:r>
              <w:rPr>
                <w:rFonts w:ascii="Arial" w:hAnsi="Arial" w:eastAsia="Arial" w:cs="Arial"/>
                <w:b/>
                <w:bCs/>
                <w:color w:val="2E7D32"/>
                <w:sz w:val="20"/>
                <w:szCs w:val="20"/>
              </w:rPr>
              <w:t>✔ Operativo</w:t>
            </w:r>
          </w:p>
        </w:tc>
      </w:tr>
      <w:tr w14:paraId="49202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33DFC5A7">
            <w:pPr>
              <w:jc w:val="left"/>
            </w:pPr>
            <w:r>
              <w:rPr>
                <w:rFonts w:ascii="Arial" w:hAnsi="Arial" w:eastAsia="Arial" w:cs="Arial"/>
                <w:b/>
                <w:bCs/>
                <w:color w:val="444444"/>
                <w:sz w:val="20"/>
                <w:szCs w:val="20"/>
              </w:rPr>
              <w:t>dev</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803BB3">
            <w:pPr>
              <w:jc w:val="left"/>
            </w:pPr>
            <w:r>
              <w:rPr>
                <w:rFonts w:ascii="Arial" w:hAnsi="Arial" w:eastAsia="Arial" w:cs="Arial"/>
                <w:b w:val="0"/>
                <w:bCs w:val="0"/>
                <w:color w:val="444444"/>
                <w:sz w:val="20"/>
                <w:szCs w:val="20"/>
              </w:rPr>
              <w:t>Desarrollo y validación interna</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347FF5">
            <w:pPr>
              <w:jc w:val="left"/>
            </w:pPr>
            <w:r>
              <w:rPr>
                <w:rFonts w:ascii="Arial" w:hAnsi="Arial" w:eastAsia="Arial" w:cs="Arial"/>
                <w:b w:val="0"/>
                <w:bCs w:val="0"/>
                <w:color w:val="444444"/>
                <w:sz w:val="20"/>
                <w:szCs w:val="20"/>
              </w:rPr>
              <w:t>centralus</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9CE793">
            <w:pPr>
              <w:jc w:val="center"/>
            </w:pPr>
            <w:r>
              <w:rPr>
                <w:rFonts w:ascii="Arial" w:hAnsi="Arial" w:eastAsia="Arial" w:cs="Arial"/>
                <w:b/>
                <w:bCs/>
                <w:color w:val="2E7D32"/>
                <w:sz w:val="20"/>
                <w:szCs w:val="20"/>
              </w:rPr>
              <w:t>✔ Operativo</w:t>
            </w:r>
          </w:p>
        </w:tc>
      </w:tr>
      <w:tr w14:paraId="70A90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19CF4BE1">
            <w:pPr>
              <w:jc w:val="left"/>
            </w:pPr>
            <w:r>
              <w:rPr>
                <w:rFonts w:ascii="Arial" w:hAnsi="Arial" w:eastAsia="Arial" w:cs="Arial"/>
                <w:b/>
                <w:bCs/>
                <w:color w:val="444444"/>
                <w:sz w:val="20"/>
                <w:szCs w:val="20"/>
              </w:rPr>
              <w:t>test</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3B4B13A1">
            <w:pPr>
              <w:jc w:val="left"/>
            </w:pPr>
            <w:r>
              <w:rPr>
                <w:rFonts w:ascii="Arial" w:hAnsi="Arial" w:eastAsia="Arial" w:cs="Arial"/>
                <w:b w:val="0"/>
                <w:bCs w:val="0"/>
                <w:color w:val="444444"/>
                <w:sz w:val="20"/>
                <w:szCs w:val="20"/>
              </w:rPr>
              <w:t>Pruebas de integración y QA</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71AE9FAA">
            <w:pPr>
              <w:jc w:val="left"/>
            </w:pPr>
            <w:r>
              <w:rPr>
                <w:rFonts w:ascii="Arial" w:hAnsi="Arial" w:eastAsia="Arial" w:cs="Arial"/>
                <w:b w:val="0"/>
                <w:bCs w:val="0"/>
                <w:color w:val="444444"/>
                <w:sz w:val="20"/>
                <w:szCs w:val="20"/>
              </w:rPr>
              <w:t>centralus</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1235008B">
            <w:pPr>
              <w:jc w:val="center"/>
            </w:pPr>
            <w:r>
              <w:rPr>
                <w:rFonts w:ascii="Arial" w:hAnsi="Arial" w:eastAsia="Arial" w:cs="Arial"/>
                <w:b/>
                <w:bCs/>
                <w:color w:val="2E7D32"/>
                <w:sz w:val="20"/>
                <w:szCs w:val="20"/>
              </w:rPr>
              <w:t>Pendiente</w:t>
            </w:r>
          </w:p>
        </w:tc>
      </w:tr>
      <w:tr w14:paraId="3FAF6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70C8C9DE">
            <w:pPr>
              <w:jc w:val="left"/>
            </w:pPr>
            <w:r>
              <w:rPr>
                <w:rFonts w:ascii="Arial" w:hAnsi="Arial" w:eastAsia="Arial" w:cs="Arial"/>
                <w:b/>
                <w:bCs/>
                <w:color w:val="444444"/>
                <w:sz w:val="20"/>
                <w:szCs w:val="20"/>
              </w:rPr>
              <w:t>prod</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08A2F3">
            <w:pPr>
              <w:jc w:val="left"/>
            </w:pPr>
            <w:r>
              <w:rPr>
                <w:rFonts w:ascii="Arial" w:hAnsi="Arial" w:eastAsia="Arial" w:cs="Arial"/>
                <w:b w:val="0"/>
                <w:bCs w:val="0"/>
                <w:color w:val="444444"/>
                <w:sz w:val="20"/>
                <w:szCs w:val="20"/>
              </w:rPr>
              <w:t>Ambiente de usuarios finales</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22AE91">
            <w:pPr>
              <w:jc w:val="left"/>
            </w:pPr>
            <w:r>
              <w:rPr>
                <w:rFonts w:ascii="Arial" w:hAnsi="Arial" w:eastAsia="Arial" w:cs="Arial"/>
                <w:b w:val="0"/>
                <w:bCs w:val="0"/>
                <w:color w:val="444444"/>
                <w:sz w:val="20"/>
                <w:szCs w:val="20"/>
              </w:rPr>
              <w:t>centralus</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9449B0">
            <w:pPr>
              <w:jc w:val="center"/>
            </w:pPr>
            <w:r>
              <w:rPr>
                <w:rFonts w:ascii="Arial" w:hAnsi="Arial" w:eastAsia="Arial" w:cs="Arial"/>
                <w:b/>
                <w:bCs/>
                <w:color w:val="2E7D32"/>
                <w:sz w:val="20"/>
                <w:szCs w:val="20"/>
              </w:rPr>
              <w:t>Pendiente</w:t>
            </w:r>
          </w:p>
        </w:tc>
      </w:tr>
    </w:tbl>
    <w:p w14:paraId="377D0451">
      <w:pPr>
        <w:spacing w:before="80" w:after="80"/>
      </w:pPr>
    </w:p>
    <w:p w14:paraId="3CAB498E">
      <w:pPr>
        <w:pStyle w:val="3"/>
        <w:spacing w:before="240" w:after="80"/>
      </w:pPr>
      <w:r>
        <w:rPr>
          <w:rFonts w:ascii="Arial" w:hAnsi="Arial" w:eastAsia="Arial" w:cs="Arial"/>
          <w:b/>
          <w:bCs/>
          <w:color w:val="2E75B6"/>
          <w:sz w:val="26"/>
          <w:szCs w:val="26"/>
        </w:rPr>
        <w:t>2.8 Incidencias Reales y Resolución</w:t>
      </w:r>
    </w:p>
    <w:p w14:paraId="177B7B9F">
      <w:pPr>
        <w:spacing w:before="60" w:after="100"/>
        <w:jc w:val="both"/>
      </w:pPr>
      <w:r>
        <w:rPr>
          <w:rFonts w:ascii="Arial" w:hAnsi="Arial" w:eastAsia="Arial" w:cs="Arial"/>
          <w:color w:val="444444"/>
          <w:sz w:val="22"/>
          <w:szCs w:val="22"/>
        </w:rPr>
        <w:t>Durante el despliegue se presentaron restricciones reales de la plataforma Azure que requirieron decisiones técnicas documentadas:</w:t>
      </w:r>
    </w:p>
    <w:p w14:paraId="5D9CC6A6">
      <w:pPr>
        <w:spacing w:before="80" w:after="80"/>
      </w:pPr>
    </w:p>
    <w:p w14:paraId="7FCBE618">
      <w:pPr>
        <w:pStyle w:val="4"/>
        <w:spacing w:before="160" w:after="60"/>
      </w:pPr>
      <w:r>
        <w:rPr>
          <w:rFonts w:ascii="Arial" w:hAnsi="Arial" w:eastAsia="Arial" w:cs="Arial"/>
          <w:b/>
          <w:bCs/>
          <w:color w:val="444444"/>
          <w:sz w:val="24"/>
          <w:szCs w:val="24"/>
        </w:rPr>
        <w:t>Incidencia 1 — Disponibilidad de SKU y cuota de VM en East US</w:t>
      </w:r>
    </w:p>
    <w:p w14:paraId="48A3C993">
      <w:pPr>
        <w:pStyle w:val="16"/>
        <w:numPr>
          <w:ilvl w:val="0"/>
          <w:numId w:val="1"/>
        </w:numPr>
        <w:spacing w:before="40" w:after="40"/>
      </w:pPr>
      <w:r>
        <w:rPr>
          <w:rFonts w:ascii="Arial" w:hAnsi="Arial" w:eastAsia="Arial" w:cs="Arial"/>
          <w:color w:val="444444"/>
          <w:sz w:val="22"/>
          <w:szCs w:val="22"/>
        </w:rPr>
        <w:t>Standard_B2s no tenía capacidad disponible en eastus.</w:t>
      </w:r>
    </w:p>
    <w:p w14:paraId="4C60584D">
      <w:pPr>
        <w:pStyle w:val="16"/>
        <w:numPr>
          <w:ilvl w:val="0"/>
          <w:numId w:val="1"/>
        </w:numPr>
        <w:spacing w:before="40" w:after="40"/>
      </w:pPr>
      <w:r>
        <w:rPr>
          <w:rFonts w:ascii="Arial" w:hAnsi="Arial" w:eastAsia="Arial" w:cs="Arial"/>
          <w:color w:val="444444"/>
          <w:sz w:val="22"/>
          <w:szCs w:val="22"/>
        </w:rPr>
        <w:t>Standard_B2ps_v2 era de arquitectura ARM64 e incompatible con la imagen Ubuntu 22.04 Gen2 x64.</w:t>
      </w:r>
    </w:p>
    <w:p w14:paraId="0B722034">
      <w:pPr>
        <w:pStyle w:val="16"/>
        <w:numPr>
          <w:ilvl w:val="0"/>
          <w:numId w:val="1"/>
        </w:numPr>
        <w:spacing w:before="40" w:after="40"/>
      </w:pPr>
      <w:r>
        <w:rPr>
          <w:rFonts w:ascii="Arial" w:hAnsi="Arial" w:eastAsia="Arial" w:cs="Arial"/>
          <w:color w:val="444444"/>
          <w:sz w:val="22"/>
          <w:szCs w:val="22"/>
        </w:rPr>
        <w:t>Standard_D2s_v5 y Standard_B2s_v2 quedaron bloqueados inicialmente por cuota 0 en la suscripción.</w:t>
      </w:r>
    </w:p>
    <w:p w14:paraId="687F9A70">
      <w:pPr>
        <w:spacing w:before="60" w:after="100"/>
        <w:jc w:val="left"/>
      </w:pPr>
      <w:r>
        <w:rPr>
          <w:rFonts w:ascii="Arial" w:hAnsi="Arial" w:eastAsia="Arial" w:cs="Arial"/>
          <w:color w:val="444444"/>
          <w:sz w:val="22"/>
          <w:szCs w:val="22"/>
        </w:rPr>
        <w:t>Resolución: se destruyó la base parcial creada en eastus, se reprovisionó el stack shared en centralus y se solicitó aumento de cuota para la familia Bsv2 a 2 vCPU. Una vez aprobada la cuota, Terraform completó exitosamente la creación de la VM de Jenkins.</w:t>
      </w:r>
    </w:p>
    <w:p w14:paraId="09D74674">
      <w:pPr>
        <w:spacing w:before="80" w:after="80"/>
      </w:pPr>
    </w:p>
    <w:p w14:paraId="237C3609">
      <w:pPr>
        <w:pStyle w:val="4"/>
        <w:spacing w:before="160" w:after="60"/>
      </w:pPr>
      <w:r>
        <w:rPr>
          <w:rFonts w:ascii="Arial" w:hAnsi="Arial" w:eastAsia="Arial" w:cs="Arial"/>
          <w:b/>
          <w:bCs/>
          <w:color w:val="444444"/>
          <w:sz w:val="24"/>
          <w:szCs w:val="24"/>
        </w:rPr>
        <w:t>Incidencia 2 — Restricción regional de PostgreSQL y permisos RBAC</w:t>
      </w:r>
    </w:p>
    <w:p w14:paraId="4382D12B">
      <w:pPr>
        <w:pStyle w:val="16"/>
        <w:numPr>
          <w:ilvl w:val="0"/>
          <w:numId w:val="1"/>
        </w:numPr>
        <w:spacing w:before="40" w:after="40"/>
      </w:pPr>
      <w:r>
        <w:rPr>
          <w:rFonts w:ascii="Arial" w:hAnsi="Arial" w:eastAsia="Arial" w:cs="Arial"/>
          <w:color w:val="444444"/>
          <w:sz w:val="22"/>
          <w:szCs w:val="22"/>
        </w:rPr>
        <w:t>Azure Database for PostgreSQL Flexible Server quedó bloqueado en eastus con el error LocationIsOfferRestricted.</w:t>
      </w:r>
    </w:p>
    <w:p w14:paraId="448F90C4">
      <w:pPr>
        <w:pStyle w:val="16"/>
        <w:numPr>
          <w:ilvl w:val="0"/>
          <w:numId w:val="1"/>
        </w:numPr>
        <w:spacing w:before="40" w:after="40"/>
      </w:pPr>
      <w:r>
        <w:rPr>
          <w:rFonts w:ascii="Arial" w:hAnsi="Arial" w:eastAsia="Arial" w:cs="Arial"/>
          <w:color w:val="444444"/>
          <w:sz w:val="22"/>
          <w:szCs w:val="22"/>
        </w:rPr>
        <w:t>El service principal de Jenkins no tenía permisos para ejecutar Microsoft.Authorization/roleAssignments/write al intentar asignar roles sobre Key Vault.</w:t>
      </w:r>
    </w:p>
    <w:p w14:paraId="7FF5C790">
      <w:pPr>
        <w:spacing w:before="60" w:after="100"/>
        <w:jc w:val="left"/>
      </w:pPr>
      <w:r>
        <w:rPr>
          <w:rFonts w:ascii="Arial" w:hAnsi="Arial" w:eastAsia="Arial" w:cs="Arial"/>
          <w:color w:val="444444"/>
          <w:sz w:val="22"/>
          <w:szCs w:val="22"/>
        </w:rPr>
        <w:t>Resolución: se homologó la región por defecto de todos los ambientes (dev, test, prod, shared) a centralus. Se otorgó al service principal de Jenkins el rol User Access Administrator sobre los resource groups objetivo, permitiendo que Terraform cree las asignaciones de roles necesarias en Key Vault.</w:t>
      </w:r>
    </w:p>
    <w:p w14:paraId="4D0B197C">
      <w:pPr>
        <w:spacing w:before="80" w:after="80"/>
      </w:pPr>
    </w:p>
    <w:p w14:paraId="4462A824">
      <w:pPr>
        <w:spacing w:before="60" w:after="100"/>
        <w:jc w:val="left"/>
      </w:pPr>
      <w:r>
        <w:rPr>
          <w:rFonts w:ascii="Arial" w:hAnsi="Arial" w:eastAsia="Arial" w:cs="Arial"/>
          <w:color w:val="1F3864"/>
          <w:sz w:val="22"/>
          <w:szCs w:val="22"/>
        </w:rPr>
        <w:t>Aprendizaje clave: en Azure no basta con tener el código de infraestructura correcto. También es determinante verificar la disponibilidad regional de servicios, las cuotas por familia de VM y los permisos RBAC del service principal que ejecuta Terraform. El uso del estado remoto y los módulos reutilizables permitió corregir la estrategia sin perder el control del despliegue ni rehacerlo manualmente.</w:t>
      </w:r>
    </w:p>
    <w:p w14:paraId="649F17D5">
      <w:pPr>
        <w:spacing w:before="80" w:after="80"/>
      </w:pPr>
    </w:p>
    <w:p w14:paraId="0586F44F">
      <w:pPr>
        <w:pStyle w:val="3"/>
        <w:spacing w:before="240" w:after="80"/>
      </w:pPr>
      <w:r>
        <w:rPr>
          <w:rFonts w:ascii="Arial" w:hAnsi="Arial" w:eastAsia="Arial" w:cs="Arial"/>
          <w:b/>
          <w:bCs/>
          <w:color w:val="2E75B6"/>
          <w:sz w:val="26"/>
          <w:szCs w:val="26"/>
        </w:rPr>
        <w:t>2.9 Buenas Prácticas Aplicadas</w:t>
      </w:r>
    </w:p>
    <w:p w14:paraId="2A985CCF">
      <w:pPr>
        <w:pStyle w:val="16"/>
        <w:numPr>
          <w:ilvl w:val="0"/>
          <w:numId w:val="1"/>
        </w:numPr>
        <w:spacing w:before="40" w:after="40"/>
      </w:pPr>
      <w:r>
        <w:rPr>
          <w:rFonts w:ascii="Arial" w:hAnsi="Arial" w:eastAsia="Arial" w:cs="Arial"/>
          <w:color w:val="444444"/>
          <w:sz w:val="22"/>
          <w:szCs w:val="22"/>
        </w:rPr>
        <w:t>Todo el código de infraestructura está versionado en Git junto con el código de la aplicación.</w:t>
      </w:r>
    </w:p>
    <w:p w14:paraId="426E6C70">
      <w:pPr>
        <w:pStyle w:val="16"/>
        <w:numPr>
          <w:ilvl w:val="0"/>
          <w:numId w:val="1"/>
        </w:numPr>
        <w:spacing w:before="40" w:after="40"/>
      </w:pPr>
      <w:r>
        <w:rPr>
          <w:rFonts w:ascii="Arial" w:hAnsi="Arial" w:eastAsia="Arial" w:cs="Arial"/>
          <w:color w:val="444444"/>
          <w:sz w:val="22"/>
          <w:szCs w:val="22"/>
        </w:rPr>
        <w:t>Módulos reutilizables (pilot_environment) eliminan la duplicación entre ambientes.</w:t>
      </w:r>
    </w:p>
    <w:p w14:paraId="5017936D">
      <w:pPr>
        <w:pStyle w:val="16"/>
        <w:numPr>
          <w:ilvl w:val="0"/>
          <w:numId w:val="1"/>
        </w:numPr>
        <w:spacing w:before="40" w:after="40"/>
      </w:pPr>
      <w:r>
        <w:rPr>
          <w:rFonts w:ascii="Arial" w:hAnsi="Arial" w:eastAsia="Arial" w:cs="Arial"/>
          <w:color w:val="444444"/>
          <w:sz w:val="22"/>
          <w:szCs w:val="22"/>
        </w:rPr>
        <w:t>Estado remoto centralizado en Azure Storage: Jenkins y los operadores comparten la misma fuente de verdad.</w:t>
      </w:r>
    </w:p>
    <w:p w14:paraId="2F7E52E1">
      <w:pPr>
        <w:pStyle w:val="16"/>
        <w:numPr>
          <w:ilvl w:val="0"/>
          <w:numId w:val="1"/>
        </w:numPr>
        <w:spacing w:before="40" w:after="40"/>
      </w:pPr>
      <w:r>
        <w:rPr>
          <w:rFonts w:ascii="Arial" w:hAnsi="Arial" w:eastAsia="Arial" w:cs="Arial"/>
          <w:color w:val="444444"/>
          <w:sz w:val="22"/>
          <w:szCs w:val="22"/>
        </w:rPr>
        <w:t>Ninguna credencial se almacena en el repositorio; los secretos fluyen exclusivamente por Key Vault y variables de entorno.</w:t>
      </w:r>
    </w:p>
    <w:p w14:paraId="08643707">
      <w:pPr>
        <w:pStyle w:val="16"/>
        <w:numPr>
          <w:ilvl w:val="0"/>
          <w:numId w:val="1"/>
        </w:numPr>
        <w:spacing w:before="40" w:after="40"/>
      </w:pPr>
      <w:r>
        <w:rPr>
          <w:rFonts w:ascii="Arial" w:hAnsi="Arial" w:eastAsia="Arial" w:cs="Arial"/>
          <w:color w:val="444444"/>
          <w:sz w:val="22"/>
          <w:szCs w:val="22"/>
        </w:rPr>
        <w:t>Bootstrap con -target en el pipeline: Key Vault y PostgreSQL se crean primero, y luego se ejecuta el plan/apply completo.</w:t>
      </w:r>
    </w:p>
    <w:p w14:paraId="4F68C694">
      <w:pPr>
        <w:pStyle w:val="16"/>
        <w:numPr>
          <w:ilvl w:val="0"/>
          <w:numId w:val="1"/>
        </w:numPr>
        <w:spacing w:before="40" w:after="40"/>
      </w:pPr>
      <w:r>
        <w:rPr>
          <w:rFonts w:ascii="Arial" w:hAnsi="Arial" w:eastAsia="Arial" w:cs="Arial"/>
          <w:color w:val="444444"/>
          <w:sz w:val="22"/>
          <w:szCs w:val="22"/>
        </w:rPr>
        <w:t>Sufijos únicos por ambiente (tgd1, tgt1, tgp1) para garantizar nombres globalmente únicos en Azure.</w:t>
      </w:r>
    </w:p>
    <w:p w14:paraId="5FA5D3A4">
      <w:pPr>
        <w:pStyle w:val="16"/>
        <w:numPr>
          <w:ilvl w:val="0"/>
          <w:numId w:val="1"/>
        </w:numPr>
        <w:spacing w:before="40" w:after="40"/>
      </w:pPr>
      <w:r>
        <w:rPr>
          <w:rFonts w:ascii="Arial" w:hAnsi="Arial" w:eastAsia="Arial" w:cs="Arial"/>
          <w:color w:val="444444"/>
          <w:sz w:val="22"/>
          <w:szCs w:val="22"/>
        </w:rPr>
        <w:t>Separación de responsabilidades: el stack shared gestiona la automatización; los stacks de ambiente gestionan la aplicación.</w:t>
      </w:r>
    </w:p>
    <w:p w14:paraId="27715D95">
      <w:pPr>
        <w:spacing w:before="80" w:after="80"/>
      </w:pPr>
    </w:p>
    <w:p w14:paraId="2C78FEF5">
      <w:r>
        <w:br w:type="page"/>
      </w:r>
    </w:p>
    <w:p w14:paraId="20070043">
      <w:pPr>
        <w:pStyle w:val="2"/>
        <w:pBdr>
          <w:bottom w:val="single" w:color="2E75B6" w:sz="6" w:space="4"/>
        </w:pBdr>
        <w:spacing w:before="360" w:after="120"/>
      </w:pPr>
      <w:r>
        <w:rPr>
          <w:rFonts w:ascii="Arial" w:hAnsi="Arial" w:eastAsia="Arial" w:cs="Arial"/>
          <w:b/>
          <w:bCs/>
          <w:color w:val="1F3864"/>
          <w:sz w:val="32"/>
          <w:szCs w:val="32"/>
        </w:rPr>
        <w:t>3. Integración y Entrega Continua (CI/CD)</w:t>
      </w:r>
    </w:p>
    <w:p w14:paraId="09240CC1">
      <w:pPr>
        <w:spacing w:before="80" w:after="80"/>
      </w:pPr>
    </w:p>
    <w:p w14:paraId="41E09A6F">
      <w:pPr>
        <w:pStyle w:val="3"/>
        <w:spacing w:before="240" w:after="80"/>
      </w:pPr>
      <w:r>
        <w:rPr>
          <w:rFonts w:ascii="Arial" w:hAnsi="Arial" w:eastAsia="Arial" w:cs="Arial"/>
          <w:b/>
          <w:bCs/>
          <w:color w:val="2E75B6"/>
          <w:sz w:val="26"/>
          <w:szCs w:val="26"/>
        </w:rPr>
        <w:t>3.1 Descripción General</w:t>
      </w:r>
    </w:p>
    <w:p w14:paraId="1168E8B3">
      <w:pPr>
        <w:spacing w:before="60" w:after="100"/>
        <w:jc w:val="both"/>
      </w:pPr>
      <w:r>
        <w:rPr>
          <w:rFonts w:ascii="Arial" w:hAnsi="Arial" w:eastAsia="Arial" w:cs="Arial"/>
          <w:color w:val="444444"/>
          <w:sz w:val="22"/>
          <w:szCs w:val="22"/>
        </w:rPr>
        <w:t>El pipeline de CI/CD del proyecto ti-garantias fue implementado sobre Jenkins, ejecutándose como contenedor Docker en la VM compartida aprovisionada por Terraform. Este enfoque concentra en un único servidor de automatización la responsabilidad de construir las imágenes, publicarlas en el registry y desplegar la infraestructura y la aplicación en cada ambiente mediante Terraform y la CLI de Azure.</w:t>
      </w:r>
    </w:p>
    <w:p w14:paraId="4C5DA1FC">
      <w:pPr>
        <w:spacing w:before="60" w:after="100"/>
        <w:jc w:val="both"/>
      </w:pPr>
      <w:r>
        <w:rPr>
          <w:rFonts w:ascii="Arial" w:hAnsi="Arial" w:eastAsia="Arial" w:cs="Arial"/>
          <w:color w:val="444444"/>
          <w:sz w:val="22"/>
          <w:szCs w:val="22"/>
        </w:rPr>
        <w:t>El Jenkinsfile del repositorio define el pipeline completo de entrega continua, cubriendo desde el build del backend y el frontend hasta el apply de Terraform sobre el ambiente objetivo.</w:t>
      </w:r>
    </w:p>
    <w:p w14:paraId="7EE0DD48">
      <w:pPr>
        <w:pStyle w:val="3"/>
        <w:spacing w:before="240" w:after="80"/>
      </w:pPr>
      <w:r>
        <w:rPr>
          <w:rFonts w:ascii="Arial" w:hAnsi="Arial" w:eastAsia="Arial" w:cs="Arial"/>
          <w:b/>
          <w:bCs/>
          <w:color w:val="2E75B6"/>
          <w:sz w:val="26"/>
          <w:szCs w:val="26"/>
        </w:rPr>
        <w:t>3.2 Arquitectura del Sistema CI/CD</w:t>
      </w:r>
    </w:p>
    <w:p w14:paraId="4309C4DB">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76"/>
        <w:gridCol w:w="6684"/>
      </w:tblGrid>
      <w:tr w14:paraId="2871E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2E75B6" w:sz="0" w:space="0"/>
              <w:left w:val="single" w:color="2E75B6" w:sz="0" w:space="0"/>
              <w:bottom w:val="single" w:color="2E75B6" w:sz="0" w:space="0"/>
              <w:right w:val="single" w:color="2E75B6" w:sz="0" w:space="0"/>
            </w:tcBorders>
            <w:shd w:val="clear" w:color="auto" w:fill="1F3864"/>
            <w:tcMar>
              <w:top w:w="100" w:type="dxa"/>
              <w:left w:w="120" w:type="dxa"/>
              <w:bottom w:w="100" w:type="dxa"/>
              <w:right w:w="120" w:type="dxa"/>
            </w:tcMar>
          </w:tcPr>
          <w:p w14:paraId="5BDCEF8B">
            <w:pPr>
              <w:jc w:val="center"/>
            </w:pPr>
            <w:r>
              <w:rPr>
                <w:rFonts w:ascii="Arial" w:hAnsi="Arial" w:eastAsia="Arial" w:cs="Arial"/>
                <w:b/>
                <w:bCs/>
                <w:color w:val="FFFFFF"/>
                <w:sz w:val="20"/>
                <w:szCs w:val="20"/>
              </w:rPr>
              <w:t>Componente</w:t>
            </w:r>
          </w:p>
        </w:tc>
        <w:tc>
          <w:tcPr>
            <w:tcBorders>
              <w:top w:val="single" w:color="2E75B6" w:sz="0" w:space="0"/>
              <w:left w:val="single" w:color="2E75B6" w:sz="0" w:space="0"/>
              <w:bottom w:val="single" w:color="2E75B6" w:sz="0" w:space="0"/>
              <w:right w:val="single" w:color="2E75B6" w:sz="0" w:space="0"/>
            </w:tcBorders>
            <w:shd w:val="clear" w:color="auto" w:fill="1F3864"/>
            <w:tcMar>
              <w:top w:w="100" w:type="dxa"/>
              <w:left w:w="120" w:type="dxa"/>
              <w:bottom w:w="100" w:type="dxa"/>
              <w:right w:w="120" w:type="dxa"/>
            </w:tcMar>
          </w:tcPr>
          <w:p w14:paraId="1D5BFEEB">
            <w:pPr>
              <w:jc w:val="center"/>
            </w:pPr>
            <w:r>
              <w:rPr>
                <w:rFonts w:ascii="Arial" w:hAnsi="Arial" w:eastAsia="Arial" w:cs="Arial"/>
                <w:b/>
                <w:bCs/>
                <w:color w:val="FFFFFF"/>
                <w:sz w:val="20"/>
                <w:szCs w:val="20"/>
              </w:rPr>
              <w:t>Detalle</w:t>
            </w:r>
          </w:p>
        </w:tc>
      </w:tr>
      <w:tr w14:paraId="4B6A3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55418F1B">
            <w:r>
              <w:rPr>
                <w:rFonts w:ascii="Arial" w:hAnsi="Arial" w:eastAsia="Arial" w:cs="Arial"/>
                <w:b/>
                <w:bCs/>
                <w:color w:val="444444"/>
                <w:sz w:val="20"/>
                <w:szCs w:val="20"/>
              </w:rPr>
              <w:t>Servidor CI/CD</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16141091">
            <w:r>
              <w:rPr>
                <w:rFonts w:ascii="Arial" w:hAnsi="Arial" w:eastAsia="Arial" w:cs="Arial"/>
                <w:b w:val="0"/>
                <w:bCs w:val="0"/>
                <w:color w:val="444444"/>
                <w:sz w:val="20"/>
                <w:szCs w:val="20"/>
              </w:rPr>
              <w:t>Jenkins sobre Docker en VM Linux (Azure, centralus)</w:t>
            </w:r>
          </w:p>
        </w:tc>
      </w:tr>
      <w:tr w14:paraId="2878F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52296461">
            <w:r>
              <w:rPr>
                <w:rFonts w:ascii="Arial" w:hAnsi="Arial" w:eastAsia="Arial" w:cs="Arial"/>
                <w:b/>
                <w:bCs/>
                <w:color w:val="444444"/>
                <w:sz w:val="20"/>
                <w:szCs w:val="20"/>
              </w:rPr>
              <w:t>Imagen Jenkins</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AECB72">
            <w:r>
              <w:rPr>
                <w:rFonts w:ascii="Arial" w:hAnsi="Arial" w:eastAsia="Arial" w:cs="Arial"/>
                <w:b w:val="0"/>
                <w:bCs w:val="0"/>
                <w:color w:val="444444"/>
                <w:sz w:val="20"/>
                <w:szCs w:val="20"/>
              </w:rPr>
              <w:t>Imagen personalizada desde deploy/jenkins/Dockerfile</w:t>
            </w:r>
          </w:p>
        </w:tc>
      </w:tr>
      <w:tr w14:paraId="1FE4E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5658649F">
            <w:r>
              <w:rPr>
                <w:rFonts w:ascii="Arial" w:hAnsi="Arial" w:eastAsia="Arial" w:cs="Arial"/>
                <w:b/>
                <w:bCs/>
                <w:color w:val="444444"/>
                <w:sz w:val="20"/>
                <w:szCs w:val="20"/>
              </w:rPr>
              <w:t>Orquestación local</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0B3E2B9F">
            <w:r>
              <w:rPr>
                <w:rFonts w:ascii="Arial" w:hAnsi="Arial" w:eastAsia="Arial" w:cs="Arial"/>
                <w:b w:val="0"/>
                <w:bCs w:val="0"/>
                <w:color w:val="444444"/>
                <w:sz w:val="20"/>
                <w:szCs w:val="20"/>
              </w:rPr>
              <w:t>Docker Compose — perfil ci para levantar Jenkins</w:t>
            </w:r>
          </w:p>
        </w:tc>
      </w:tr>
      <w:tr w14:paraId="34E2F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381C1172">
            <w:r>
              <w:rPr>
                <w:rFonts w:ascii="Arial" w:hAnsi="Arial" w:eastAsia="Arial" w:cs="Arial"/>
                <w:b/>
                <w:bCs/>
                <w:color w:val="444444"/>
                <w:sz w:val="20"/>
                <w:szCs w:val="20"/>
              </w:rPr>
              <w:t>Registry de imágenes</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C3F5A7">
            <w:r>
              <w:rPr>
                <w:rFonts w:ascii="Arial" w:hAnsi="Arial" w:eastAsia="Arial" w:cs="Arial"/>
                <w:b w:val="0"/>
                <w:bCs w:val="0"/>
                <w:color w:val="444444"/>
                <w:sz w:val="20"/>
                <w:szCs w:val="20"/>
              </w:rPr>
              <w:t>Docker Hub (namespace: gjrbdev)</w:t>
            </w:r>
          </w:p>
        </w:tc>
      </w:tr>
      <w:tr w14:paraId="36F11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7A5439E2">
            <w:r>
              <w:rPr>
                <w:rFonts w:ascii="Arial" w:hAnsi="Arial" w:eastAsia="Arial" w:cs="Arial"/>
                <w:b/>
                <w:bCs/>
                <w:color w:val="444444"/>
                <w:sz w:val="20"/>
                <w:szCs w:val="20"/>
              </w:rPr>
              <w:t>IaC en pipeline</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72E92C68">
            <w:r>
              <w:rPr>
                <w:rFonts w:ascii="Arial" w:hAnsi="Arial" w:eastAsia="Arial" w:cs="Arial"/>
                <w:b w:val="0"/>
                <w:bCs w:val="0"/>
                <w:color w:val="444444"/>
                <w:sz w:val="20"/>
                <w:szCs w:val="20"/>
              </w:rPr>
              <w:t>Terraform ejecutado por Jenkins para plan/apply por ambiente</w:t>
            </w:r>
          </w:p>
        </w:tc>
      </w:tr>
      <w:tr w14:paraId="1C889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398275C0">
            <w:r>
              <w:rPr>
                <w:rFonts w:ascii="Arial" w:hAnsi="Arial" w:eastAsia="Arial" w:cs="Arial"/>
                <w:b/>
                <w:bCs/>
                <w:color w:val="444444"/>
                <w:sz w:val="20"/>
                <w:szCs w:val="20"/>
              </w:rPr>
              <w:t>Gestión de nube</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B45160">
            <w:r>
              <w:rPr>
                <w:rFonts w:ascii="Arial" w:hAnsi="Arial" w:eastAsia="Arial" w:cs="Arial"/>
                <w:b w:val="0"/>
                <w:bCs w:val="0"/>
                <w:color w:val="444444"/>
                <w:sz w:val="20"/>
                <w:szCs w:val="20"/>
              </w:rPr>
              <w:t>Azure CLI integrada en la imagen de Jenkins</w:t>
            </w:r>
          </w:p>
        </w:tc>
      </w:tr>
      <w:tr w14:paraId="667C4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5BEA43A4">
            <w:r>
              <w:rPr>
                <w:rFonts w:ascii="Arial" w:hAnsi="Arial" w:eastAsia="Arial" w:cs="Arial"/>
                <w:b/>
                <w:bCs/>
                <w:color w:val="444444"/>
                <w:sz w:val="20"/>
                <w:szCs w:val="20"/>
              </w:rPr>
              <w:t>Backend de estado</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337162A9">
            <w:r>
              <w:rPr>
                <w:rFonts w:ascii="Arial" w:hAnsi="Arial" w:eastAsia="Arial" w:cs="Arial"/>
                <w:b w:val="0"/>
                <w:bCs w:val="0"/>
                <w:color w:val="444444"/>
                <w:sz w:val="20"/>
                <w:szCs w:val="20"/>
              </w:rPr>
              <w:t>Azure Storage (tfstate por ambiente)</w:t>
            </w:r>
          </w:p>
        </w:tc>
      </w:tr>
      <w:tr w14:paraId="04CBC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3A1D09E5">
            <w:r>
              <w:rPr>
                <w:rFonts w:ascii="Arial" w:hAnsi="Arial" w:eastAsia="Arial" w:cs="Arial"/>
                <w:b/>
                <w:bCs/>
                <w:color w:val="444444"/>
                <w:sz w:val="20"/>
                <w:szCs w:val="20"/>
              </w:rPr>
              <w:t>Código del pipeline</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DB5552">
            <w:r>
              <w:rPr>
                <w:rFonts w:ascii="Arial" w:hAnsi="Arial" w:eastAsia="Arial" w:cs="Arial"/>
                <w:b w:val="0"/>
                <w:bCs w:val="0"/>
                <w:color w:val="444444"/>
                <w:sz w:val="20"/>
                <w:szCs w:val="20"/>
              </w:rPr>
              <w:t>Jenkinsfile en la raíz del repositorio</w:t>
            </w:r>
          </w:p>
        </w:tc>
      </w:tr>
    </w:tbl>
    <w:p w14:paraId="2C1E5035">
      <w:pPr>
        <w:spacing w:before="80" w:after="80"/>
      </w:pPr>
    </w:p>
    <w:p w14:paraId="2F2FCDAD">
      <w:pPr>
        <w:pStyle w:val="3"/>
        <w:spacing w:before="240" w:after="80"/>
      </w:pPr>
      <w:r>
        <w:rPr>
          <w:rFonts w:ascii="Arial" w:hAnsi="Arial" w:eastAsia="Arial" w:cs="Arial"/>
          <w:b/>
          <w:bCs/>
          <w:color w:val="2E75B6"/>
          <w:sz w:val="26"/>
          <w:szCs w:val="26"/>
        </w:rPr>
        <w:t>3.3 Imagen Personalizada de Jenkins</w:t>
      </w:r>
    </w:p>
    <w:p w14:paraId="313F34CC">
      <w:pPr>
        <w:spacing w:before="60" w:after="100"/>
        <w:jc w:val="both"/>
      </w:pPr>
      <w:r>
        <w:rPr>
          <w:rFonts w:ascii="Arial" w:hAnsi="Arial" w:eastAsia="Arial" w:cs="Arial"/>
          <w:color w:val="444444"/>
          <w:sz w:val="22"/>
          <w:szCs w:val="22"/>
        </w:rPr>
        <w:t>Se construyó una imagen Docker propia de Jenkins (deploy/jenkins/Dockerfile) para evitar instalar herramientas en tiempo de ejecución del pipeline. La imagen incluye preinstaladas todas las dependencias necesarias para operar el ciclo completo de CI/CD:</w:t>
      </w:r>
    </w:p>
    <w:p w14:paraId="5815B805">
      <w:pPr>
        <w:pStyle w:val="16"/>
        <w:numPr>
          <w:ilvl w:val="0"/>
          <w:numId w:val="1"/>
        </w:numPr>
        <w:spacing w:before="40" w:after="40"/>
      </w:pPr>
      <w:r>
        <w:rPr>
          <w:rFonts w:ascii="Arial" w:hAnsi="Arial" w:eastAsia="Arial" w:cs="Arial"/>
          <w:color w:val="444444"/>
          <w:sz w:val="22"/>
          <w:szCs w:val="22"/>
        </w:rPr>
        <w:t>Docker CLI y Docker Compose plugin — para construir y publicar imágenes.</w:t>
      </w:r>
    </w:p>
    <w:p w14:paraId="29F84618">
      <w:pPr>
        <w:pStyle w:val="16"/>
        <w:numPr>
          <w:ilvl w:val="0"/>
          <w:numId w:val="1"/>
        </w:numPr>
        <w:spacing w:before="40" w:after="40"/>
      </w:pPr>
      <w:r>
        <w:rPr>
          <w:rFonts w:ascii="Arial" w:hAnsi="Arial" w:eastAsia="Arial" w:cs="Arial"/>
          <w:color w:val="444444"/>
          <w:sz w:val="22"/>
          <w:szCs w:val="22"/>
        </w:rPr>
        <w:t>Terraform — para ejecutar plan/apply sobre los ambientes de Azure.</w:t>
      </w:r>
    </w:p>
    <w:p w14:paraId="0A200054">
      <w:pPr>
        <w:pStyle w:val="16"/>
        <w:numPr>
          <w:ilvl w:val="0"/>
          <w:numId w:val="1"/>
        </w:numPr>
        <w:spacing w:before="40" w:after="40"/>
      </w:pPr>
      <w:r>
        <w:rPr>
          <w:rFonts w:ascii="Arial" w:hAnsi="Arial" w:eastAsia="Arial" w:cs="Arial"/>
          <w:color w:val="444444"/>
          <w:sz w:val="22"/>
          <w:szCs w:val="22"/>
        </w:rPr>
        <w:t>Azure CLI — para autenticación con el service principal y operaciones sobre Key Vault.</w:t>
      </w:r>
    </w:p>
    <w:p w14:paraId="5A5BF3FC">
      <w:pPr>
        <w:pStyle w:val="16"/>
        <w:numPr>
          <w:ilvl w:val="0"/>
          <w:numId w:val="1"/>
        </w:numPr>
        <w:spacing w:before="40" w:after="40"/>
      </w:pPr>
      <w:r>
        <w:rPr>
          <w:rFonts w:ascii="Arial" w:hAnsi="Arial" w:eastAsia="Arial" w:cs="Arial"/>
          <w:color w:val="444444"/>
          <w:sz w:val="22"/>
          <w:szCs w:val="22"/>
        </w:rPr>
        <w:t>Node.js 22 — para el build del frontend (SPA).</w:t>
      </w:r>
    </w:p>
    <w:p w14:paraId="617D4D0A">
      <w:pPr>
        <w:pStyle w:val="16"/>
        <w:numPr>
          <w:ilvl w:val="0"/>
          <w:numId w:val="1"/>
        </w:numPr>
        <w:spacing w:before="40" w:after="40"/>
      </w:pPr>
      <w:r>
        <w:rPr>
          <w:rFonts w:ascii="Arial" w:hAnsi="Arial" w:eastAsia="Arial" w:cs="Arial"/>
          <w:color w:val="444444"/>
          <w:sz w:val="22"/>
          <w:szCs w:val="22"/>
        </w:rPr>
        <w:t>.NET SDK 8 — para compilar y publicar el backend (ASP.NET Core).</w:t>
      </w:r>
    </w:p>
    <w:p w14:paraId="6901AF1A">
      <w:pPr>
        <w:pStyle w:val="16"/>
        <w:numPr>
          <w:ilvl w:val="0"/>
          <w:numId w:val="1"/>
        </w:numPr>
        <w:spacing w:before="40" w:after="40"/>
      </w:pPr>
      <w:r>
        <w:rPr>
          <w:rFonts w:ascii="Arial" w:hAnsi="Arial" w:eastAsia="Arial" w:cs="Arial"/>
          <w:color w:val="444444"/>
          <w:sz w:val="22"/>
          <w:szCs w:val="22"/>
        </w:rPr>
        <w:t>git y utilitarios base — para clonar el repositorio y ejecutar scripts auxiliares.</w:t>
      </w:r>
    </w:p>
    <w:p w14:paraId="4844598F">
      <w:pPr>
        <w:pStyle w:val="16"/>
        <w:numPr>
          <w:ilvl w:val="0"/>
          <w:numId w:val="1"/>
        </w:numPr>
        <w:spacing w:before="40" w:after="40"/>
      </w:pPr>
      <w:r>
        <w:rPr>
          <w:rFonts w:ascii="Arial" w:hAnsi="Arial" w:eastAsia="Arial" w:cs="Arial"/>
          <w:color w:val="444444"/>
          <w:sz w:val="22"/>
          <w:szCs w:val="22"/>
        </w:rPr>
        <w:t>Plugins declarados en deploy/jenkins/plugins.txt — incluyendo soporte para ansiColor, credenciales y pipeline.</w:t>
      </w:r>
    </w:p>
    <w:p w14:paraId="74A285EA">
      <w:pPr>
        <w:spacing w:before="80" w:after="80"/>
      </w:pPr>
    </w:p>
    <w:p w14:paraId="4458625F">
      <w:pPr>
        <w:pStyle w:val="3"/>
        <w:spacing w:before="240" w:after="80"/>
      </w:pPr>
      <w:r>
        <w:rPr>
          <w:rFonts w:ascii="Arial" w:hAnsi="Arial" w:eastAsia="Arial" w:cs="Arial"/>
          <w:b/>
          <w:bCs/>
          <w:color w:val="2E75B6"/>
          <w:sz w:val="26"/>
          <w:szCs w:val="26"/>
        </w:rPr>
        <w:t>3.4 Etapas del Pipeline (Jenkinsfile)</w:t>
      </w:r>
    </w:p>
    <w:p w14:paraId="4A1EA4FD">
      <w:pPr>
        <w:spacing w:before="60" w:after="100"/>
        <w:jc w:val="both"/>
      </w:pPr>
      <w:r>
        <w:rPr>
          <w:rFonts w:ascii="Arial" w:hAnsi="Arial" w:eastAsia="Arial" w:cs="Arial"/>
          <w:color w:val="444444"/>
          <w:sz w:val="22"/>
          <w:szCs w:val="22"/>
        </w:rPr>
        <w:t>El pipeline de entrega continua sigue el siguiente flujo de extremo a extremo, parametrizable por ambiente:</w:t>
      </w:r>
    </w:p>
    <w:p w14:paraId="14E35055">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3"/>
        <w:gridCol w:w="2218"/>
        <w:gridCol w:w="4907"/>
        <w:gridCol w:w="1772"/>
      </w:tblGrid>
      <w:tr w14:paraId="04739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2E75B6" w:sz="0" w:space="0"/>
              <w:left w:val="single" w:color="2E75B6" w:sz="0" w:space="0"/>
              <w:bottom w:val="single" w:color="2E75B6" w:sz="0" w:space="0"/>
              <w:right w:val="single" w:color="2E75B6" w:sz="0" w:space="0"/>
            </w:tcBorders>
            <w:shd w:val="clear" w:color="auto" w:fill="2E75B6"/>
            <w:tcMar>
              <w:top w:w="100" w:type="dxa"/>
              <w:left w:w="120" w:type="dxa"/>
              <w:bottom w:w="100" w:type="dxa"/>
              <w:right w:w="120" w:type="dxa"/>
            </w:tcMar>
          </w:tcPr>
          <w:p w14:paraId="2711EE84">
            <w:pPr>
              <w:jc w:val="center"/>
            </w:pPr>
            <w:r>
              <w:rPr>
                <w:rFonts w:ascii="Arial" w:hAnsi="Arial" w:eastAsia="Arial" w:cs="Arial"/>
                <w:b/>
                <w:bCs/>
                <w:color w:val="FFFFFF"/>
                <w:sz w:val="20"/>
                <w:szCs w:val="20"/>
              </w:rPr>
              <w:t>#</w:t>
            </w:r>
          </w:p>
        </w:tc>
        <w:tc>
          <w:tcPr>
            <w:tcBorders>
              <w:top w:val="single" w:color="2E75B6" w:sz="0" w:space="0"/>
              <w:left w:val="single" w:color="2E75B6" w:sz="0" w:space="0"/>
              <w:bottom w:val="single" w:color="2E75B6" w:sz="0" w:space="0"/>
              <w:right w:val="single" w:color="2E75B6" w:sz="0" w:space="0"/>
            </w:tcBorders>
            <w:shd w:val="clear" w:color="auto" w:fill="2E75B6"/>
            <w:tcMar>
              <w:top w:w="100" w:type="dxa"/>
              <w:left w:w="120" w:type="dxa"/>
              <w:bottom w:w="100" w:type="dxa"/>
              <w:right w:w="120" w:type="dxa"/>
            </w:tcMar>
          </w:tcPr>
          <w:p w14:paraId="7AADE057">
            <w:pPr>
              <w:jc w:val="center"/>
            </w:pPr>
            <w:r>
              <w:rPr>
                <w:rFonts w:ascii="Arial" w:hAnsi="Arial" w:eastAsia="Arial" w:cs="Arial"/>
                <w:b/>
                <w:bCs/>
                <w:color w:val="FFFFFF"/>
                <w:sz w:val="20"/>
                <w:szCs w:val="20"/>
              </w:rPr>
              <w:t>Etapa</w:t>
            </w:r>
          </w:p>
        </w:tc>
        <w:tc>
          <w:tcPr>
            <w:tcBorders>
              <w:top w:val="single" w:color="2E75B6" w:sz="0" w:space="0"/>
              <w:left w:val="single" w:color="2E75B6" w:sz="0" w:space="0"/>
              <w:bottom w:val="single" w:color="2E75B6" w:sz="0" w:space="0"/>
              <w:right w:val="single" w:color="2E75B6" w:sz="0" w:space="0"/>
            </w:tcBorders>
            <w:shd w:val="clear" w:color="auto" w:fill="2E75B6"/>
            <w:tcMar>
              <w:top w:w="100" w:type="dxa"/>
              <w:left w:w="120" w:type="dxa"/>
              <w:bottom w:w="100" w:type="dxa"/>
              <w:right w:w="120" w:type="dxa"/>
            </w:tcMar>
          </w:tcPr>
          <w:p w14:paraId="30066371">
            <w:pPr>
              <w:jc w:val="center"/>
            </w:pPr>
            <w:r>
              <w:rPr>
                <w:rFonts w:ascii="Arial" w:hAnsi="Arial" w:eastAsia="Arial" w:cs="Arial"/>
                <w:b/>
                <w:bCs/>
                <w:color w:val="FFFFFF"/>
                <w:sz w:val="20"/>
                <w:szCs w:val="20"/>
              </w:rPr>
              <w:t>Descripción</w:t>
            </w:r>
          </w:p>
        </w:tc>
        <w:tc>
          <w:tcPr>
            <w:tcBorders>
              <w:top w:val="single" w:color="2E75B6" w:sz="0" w:space="0"/>
              <w:left w:val="single" w:color="2E75B6" w:sz="0" w:space="0"/>
              <w:bottom w:val="single" w:color="2E75B6" w:sz="0" w:space="0"/>
              <w:right w:val="single" w:color="2E75B6" w:sz="0" w:space="0"/>
            </w:tcBorders>
            <w:shd w:val="clear" w:color="auto" w:fill="2E75B6"/>
            <w:tcMar>
              <w:top w:w="100" w:type="dxa"/>
              <w:left w:w="120" w:type="dxa"/>
              <w:bottom w:w="100" w:type="dxa"/>
              <w:right w:w="120" w:type="dxa"/>
            </w:tcMar>
          </w:tcPr>
          <w:p w14:paraId="66B537B1">
            <w:pPr>
              <w:jc w:val="center"/>
            </w:pPr>
            <w:r>
              <w:rPr>
                <w:rFonts w:ascii="Arial" w:hAnsi="Arial" w:eastAsia="Arial" w:cs="Arial"/>
                <w:b/>
                <w:bCs/>
                <w:color w:val="FFFFFF"/>
                <w:sz w:val="20"/>
                <w:szCs w:val="20"/>
              </w:rPr>
              <w:t>Herramienta</w:t>
            </w:r>
          </w:p>
        </w:tc>
      </w:tr>
      <w:tr w14:paraId="144C0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044D20BB">
            <w:pPr>
              <w:jc w:val="center"/>
            </w:pPr>
            <w:r>
              <w:rPr>
                <w:rFonts w:ascii="Arial" w:hAnsi="Arial" w:eastAsia="Arial" w:cs="Arial"/>
                <w:b/>
                <w:bCs/>
                <w:color w:val="444444"/>
                <w:sz w:val="20"/>
                <w:szCs w:val="20"/>
              </w:rPr>
              <w:t>1</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0C698CBB">
            <w:pPr>
              <w:jc w:val="left"/>
            </w:pPr>
            <w:r>
              <w:rPr>
                <w:rFonts w:ascii="Arial" w:hAnsi="Arial" w:eastAsia="Arial" w:cs="Arial"/>
                <w:b/>
                <w:bCs/>
                <w:color w:val="444444"/>
                <w:sz w:val="20"/>
                <w:szCs w:val="20"/>
              </w:rPr>
              <w:t>Checkout del código</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1380A82B">
            <w:pPr>
              <w:jc w:val="left"/>
            </w:pPr>
            <w:r>
              <w:rPr>
                <w:rFonts w:ascii="Arial" w:hAnsi="Arial" w:eastAsia="Arial" w:cs="Arial"/>
                <w:b w:val="0"/>
                <w:bCs w:val="0"/>
                <w:color w:val="444444"/>
                <w:sz w:val="20"/>
                <w:szCs w:val="20"/>
              </w:rPr>
              <w:t>Clona el repositorio desde la rama main en el workspace de Jenkins</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1052D246">
            <w:pPr>
              <w:jc w:val="left"/>
            </w:pPr>
            <w:r>
              <w:rPr>
                <w:rFonts w:ascii="Arial" w:hAnsi="Arial" w:eastAsia="Arial" w:cs="Arial"/>
                <w:b w:val="0"/>
                <w:bCs w:val="0"/>
                <w:color w:val="444444"/>
                <w:sz w:val="20"/>
                <w:szCs w:val="20"/>
              </w:rPr>
              <w:t>Git</w:t>
            </w:r>
          </w:p>
        </w:tc>
      </w:tr>
      <w:tr w14:paraId="4C79A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49CA12">
            <w:pPr>
              <w:jc w:val="center"/>
            </w:pPr>
            <w:r>
              <w:rPr>
                <w:rFonts w:ascii="Arial" w:hAnsi="Arial" w:eastAsia="Arial" w:cs="Arial"/>
                <w:b/>
                <w:bCs/>
                <w:color w:val="444444"/>
                <w:sz w:val="20"/>
                <w:szCs w:val="20"/>
              </w:rPr>
              <w:t>2</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E7D22D">
            <w:pPr>
              <w:jc w:val="left"/>
            </w:pPr>
            <w:r>
              <w:rPr>
                <w:rFonts w:ascii="Arial" w:hAnsi="Arial" w:eastAsia="Arial" w:cs="Arial"/>
                <w:b/>
                <w:bCs/>
                <w:color w:val="444444"/>
                <w:sz w:val="20"/>
                <w:szCs w:val="20"/>
              </w:rPr>
              <w:t>Build del backend</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F44132">
            <w:pPr>
              <w:jc w:val="left"/>
            </w:pPr>
            <w:r>
              <w:rPr>
                <w:rFonts w:ascii="Arial" w:hAnsi="Arial" w:eastAsia="Arial" w:cs="Arial"/>
                <w:b w:val="0"/>
                <w:bCs w:val="0"/>
                <w:color w:val="444444"/>
                <w:sz w:val="20"/>
                <w:szCs w:val="20"/>
              </w:rPr>
              <w:t>Compila y publica la API ASP.NET Core con dotnet publish</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393D9E">
            <w:pPr>
              <w:jc w:val="left"/>
            </w:pPr>
            <w:r>
              <w:rPr>
                <w:rFonts w:ascii="Arial" w:hAnsi="Arial" w:eastAsia="Arial" w:cs="Arial"/>
                <w:b w:val="0"/>
                <w:bCs w:val="0"/>
                <w:color w:val="444444"/>
                <w:sz w:val="20"/>
                <w:szCs w:val="20"/>
              </w:rPr>
              <w:t>.NET SDK 8</w:t>
            </w:r>
          </w:p>
        </w:tc>
      </w:tr>
      <w:tr w14:paraId="7182F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4E5BEC08">
            <w:pPr>
              <w:jc w:val="center"/>
            </w:pPr>
            <w:r>
              <w:rPr>
                <w:rFonts w:ascii="Arial" w:hAnsi="Arial" w:eastAsia="Arial" w:cs="Arial"/>
                <w:b/>
                <w:bCs/>
                <w:color w:val="444444"/>
                <w:sz w:val="20"/>
                <w:szCs w:val="20"/>
              </w:rPr>
              <w:t>3</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1E591BC7">
            <w:pPr>
              <w:jc w:val="left"/>
            </w:pPr>
            <w:r>
              <w:rPr>
                <w:rFonts w:ascii="Arial" w:hAnsi="Arial" w:eastAsia="Arial" w:cs="Arial"/>
                <w:b/>
                <w:bCs/>
                <w:color w:val="444444"/>
                <w:sz w:val="20"/>
                <w:szCs w:val="20"/>
              </w:rPr>
              <w:t>Build del frontend</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11110C7F">
            <w:pPr>
              <w:jc w:val="left"/>
            </w:pPr>
            <w:r>
              <w:rPr>
                <w:rFonts w:ascii="Arial" w:hAnsi="Arial" w:eastAsia="Arial" w:cs="Arial"/>
                <w:b w:val="0"/>
                <w:bCs w:val="0"/>
                <w:color w:val="444444"/>
                <w:sz w:val="20"/>
                <w:szCs w:val="20"/>
              </w:rPr>
              <w:t>Instala dependencias y genera el bundle de producción de la SPA</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0B309398">
            <w:pPr>
              <w:jc w:val="left"/>
            </w:pPr>
            <w:r>
              <w:rPr>
                <w:rFonts w:ascii="Arial" w:hAnsi="Arial" w:eastAsia="Arial" w:cs="Arial"/>
                <w:b w:val="0"/>
                <w:bCs w:val="0"/>
                <w:color w:val="444444"/>
                <w:sz w:val="20"/>
                <w:szCs w:val="20"/>
              </w:rPr>
              <w:t>Node.js 22 / npm</w:t>
            </w:r>
          </w:p>
        </w:tc>
      </w:tr>
      <w:tr w14:paraId="4A261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50B1C4">
            <w:pPr>
              <w:jc w:val="center"/>
            </w:pPr>
            <w:r>
              <w:rPr>
                <w:rFonts w:ascii="Arial" w:hAnsi="Arial" w:eastAsia="Arial" w:cs="Arial"/>
                <w:b/>
                <w:bCs/>
                <w:color w:val="444444"/>
                <w:sz w:val="20"/>
                <w:szCs w:val="20"/>
              </w:rPr>
              <w:t>4</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B9D921">
            <w:pPr>
              <w:jc w:val="left"/>
            </w:pPr>
            <w:r>
              <w:rPr>
                <w:rFonts w:ascii="Arial" w:hAnsi="Arial" w:eastAsia="Arial" w:cs="Arial"/>
                <w:b/>
                <w:bCs/>
                <w:color w:val="444444"/>
                <w:sz w:val="20"/>
                <w:szCs w:val="20"/>
              </w:rPr>
              <w:t>Build de imágenes Docker</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21CE1A">
            <w:pPr>
              <w:jc w:val="left"/>
            </w:pPr>
            <w:r>
              <w:rPr>
                <w:rFonts w:ascii="Arial" w:hAnsi="Arial" w:eastAsia="Arial" w:cs="Arial"/>
                <w:b w:val="0"/>
                <w:bCs w:val="0"/>
                <w:color w:val="444444"/>
                <w:sz w:val="20"/>
                <w:szCs w:val="20"/>
              </w:rPr>
              <w:t>Construye las imágenes del frontend y backend con tag inmutable</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86B1D8">
            <w:pPr>
              <w:jc w:val="left"/>
            </w:pPr>
            <w:r>
              <w:rPr>
                <w:rFonts w:ascii="Arial" w:hAnsi="Arial" w:eastAsia="Arial" w:cs="Arial"/>
                <w:b w:val="0"/>
                <w:bCs w:val="0"/>
                <w:color w:val="444444"/>
                <w:sz w:val="20"/>
                <w:szCs w:val="20"/>
              </w:rPr>
              <w:t>Docker CLI</w:t>
            </w:r>
          </w:p>
        </w:tc>
      </w:tr>
      <w:tr w14:paraId="1595F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5625A115">
            <w:pPr>
              <w:jc w:val="center"/>
            </w:pPr>
            <w:r>
              <w:rPr>
                <w:rFonts w:ascii="Arial" w:hAnsi="Arial" w:eastAsia="Arial" w:cs="Arial"/>
                <w:b/>
                <w:bCs/>
                <w:color w:val="444444"/>
                <w:sz w:val="20"/>
                <w:szCs w:val="20"/>
              </w:rPr>
              <w:t>5</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0EBC4F50">
            <w:pPr>
              <w:jc w:val="left"/>
            </w:pPr>
            <w:r>
              <w:rPr>
                <w:rFonts w:ascii="Arial" w:hAnsi="Arial" w:eastAsia="Arial" w:cs="Arial"/>
                <w:b/>
                <w:bCs/>
                <w:color w:val="444444"/>
                <w:sz w:val="20"/>
                <w:szCs w:val="20"/>
              </w:rPr>
              <w:t>Push al registry</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0169C4A2">
            <w:pPr>
              <w:jc w:val="left"/>
            </w:pPr>
            <w:r>
              <w:rPr>
                <w:rFonts w:ascii="Arial" w:hAnsi="Arial" w:eastAsia="Arial" w:cs="Arial"/>
                <w:b w:val="0"/>
                <w:bCs w:val="0"/>
                <w:color w:val="444444"/>
                <w:sz w:val="20"/>
                <w:szCs w:val="20"/>
              </w:rPr>
              <w:t>Publica las imágenes en Docker Hub bajo el namespace gjrbdev (condicional: PUSH_IMAGES)</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27E6A3D2">
            <w:pPr>
              <w:jc w:val="left"/>
            </w:pPr>
            <w:r>
              <w:rPr>
                <w:rFonts w:ascii="Arial" w:hAnsi="Arial" w:eastAsia="Arial" w:cs="Arial"/>
                <w:b w:val="0"/>
                <w:bCs w:val="0"/>
                <w:color w:val="444444"/>
                <w:sz w:val="20"/>
                <w:szCs w:val="20"/>
              </w:rPr>
              <w:t>Docker Hub</w:t>
            </w:r>
          </w:p>
        </w:tc>
      </w:tr>
      <w:tr w14:paraId="13FDF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9930DF">
            <w:pPr>
              <w:jc w:val="center"/>
            </w:pPr>
            <w:r>
              <w:rPr>
                <w:rFonts w:ascii="Arial" w:hAnsi="Arial" w:eastAsia="Arial" w:cs="Arial"/>
                <w:b/>
                <w:bCs/>
                <w:color w:val="444444"/>
                <w:sz w:val="20"/>
                <w:szCs w:val="20"/>
              </w:rPr>
              <w:t>6</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CABAFC">
            <w:pPr>
              <w:jc w:val="left"/>
            </w:pPr>
            <w:r>
              <w:rPr>
                <w:rFonts w:ascii="Arial" w:hAnsi="Arial" w:eastAsia="Arial" w:cs="Arial"/>
                <w:b/>
                <w:bCs/>
                <w:color w:val="444444"/>
                <w:sz w:val="20"/>
                <w:szCs w:val="20"/>
              </w:rPr>
              <w:t>Bootstrap de infraestructura</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880427">
            <w:pPr>
              <w:jc w:val="left"/>
            </w:pPr>
            <w:r>
              <w:rPr>
                <w:rFonts w:ascii="Arial" w:hAnsi="Arial" w:eastAsia="Arial" w:cs="Arial"/>
                <w:b w:val="0"/>
                <w:bCs w:val="0"/>
                <w:color w:val="444444"/>
                <w:sz w:val="20"/>
                <w:szCs w:val="20"/>
              </w:rPr>
              <w:t>Crea Key Vault y PostgreSQL con terraform apply -target antes del apply completo</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D7933A">
            <w:pPr>
              <w:jc w:val="left"/>
            </w:pPr>
            <w:r>
              <w:rPr>
                <w:rFonts w:ascii="Arial" w:hAnsi="Arial" w:eastAsia="Arial" w:cs="Arial"/>
                <w:b w:val="0"/>
                <w:bCs w:val="0"/>
                <w:color w:val="444444"/>
                <w:sz w:val="20"/>
                <w:szCs w:val="20"/>
              </w:rPr>
              <w:t>Terraform + Azure CLI</w:t>
            </w:r>
          </w:p>
        </w:tc>
      </w:tr>
      <w:tr w14:paraId="22018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61E63A47">
            <w:pPr>
              <w:jc w:val="center"/>
            </w:pPr>
            <w:r>
              <w:rPr>
                <w:rFonts w:ascii="Arial" w:hAnsi="Arial" w:eastAsia="Arial" w:cs="Arial"/>
                <w:b/>
                <w:bCs/>
                <w:color w:val="444444"/>
                <w:sz w:val="20"/>
                <w:szCs w:val="20"/>
              </w:rPr>
              <w:t>7</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750FE43B">
            <w:pPr>
              <w:jc w:val="left"/>
            </w:pPr>
            <w:r>
              <w:rPr>
                <w:rFonts w:ascii="Arial" w:hAnsi="Arial" w:eastAsia="Arial" w:cs="Arial"/>
                <w:b/>
                <w:bCs/>
                <w:color w:val="444444"/>
                <w:sz w:val="20"/>
                <w:szCs w:val="20"/>
              </w:rPr>
              <w:t>Carga de secretos</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5C3538DF">
            <w:pPr>
              <w:jc w:val="left"/>
            </w:pPr>
            <w:r>
              <w:rPr>
                <w:rFonts w:ascii="Arial" w:hAnsi="Arial" w:eastAsia="Arial" w:cs="Arial"/>
                <w:b w:val="0"/>
                <w:bCs w:val="0"/>
                <w:color w:val="444444"/>
                <w:sz w:val="20"/>
                <w:szCs w:val="20"/>
              </w:rPr>
              <w:t>Inyecta los secretos operativos en Key Vault mediante az keyvault secret set</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2E59B03C">
            <w:pPr>
              <w:jc w:val="left"/>
            </w:pPr>
            <w:r>
              <w:rPr>
                <w:rFonts w:ascii="Arial" w:hAnsi="Arial" w:eastAsia="Arial" w:cs="Arial"/>
                <w:b w:val="0"/>
                <w:bCs w:val="0"/>
                <w:color w:val="444444"/>
                <w:sz w:val="20"/>
                <w:szCs w:val="20"/>
              </w:rPr>
              <w:t>Azure CLI</w:t>
            </w:r>
          </w:p>
        </w:tc>
      </w:tr>
      <w:tr w14:paraId="1F5CF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A8CEDC">
            <w:pPr>
              <w:jc w:val="center"/>
            </w:pPr>
            <w:r>
              <w:rPr>
                <w:rFonts w:ascii="Arial" w:hAnsi="Arial" w:eastAsia="Arial" w:cs="Arial"/>
                <w:b/>
                <w:bCs/>
                <w:color w:val="444444"/>
                <w:sz w:val="20"/>
                <w:szCs w:val="20"/>
              </w:rPr>
              <w:t>8</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7616E2">
            <w:pPr>
              <w:jc w:val="left"/>
            </w:pPr>
            <w:r>
              <w:rPr>
                <w:rFonts w:ascii="Arial" w:hAnsi="Arial" w:eastAsia="Arial" w:cs="Arial"/>
                <w:b/>
                <w:bCs/>
                <w:color w:val="444444"/>
                <w:sz w:val="20"/>
                <w:szCs w:val="20"/>
              </w:rPr>
              <w:t>Terraform plan</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920A8C">
            <w:pPr>
              <w:jc w:val="left"/>
            </w:pPr>
            <w:r>
              <w:rPr>
                <w:rFonts w:ascii="Arial" w:hAnsi="Arial" w:eastAsia="Arial" w:cs="Arial"/>
                <w:b w:val="0"/>
                <w:bCs w:val="0"/>
                <w:color w:val="444444"/>
                <w:sz w:val="20"/>
                <w:szCs w:val="20"/>
              </w:rPr>
              <w:t>Genera el plan de cambios sobre el ambiente objetivo y lo muestra en el log</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176BEB">
            <w:pPr>
              <w:jc w:val="left"/>
            </w:pPr>
            <w:r>
              <w:rPr>
                <w:rFonts w:ascii="Arial" w:hAnsi="Arial" w:eastAsia="Arial" w:cs="Arial"/>
                <w:b w:val="0"/>
                <w:bCs w:val="0"/>
                <w:color w:val="444444"/>
                <w:sz w:val="20"/>
                <w:szCs w:val="20"/>
              </w:rPr>
              <w:t>Terraform</w:t>
            </w:r>
          </w:p>
        </w:tc>
      </w:tr>
      <w:tr w14:paraId="0733B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76E9C648">
            <w:pPr>
              <w:jc w:val="center"/>
            </w:pPr>
            <w:r>
              <w:rPr>
                <w:rFonts w:ascii="Arial" w:hAnsi="Arial" w:eastAsia="Arial" w:cs="Arial"/>
                <w:b/>
                <w:bCs/>
                <w:color w:val="444444"/>
                <w:sz w:val="20"/>
                <w:szCs w:val="20"/>
              </w:rPr>
              <w:t>9</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28A46671">
            <w:pPr>
              <w:jc w:val="left"/>
            </w:pPr>
            <w:r>
              <w:rPr>
                <w:rFonts w:ascii="Arial" w:hAnsi="Arial" w:eastAsia="Arial" w:cs="Arial"/>
                <w:b/>
                <w:bCs/>
                <w:color w:val="444444"/>
                <w:sz w:val="20"/>
                <w:szCs w:val="20"/>
              </w:rPr>
              <w:t>Terraform apply</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48C1CE2D">
            <w:pPr>
              <w:jc w:val="left"/>
            </w:pPr>
            <w:r>
              <w:rPr>
                <w:rFonts w:ascii="Arial" w:hAnsi="Arial" w:eastAsia="Arial" w:cs="Arial"/>
                <w:b w:val="0"/>
                <w:bCs w:val="0"/>
                <w:color w:val="444444"/>
                <w:sz w:val="20"/>
                <w:szCs w:val="20"/>
              </w:rPr>
              <w:t>Aplica los cambios: despliega o actualiza Container Apps, PostgreSQL, Key Vault y dependencias</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39D8ADAB">
            <w:pPr>
              <w:jc w:val="left"/>
            </w:pPr>
            <w:r>
              <w:rPr>
                <w:rFonts w:ascii="Arial" w:hAnsi="Arial" w:eastAsia="Arial" w:cs="Arial"/>
                <w:b w:val="0"/>
                <w:bCs w:val="0"/>
                <w:color w:val="444444"/>
                <w:sz w:val="20"/>
                <w:szCs w:val="20"/>
              </w:rPr>
              <w:t>Terraform</w:t>
            </w:r>
          </w:p>
        </w:tc>
      </w:tr>
      <w:tr w14:paraId="4F49E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C1DA49">
            <w:pPr>
              <w:jc w:val="center"/>
            </w:pPr>
            <w:r>
              <w:rPr>
                <w:rFonts w:ascii="Arial" w:hAnsi="Arial" w:eastAsia="Arial" w:cs="Arial"/>
                <w:b/>
                <w:bCs/>
                <w:color w:val="444444"/>
                <w:sz w:val="20"/>
                <w:szCs w:val="20"/>
              </w:rPr>
              <w:t>10</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D8FFA0">
            <w:pPr>
              <w:jc w:val="left"/>
            </w:pPr>
            <w:r>
              <w:rPr>
                <w:rFonts w:ascii="Arial" w:hAnsi="Arial" w:eastAsia="Arial" w:cs="Arial"/>
                <w:b/>
                <w:bCs/>
                <w:color w:val="444444"/>
                <w:sz w:val="20"/>
                <w:szCs w:val="20"/>
              </w:rPr>
              <w:t>Validación (smoke test)</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CC769E">
            <w:pPr>
              <w:jc w:val="left"/>
            </w:pPr>
            <w:r>
              <w:rPr>
                <w:rFonts w:ascii="Arial" w:hAnsi="Arial" w:eastAsia="Arial" w:cs="Arial"/>
                <w:b w:val="0"/>
                <w:bCs w:val="0"/>
                <w:color w:val="444444"/>
                <w:sz w:val="20"/>
                <w:szCs w:val="20"/>
              </w:rPr>
              <w:t>Verifica que las revisiones de frontend y backend quedaron activas y responden</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93BC83">
            <w:pPr>
              <w:jc w:val="left"/>
            </w:pPr>
            <w:r>
              <w:rPr>
                <w:rFonts w:ascii="Arial" w:hAnsi="Arial" w:eastAsia="Arial" w:cs="Arial"/>
                <w:b w:val="0"/>
                <w:bCs w:val="0"/>
                <w:color w:val="444444"/>
                <w:sz w:val="20"/>
                <w:szCs w:val="20"/>
              </w:rPr>
              <w:t>Azure CLI</w:t>
            </w:r>
          </w:p>
        </w:tc>
      </w:tr>
    </w:tbl>
    <w:p w14:paraId="3BF05E50">
      <w:pPr>
        <w:spacing w:before="80" w:after="80"/>
      </w:pPr>
    </w:p>
    <w:p w14:paraId="5C85E065">
      <w:pPr>
        <w:pStyle w:val="3"/>
        <w:spacing w:before="240" w:after="80"/>
      </w:pPr>
      <w:r>
        <w:rPr>
          <w:rFonts w:ascii="Arial" w:hAnsi="Arial" w:eastAsia="Arial" w:cs="Arial"/>
          <w:b/>
          <w:bCs/>
          <w:color w:val="2E75B6"/>
          <w:sz w:val="26"/>
          <w:szCs w:val="26"/>
        </w:rPr>
        <w:t>3.5 Parámetros del Pipeline</w:t>
      </w:r>
    </w:p>
    <w:p w14:paraId="7E66F80A">
      <w:pPr>
        <w:spacing w:before="60" w:after="100"/>
        <w:jc w:val="both"/>
      </w:pPr>
      <w:r>
        <w:rPr>
          <w:rFonts w:ascii="Arial" w:hAnsi="Arial" w:eastAsia="Arial" w:cs="Arial"/>
          <w:color w:val="444444"/>
          <w:sz w:val="22"/>
          <w:szCs w:val="22"/>
        </w:rPr>
        <w:t>El job de Jenkins es parametrizable, lo que permite ejecutar el mismo Jenkinsfile sobre cualquier ambiente sin modificar el código:</w:t>
      </w:r>
    </w:p>
    <w:p w14:paraId="485DC89B">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85"/>
        <w:gridCol w:w="1933"/>
        <w:gridCol w:w="4642"/>
      </w:tblGrid>
      <w:tr w14:paraId="42A94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2E75B6" w:sz="0" w:space="0"/>
              <w:left w:val="single" w:color="2E75B6" w:sz="0" w:space="0"/>
              <w:bottom w:val="single" w:color="2E75B6" w:sz="0" w:space="0"/>
              <w:right w:val="single" w:color="2E75B6" w:sz="0" w:space="0"/>
            </w:tcBorders>
            <w:shd w:val="clear" w:color="auto" w:fill="2E75B6"/>
            <w:tcMar>
              <w:top w:w="100" w:type="dxa"/>
              <w:left w:w="120" w:type="dxa"/>
              <w:bottom w:w="100" w:type="dxa"/>
              <w:right w:w="120" w:type="dxa"/>
            </w:tcMar>
          </w:tcPr>
          <w:p w14:paraId="45F09AF7">
            <w:pPr>
              <w:jc w:val="center"/>
            </w:pPr>
            <w:r>
              <w:rPr>
                <w:rFonts w:ascii="Arial" w:hAnsi="Arial" w:eastAsia="Arial" w:cs="Arial"/>
                <w:b/>
                <w:bCs/>
                <w:color w:val="FFFFFF"/>
                <w:sz w:val="20"/>
                <w:szCs w:val="20"/>
              </w:rPr>
              <w:t>Parámetro</w:t>
            </w:r>
          </w:p>
        </w:tc>
        <w:tc>
          <w:tcPr>
            <w:tcBorders>
              <w:top w:val="single" w:color="2E75B6" w:sz="0" w:space="0"/>
              <w:left w:val="single" w:color="2E75B6" w:sz="0" w:space="0"/>
              <w:bottom w:val="single" w:color="2E75B6" w:sz="0" w:space="0"/>
              <w:right w:val="single" w:color="2E75B6" w:sz="0" w:space="0"/>
            </w:tcBorders>
            <w:shd w:val="clear" w:color="auto" w:fill="2E75B6"/>
            <w:tcMar>
              <w:top w:w="100" w:type="dxa"/>
              <w:left w:w="120" w:type="dxa"/>
              <w:bottom w:w="100" w:type="dxa"/>
              <w:right w:w="120" w:type="dxa"/>
            </w:tcMar>
          </w:tcPr>
          <w:p w14:paraId="03AE9FDE">
            <w:pPr>
              <w:jc w:val="center"/>
            </w:pPr>
            <w:r>
              <w:rPr>
                <w:rFonts w:ascii="Arial" w:hAnsi="Arial" w:eastAsia="Arial" w:cs="Arial"/>
                <w:b/>
                <w:bCs/>
                <w:color w:val="FFFFFF"/>
                <w:sz w:val="20"/>
                <w:szCs w:val="20"/>
              </w:rPr>
              <w:t>Valor de ejemplo</w:t>
            </w:r>
          </w:p>
        </w:tc>
        <w:tc>
          <w:tcPr>
            <w:tcBorders>
              <w:top w:val="single" w:color="2E75B6" w:sz="0" w:space="0"/>
              <w:left w:val="single" w:color="2E75B6" w:sz="0" w:space="0"/>
              <w:bottom w:val="single" w:color="2E75B6" w:sz="0" w:space="0"/>
              <w:right w:val="single" w:color="2E75B6" w:sz="0" w:space="0"/>
            </w:tcBorders>
            <w:shd w:val="clear" w:color="auto" w:fill="2E75B6"/>
            <w:tcMar>
              <w:top w:w="100" w:type="dxa"/>
              <w:left w:w="120" w:type="dxa"/>
              <w:bottom w:w="100" w:type="dxa"/>
              <w:right w:w="120" w:type="dxa"/>
            </w:tcMar>
          </w:tcPr>
          <w:p w14:paraId="21EC9C3A">
            <w:pPr>
              <w:jc w:val="center"/>
            </w:pPr>
            <w:r>
              <w:rPr>
                <w:rFonts w:ascii="Arial" w:hAnsi="Arial" w:eastAsia="Arial" w:cs="Arial"/>
                <w:b/>
                <w:bCs/>
                <w:color w:val="FFFFFF"/>
                <w:sz w:val="20"/>
                <w:szCs w:val="20"/>
              </w:rPr>
              <w:t>Descripción</w:t>
            </w:r>
          </w:p>
        </w:tc>
      </w:tr>
      <w:tr w14:paraId="1F423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266C6BD4">
            <w:r>
              <w:rPr>
                <w:rFonts w:ascii="Arial" w:hAnsi="Arial" w:eastAsia="Arial" w:cs="Arial"/>
                <w:b/>
                <w:bCs/>
                <w:i w:val="0"/>
                <w:iCs w:val="0"/>
                <w:color w:val="444444"/>
                <w:sz w:val="20"/>
                <w:szCs w:val="20"/>
              </w:rPr>
              <w:t>ENVIRONMENT</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63B0ACA1">
            <w:r>
              <w:rPr>
                <w:rFonts w:ascii="Arial" w:hAnsi="Arial" w:eastAsia="Arial" w:cs="Arial"/>
                <w:b w:val="0"/>
                <w:bCs w:val="0"/>
                <w:i/>
                <w:iCs/>
                <w:color w:val="444444"/>
                <w:sz w:val="20"/>
                <w:szCs w:val="20"/>
              </w:rPr>
              <w:t>dev / test / prod</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2E396801">
            <w:r>
              <w:rPr>
                <w:rFonts w:ascii="Arial" w:hAnsi="Arial" w:eastAsia="Arial" w:cs="Arial"/>
                <w:b w:val="0"/>
                <w:bCs w:val="0"/>
                <w:i w:val="0"/>
                <w:iCs w:val="0"/>
                <w:color w:val="444444"/>
                <w:sz w:val="20"/>
                <w:szCs w:val="20"/>
              </w:rPr>
              <w:t>Ambiente objetivo del despliegue</w:t>
            </w:r>
          </w:p>
        </w:tc>
      </w:tr>
      <w:tr w14:paraId="4CEE5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612C5B82">
            <w:r>
              <w:rPr>
                <w:rFonts w:ascii="Arial" w:hAnsi="Arial" w:eastAsia="Arial" w:cs="Arial"/>
                <w:b/>
                <w:bCs/>
                <w:i w:val="0"/>
                <w:iCs w:val="0"/>
                <w:color w:val="444444"/>
                <w:sz w:val="20"/>
                <w:szCs w:val="20"/>
              </w:rPr>
              <w:t>TERRAFORM_ACTION</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E8563F">
            <w:r>
              <w:rPr>
                <w:rFonts w:ascii="Arial" w:hAnsi="Arial" w:eastAsia="Arial" w:cs="Arial"/>
                <w:b w:val="0"/>
                <w:bCs w:val="0"/>
                <w:i/>
                <w:iCs/>
                <w:color w:val="444444"/>
                <w:sz w:val="20"/>
                <w:szCs w:val="20"/>
              </w:rPr>
              <w:t>apply / plan</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04C862">
            <w:r>
              <w:rPr>
                <w:rFonts w:ascii="Arial" w:hAnsi="Arial" w:eastAsia="Arial" w:cs="Arial"/>
                <w:b w:val="0"/>
                <w:bCs w:val="0"/>
                <w:i w:val="0"/>
                <w:iCs w:val="0"/>
                <w:color w:val="444444"/>
                <w:sz w:val="20"/>
                <w:szCs w:val="20"/>
              </w:rPr>
              <w:t>Acción de Terraform a ejecutar</w:t>
            </w:r>
          </w:p>
        </w:tc>
      </w:tr>
      <w:tr w14:paraId="0F65D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05A2D342">
            <w:r>
              <w:rPr>
                <w:rFonts w:ascii="Arial" w:hAnsi="Arial" w:eastAsia="Arial" w:cs="Arial"/>
                <w:b/>
                <w:bCs/>
                <w:i w:val="0"/>
                <w:iCs w:val="0"/>
                <w:color w:val="444444"/>
                <w:sz w:val="20"/>
                <w:szCs w:val="20"/>
              </w:rPr>
              <w:t>PUSH_IMAGES</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769F9351">
            <w:r>
              <w:rPr>
                <w:rFonts w:ascii="Arial" w:hAnsi="Arial" w:eastAsia="Arial" w:cs="Arial"/>
                <w:b w:val="0"/>
                <w:bCs w:val="0"/>
                <w:i/>
                <w:iCs/>
                <w:color w:val="444444"/>
                <w:sz w:val="20"/>
                <w:szCs w:val="20"/>
              </w:rPr>
              <w:t>true / false</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0EB1AAAD">
            <w:r>
              <w:rPr>
                <w:rFonts w:ascii="Arial" w:hAnsi="Arial" w:eastAsia="Arial" w:cs="Arial"/>
                <w:b w:val="0"/>
                <w:bCs w:val="0"/>
                <w:i w:val="0"/>
                <w:iCs w:val="0"/>
                <w:color w:val="444444"/>
                <w:sz w:val="20"/>
                <w:szCs w:val="20"/>
              </w:rPr>
              <w:t>Controla si se publican las imágenes al registry</w:t>
            </w:r>
          </w:p>
        </w:tc>
      </w:tr>
      <w:tr w14:paraId="7F174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1EEEF463">
            <w:r>
              <w:rPr>
                <w:rFonts w:ascii="Arial" w:hAnsi="Arial" w:eastAsia="Arial" w:cs="Arial"/>
                <w:b/>
                <w:bCs/>
                <w:i w:val="0"/>
                <w:iCs w:val="0"/>
                <w:color w:val="444444"/>
                <w:sz w:val="20"/>
                <w:szCs w:val="20"/>
              </w:rPr>
              <w:t>REGISTRY_SERVER</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C0A586">
            <w:r>
              <w:rPr>
                <w:rFonts w:ascii="Arial" w:hAnsi="Arial" w:eastAsia="Arial" w:cs="Arial"/>
                <w:b w:val="0"/>
                <w:bCs w:val="0"/>
                <w:i/>
                <w:iCs/>
                <w:color w:val="444444"/>
                <w:sz w:val="20"/>
                <w:szCs w:val="20"/>
              </w:rPr>
              <w:t>docker.io</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A2DEAA">
            <w:r>
              <w:rPr>
                <w:rFonts w:ascii="Arial" w:hAnsi="Arial" w:eastAsia="Arial" w:cs="Arial"/>
                <w:b w:val="0"/>
                <w:bCs w:val="0"/>
                <w:i w:val="0"/>
                <w:iCs w:val="0"/>
                <w:color w:val="444444"/>
                <w:sz w:val="20"/>
                <w:szCs w:val="20"/>
              </w:rPr>
              <w:t>Servidor del registry de contenedores</w:t>
            </w:r>
          </w:p>
        </w:tc>
      </w:tr>
      <w:tr w14:paraId="53EC0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7DFF8E9B">
            <w:r>
              <w:rPr>
                <w:rFonts w:ascii="Arial" w:hAnsi="Arial" w:eastAsia="Arial" w:cs="Arial"/>
                <w:b/>
                <w:bCs/>
                <w:i w:val="0"/>
                <w:iCs w:val="0"/>
                <w:color w:val="444444"/>
                <w:sz w:val="20"/>
                <w:szCs w:val="20"/>
              </w:rPr>
              <w:t>REGISTRY_NAMESPACE</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4F2FF6D4">
            <w:r>
              <w:rPr>
                <w:rFonts w:ascii="Arial" w:hAnsi="Arial" w:eastAsia="Arial" w:cs="Arial"/>
                <w:b w:val="0"/>
                <w:bCs w:val="0"/>
                <w:i/>
                <w:iCs/>
                <w:color w:val="444444"/>
                <w:sz w:val="20"/>
                <w:szCs w:val="20"/>
              </w:rPr>
              <w:t>gjrbdev</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00C34D22">
            <w:r>
              <w:rPr>
                <w:rFonts w:ascii="Arial" w:hAnsi="Arial" w:eastAsia="Arial" w:cs="Arial"/>
                <w:b w:val="0"/>
                <w:bCs w:val="0"/>
                <w:i w:val="0"/>
                <w:iCs w:val="0"/>
                <w:color w:val="444444"/>
                <w:sz w:val="20"/>
                <w:szCs w:val="20"/>
              </w:rPr>
              <w:t>Namespace o usuario del registry</w:t>
            </w:r>
          </w:p>
        </w:tc>
      </w:tr>
    </w:tbl>
    <w:p w14:paraId="041CA10F">
      <w:pPr>
        <w:spacing w:before="80" w:after="80"/>
      </w:pPr>
    </w:p>
    <w:p w14:paraId="274C5685">
      <w:pPr>
        <w:pStyle w:val="3"/>
        <w:spacing w:before="240" w:after="80"/>
      </w:pPr>
      <w:r>
        <w:rPr>
          <w:rFonts w:ascii="Arial" w:hAnsi="Arial" w:eastAsia="Arial" w:cs="Arial"/>
          <w:b/>
          <w:bCs/>
          <w:color w:val="2E75B6"/>
          <w:sz w:val="26"/>
          <w:szCs w:val="26"/>
        </w:rPr>
        <w:t>3.6 Credenciales y Secretos del Pipeline</w:t>
      </w:r>
    </w:p>
    <w:p w14:paraId="52E81C76">
      <w:pPr>
        <w:spacing w:before="60" w:after="100"/>
        <w:jc w:val="both"/>
      </w:pPr>
      <w:r>
        <w:rPr>
          <w:rFonts w:ascii="Arial" w:hAnsi="Arial" w:eastAsia="Arial" w:cs="Arial"/>
          <w:color w:val="444444"/>
          <w:sz w:val="22"/>
          <w:szCs w:val="22"/>
        </w:rPr>
        <w:t>Jenkins gestiona todas las credenciales mediante su almacén interno de credenciales, sin exponerlas en el Jenkinsfile ni en el repositorio. Las credenciales configuradas cubren tres categorías:</w:t>
      </w:r>
    </w:p>
    <w:p w14:paraId="4CEA80D0">
      <w:pPr>
        <w:spacing w:before="80" w:after="80"/>
      </w:pPr>
    </w:p>
    <w:p w14:paraId="75A1EB42">
      <w:pPr>
        <w:pStyle w:val="4"/>
        <w:spacing w:before="160" w:after="60"/>
      </w:pPr>
      <w:r>
        <w:rPr>
          <w:rFonts w:ascii="Arial" w:hAnsi="Arial" w:eastAsia="Arial" w:cs="Arial"/>
          <w:b/>
          <w:bCs/>
          <w:color w:val="444444"/>
          <w:sz w:val="24"/>
          <w:szCs w:val="24"/>
        </w:rPr>
        <w:t>Credenciales de Azure (service principal)</w:t>
      </w:r>
    </w:p>
    <w:p w14:paraId="31615911">
      <w:pPr>
        <w:pStyle w:val="16"/>
        <w:numPr>
          <w:ilvl w:val="0"/>
          <w:numId w:val="1"/>
        </w:numPr>
        <w:spacing w:before="40" w:after="40"/>
      </w:pPr>
      <w:r>
        <w:rPr>
          <w:rFonts w:ascii="Arial" w:hAnsi="Arial" w:eastAsia="Arial" w:cs="Arial"/>
          <w:color w:val="444444"/>
          <w:sz w:val="22"/>
          <w:szCs w:val="22"/>
        </w:rPr>
        <w:t>azure-client-id — identificador del service principal de Jenkins.</w:t>
      </w:r>
    </w:p>
    <w:p w14:paraId="46C3F931">
      <w:pPr>
        <w:pStyle w:val="16"/>
        <w:numPr>
          <w:ilvl w:val="0"/>
          <w:numId w:val="1"/>
        </w:numPr>
        <w:spacing w:before="40" w:after="40"/>
      </w:pPr>
      <w:r>
        <w:rPr>
          <w:rFonts w:ascii="Arial" w:hAnsi="Arial" w:eastAsia="Arial" w:cs="Arial"/>
          <w:color w:val="444444"/>
          <w:sz w:val="22"/>
          <w:szCs w:val="22"/>
        </w:rPr>
        <w:t>azure-client-secret — secreto del service principal.</w:t>
      </w:r>
    </w:p>
    <w:p w14:paraId="7F91E90F">
      <w:pPr>
        <w:pStyle w:val="16"/>
        <w:numPr>
          <w:ilvl w:val="0"/>
          <w:numId w:val="1"/>
        </w:numPr>
        <w:spacing w:before="40" w:after="40"/>
      </w:pPr>
      <w:r>
        <w:rPr>
          <w:rFonts w:ascii="Arial" w:hAnsi="Arial" w:eastAsia="Arial" w:cs="Arial"/>
          <w:color w:val="444444"/>
          <w:sz w:val="22"/>
          <w:szCs w:val="22"/>
        </w:rPr>
        <w:t>azure-subscription-id — suscripción de Azure objetivo.</w:t>
      </w:r>
    </w:p>
    <w:p w14:paraId="1F165BC2">
      <w:pPr>
        <w:pStyle w:val="16"/>
        <w:numPr>
          <w:ilvl w:val="0"/>
          <w:numId w:val="1"/>
        </w:numPr>
        <w:spacing w:before="40" w:after="40"/>
      </w:pPr>
      <w:r>
        <w:rPr>
          <w:rFonts w:ascii="Arial" w:hAnsi="Arial" w:eastAsia="Arial" w:cs="Arial"/>
          <w:color w:val="444444"/>
          <w:sz w:val="22"/>
          <w:szCs w:val="22"/>
        </w:rPr>
        <w:t>azure-tenant-id — tenant de Azure.</w:t>
      </w:r>
    </w:p>
    <w:p w14:paraId="12663F9E">
      <w:pPr>
        <w:spacing w:before="80" w:after="80"/>
      </w:pPr>
    </w:p>
    <w:p w14:paraId="4840F5D8">
      <w:pPr>
        <w:pStyle w:val="4"/>
        <w:spacing w:before="160" w:after="60"/>
      </w:pPr>
      <w:r>
        <w:rPr>
          <w:rFonts w:ascii="Arial" w:hAnsi="Arial" w:eastAsia="Arial" w:cs="Arial"/>
          <w:b/>
          <w:bCs/>
          <w:color w:val="444444"/>
          <w:sz w:val="24"/>
          <w:szCs w:val="24"/>
        </w:rPr>
        <w:t>Credenciales del registry de imágenes</w:t>
      </w:r>
    </w:p>
    <w:p w14:paraId="222E71B6">
      <w:pPr>
        <w:pStyle w:val="16"/>
        <w:numPr>
          <w:ilvl w:val="0"/>
          <w:numId w:val="1"/>
        </w:numPr>
        <w:spacing w:before="40" w:after="40"/>
      </w:pPr>
      <w:r>
        <w:rPr>
          <w:rFonts w:ascii="Arial" w:hAnsi="Arial" w:eastAsia="Arial" w:cs="Arial"/>
          <w:color w:val="444444"/>
          <w:sz w:val="22"/>
          <w:szCs w:val="22"/>
        </w:rPr>
        <w:t>ti-garantias-registry — usuario y contraseña para Docker Hub.</w:t>
      </w:r>
    </w:p>
    <w:p w14:paraId="78CDA913">
      <w:pPr>
        <w:spacing w:before="80" w:after="80"/>
      </w:pPr>
    </w:p>
    <w:p w14:paraId="47A0D817">
      <w:pPr>
        <w:pStyle w:val="4"/>
        <w:spacing w:before="160" w:after="60"/>
      </w:pPr>
      <w:r>
        <w:rPr>
          <w:rFonts w:ascii="Arial" w:hAnsi="Arial" w:eastAsia="Arial" w:cs="Arial"/>
          <w:b/>
          <w:bCs/>
          <w:color w:val="444444"/>
          <w:sz w:val="24"/>
          <w:szCs w:val="24"/>
        </w:rPr>
        <w:t>Credenciales por ambiente</w:t>
      </w:r>
    </w:p>
    <w:p w14:paraId="05DADE35">
      <w:pPr>
        <w:spacing w:before="60" w:after="100"/>
        <w:jc w:val="both"/>
      </w:pPr>
      <w:r>
        <w:rPr>
          <w:rFonts w:ascii="Arial" w:hAnsi="Arial" w:eastAsia="Arial" w:cs="Arial"/>
          <w:color w:val="444444"/>
          <w:sz w:val="22"/>
          <w:szCs w:val="22"/>
        </w:rPr>
        <w:t>Cada ambiente (dev, test, prod) cuenta con su propio conjunto de credenciales aisladas:</w:t>
      </w:r>
    </w:p>
    <w:p w14:paraId="0FE55BBC">
      <w:pPr>
        <w:pStyle w:val="16"/>
        <w:numPr>
          <w:ilvl w:val="0"/>
          <w:numId w:val="1"/>
        </w:numPr>
        <w:spacing w:before="40" w:after="40"/>
      </w:pPr>
      <w:r>
        <w:rPr>
          <w:rFonts w:ascii="Arial" w:hAnsi="Arial" w:eastAsia="Arial" w:cs="Arial"/>
          <w:color w:val="444444"/>
          <w:sz w:val="22"/>
          <w:szCs w:val="22"/>
        </w:rPr>
        <w:t>ti-garantias-{env}-pg-admin-password — contraseña del administrador de PostgreSQL.</w:t>
      </w:r>
    </w:p>
    <w:p w14:paraId="2AAC311D">
      <w:pPr>
        <w:pStyle w:val="16"/>
        <w:numPr>
          <w:ilvl w:val="0"/>
          <w:numId w:val="1"/>
        </w:numPr>
        <w:spacing w:before="40" w:after="40"/>
      </w:pPr>
      <w:r>
        <w:rPr>
          <w:rFonts w:ascii="Arial" w:hAnsi="Arial" w:eastAsia="Arial" w:cs="Arial"/>
          <w:color w:val="444444"/>
          <w:sz w:val="22"/>
          <w:szCs w:val="22"/>
        </w:rPr>
        <w:t>ti-garantias-{env}-jwt-secret — secreto para firma de tokens JWT.</w:t>
      </w:r>
    </w:p>
    <w:p w14:paraId="47077D9C">
      <w:pPr>
        <w:pStyle w:val="16"/>
        <w:numPr>
          <w:ilvl w:val="0"/>
          <w:numId w:val="1"/>
        </w:numPr>
        <w:spacing w:before="40" w:after="40"/>
      </w:pPr>
      <w:r>
        <w:rPr>
          <w:rFonts w:ascii="Arial" w:hAnsi="Arial" w:eastAsia="Arial" w:cs="Arial"/>
          <w:color w:val="444444"/>
          <w:sz w:val="22"/>
          <w:szCs w:val="22"/>
        </w:rPr>
        <w:t>ti-garantias-{env}-unique-suffix — sufijo único de nombres en Azure (tgd1 / tgt1 / tgp1).</w:t>
      </w:r>
    </w:p>
    <w:p w14:paraId="7B303AB0">
      <w:pPr>
        <w:pStyle w:val="16"/>
        <w:numPr>
          <w:ilvl w:val="0"/>
          <w:numId w:val="1"/>
        </w:numPr>
        <w:spacing w:before="40" w:after="40"/>
      </w:pPr>
      <w:r>
        <w:rPr>
          <w:rFonts w:ascii="Arial" w:hAnsi="Arial" w:eastAsia="Arial" w:cs="Arial"/>
          <w:color w:val="444444"/>
          <w:sz w:val="22"/>
          <w:szCs w:val="22"/>
        </w:rPr>
        <w:t>ti-garantias-{env}-smtp-password — contraseña SMTP (opcional, si el ambiente usa correo autenticado).</w:t>
      </w:r>
    </w:p>
    <w:p w14:paraId="42081E10">
      <w:pPr>
        <w:spacing w:before="80" w:after="80"/>
      </w:pPr>
    </w:p>
    <w:p w14:paraId="41292A6C">
      <w:pPr>
        <w:pStyle w:val="3"/>
        <w:spacing w:before="240" w:after="80"/>
      </w:pPr>
      <w:r>
        <w:rPr>
          <w:rFonts w:ascii="Arial" w:hAnsi="Arial" w:eastAsia="Arial" w:cs="Arial"/>
          <w:b/>
          <w:bCs/>
          <w:color w:val="2E75B6"/>
          <w:sz w:val="26"/>
          <w:szCs w:val="26"/>
        </w:rPr>
        <w:t>3.7 Variables de Entorno para el Backend Remoto</w:t>
      </w:r>
    </w:p>
    <w:p w14:paraId="30CF97ED">
      <w:pPr>
        <w:spacing w:before="60" w:after="100"/>
        <w:jc w:val="both"/>
      </w:pPr>
      <w:r>
        <w:rPr>
          <w:rFonts w:ascii="Arial" w:hAnsi="Arial" w:eastAsia="Arial" w:cs="Arial"/>
          <w:color w:val="444444"/>
          <w:sz w:val="22"/>
          <w:szCs w:val="22"/>
        </w:rPr>
        <w:t>Jenkins expone las siguientes variables de entorno para que Terraform pueda inicializar el backend remoto correctamente sin que los valores queden hardcodeados en el código:</w:t>
      </w:r>
    </w:p>
    <w:p w14:paraId="71CC2AF0">
      <w:pPr>
        <w:pStyle w:val="16"/>
        <w:numPr>
          <w:ilvl w:val="0"/>
          <w:numId w:val="1"/>
        </w:numPr>
        <w:spacing w:before="40" w:after="40"/>
      </w:pPr>
      <w:r>
        <w:rPr>
          <w:rFonts w:ascii="Arial" w:hAnsi="Arial" w:eastAsia="Arial" w:cs="Arial"/>
          <w:color w:val="444444"/>
          <w:sz w:val="22"/>
          <w:szCs w:val="22"/>
        </w:rPr>
        <w:t>TFSTATE_RESOURCE_GROUP — resource group donde reside el Storage Account del tfstate.</w:t>
      </w:r>
    </w:p>
    <w:p w14:paraId="1503401E">
      <w:pPr>
        <w:pStyle w:val="16"/>
        <w:numPr>
          <w:ilvl w:val="0"/>
          <w:numId w:val="1"/>
        </w:numPr>
        <w:spacing w:before="40" w:after="40"/>
      </w:pPr>
      <w:r>
        <w:rPr>
          <w:rFonts w:ascii="Arial" w:hAnsi="Arial" w:eastAsia="Arial" w:cs="Arial"/>
          <w:color w:val="444444"/>
          <w:sz w:val="22"/>
          <w:szCs w:val="22"/>
        </w:rPr>
        <w:t>TFSTATE_STORAGE_ACCOUNT — nombre de la cuenta de almacenamiento.</w:t>
      </w:r>
    </w:p>
    <w:p w14:paraId="27FA3023">
      <w:pPr>
        <w:pStyle w:val="16"/>
        <w:numPr>
          <w:ilvl w:val="0"/>
          <w:numId w:val="1"/>
        </w:numPr>
        <w:spacing w:before="40" w:after="40"/>
      </w:pPr>
      <w:r>
        <w:rPr>
          <w:rFonts w:ascii="Arial" w:hAnsi="Arial" w:eastAsia="Arial" w:cs="Arial"/>
          <w:color w:val="444444"/>
          <w:sz w:val="22"/>
          <w:szCs w:val="22"/>
        </w:rPr>
        <w:t>TFSTATE_CONTAINER — nombre del contenedor de blobs que aloja los archivos de estado.</w:t>
      </w:r>
    </w:p>
    <w:p w14:paraId="4C447D9D">
      <w:pPr>
        <w:spacing w:before="80" w:after="80"/>
      </w:pPr>
    </w:p>
    <w:p w14:paraId="5E099E1B">
      <w:pPr>
        <w:pStyle w:val="3"/>
        <w:spacing w:before="240" w:after="80"/>
      </w:pPr>
      <w:r>
        <w:rPr>
          <w:rFonts w:ascii="Arial" w:hAnsi="Arial" w:eastAsia="Arial" w:cs="Arial"/>
          <w:b/>
          <w:bCs/>
          <w:color w:val="2E75B6"/>
          <w:sz w:val="26"/>
          <w:szCs w:val="26"/>
        </w:rPr>
        <w:t>3.8 Permisos del Service Principal de Jenkins</w:t>
      </w:r>
    </w:p>
    <w:p w14:paraId="1EF0CFA8">
      <w:pPr>
        <w:spacing w:before="60" w:after="100"/>
        <w:jc w:val="both"/>
      </w:pPr>
      <w:r>
        <w:rPr>
          <w:rFonts w:ascii="Arial" w:hAnsi="Arial" w:eastAsia="Arial" w:cs="Arial"/>
          <w:color w:val="444444"/>
          <w:sz w:val="22"/>
          <w:szCs w:val="22"/>
        </w:rPr>
        <w:t>El service principal utilizado por Jenkins requiere los siguientes permisos sobre la suscripción de Azure para poder ejecutar el pipeline de extremo a extremo:</w:t>
      </w:r>
    </w:p>
    <w:p w14:paraId="2DDFD5E1">
      <w:pPr>
        <w:pStyle w:val="16"/>
        <w:numPr>
          <w:ilvl w:val="0"/>
          <w:numId w:val="1"/>
        </w:numPr>
        <w:spacing w:before="40" w:after="40"/>
      </w:pPr>
      <w:r>
        <w:rPr>
          <w:rFonts w:ascii="Arial" w:hAnsi="Arial" w:eastAsia="Arial" w:cs="Arial"/>
          <w:color w:val="444444"/>
          <w:sz w:val="22"/>
          <w:szCs w:val="22"/>
        </w:rPr>
        <w:t>Administrar recursos ARM del proyecto (crear, actualizar y eliminar recursos en los resource groups objetivo).</w:t>
      </w:r>
    </w:p>
    <w:p w14:paraId="5B973675">
      <w:pPr>
        <w:pStyle w:val="16"/>
        <w:numPr>
          <w:ilvl w:val="0"/>
          <w:numId w:val="1"/>
        </w:numPr>
        <w:spacing w:before="40" w:after="40"/>
      </w:pPr>
      <w:r>
        <w:rPr>
          <w:rFonts w:ascii="Arial" w:hAnsi="Arial" w:eastAsia="Arial" w:cs="Arial"/>
          <w:color w:val="444444"/>
          <w:sz w:val="22"/>
          <w:szCs w:val="22"/>
        </w:rPr>
        <w:t>Escribir y leer secretos en Azure Key Vault.</w:t>
      </w:r>
    </w:p>
    <w:p w14:paraId="6F595A69">
      <w:pPr>
        <w:pStyle w:val="16"/>
        <w:numPr>
          <w:ilvl w:val="0"/>
          <w:numId w:val="1"/>
        </w:numPr>
        <w:spacing w:before="40" w:after="40"/>
      </w:pPr>
      <w:r>
        <w:rPr>
          <w:rFonts w:ascii="Arial" w:hAnsi="Arial" w:eastAsia="Arial" w:cs="Arial"/>
          <w:color w:val="444444"/>
          <w:sz w:val="22"/>
          <w:szCs w:val="22"/>
        </w:rPr>
        <w:t>Leer y actualizar el estado remoto de Terraform en Azure Storage.</w:t>
      </w:r>
    </w:p>
    <w:p w14:paraId="6375C3AC">
      <w:pPr>
        <w:pStyle w:val="16"/>
        <w:numPr>
          <w:ilvl w:val="0"/>
          <w:numId w:val="1"/>
        </w:numPr>
        <w:spacing w:before="40" w:after="40"/>
      </w:pPr>
      <w:r>
        <w:rPr>
          <w:rFonts w:ascii="Arial" w:hAnsi="Arial" w:eastAsia="Arial" w:cs="Arial"/>
          <w:color w:val="444444"/>
          <w:sz w:val="22"/>
          <w:szCs w:val="22"/>
        </w:rPr>
        <w:t>Crear role assignments sobre Key Vault durante el bootstrap — en la práctica esto requirió otorgar el rol User Access Administrator u Owner sobre el scope operativo del piloto.</w:t>
      </w:r>
    </w:p>
    <w:p w14:paraId="514B1208">
      <w:pPr>
        <w:spacing w:before="80" w:after="80"/>
      </w:pPr>
    </w:p>
    <w:p w14:paraId="795B4436">
      <w:pPr>
        <w:pStyle w:val="3"/>
        <w:spacing w:before="240" w:after="80"/>
      </w:pPr>
      <w:r>
        <w:rPr>
          <w:rFonts w:ascii="Arial" w:hAnsi="Arial" w:eastAsia="Arial" w:cs="Arial"/>
          <w:b/>
          <w:bCs/>
          <w:color w:val="2E75B6"/>
          <w:sz w:val="26"/>
          <w:szCs w:val="26"/>
        </w:rPr>
        <w:t>3.9 Flujo de Promoción Multiambiente</w:t>
      </w:r>
    </w:p>
    <w:p w14:paraId="137A8C34">
      <w:pPr>
        <w:spacing w:before="60" w:after="100"/>
        <w:jc w:val="both"/>
      </w:pPr>
      <w:r>
        <w:rPr>
          <w:rFonts w:ascii="Arial" w:hAnsi="Arial" w:eastAsia="Arial" w:cs="Arial"/>
          <w:color w:val="444444"/>
          <w:sz w:val="22"/>
          <w:szCs w:val="22"/>
        </w:rPr>
        <w:t>El diseño del pipeline permite promover el mismo artefacto (imágenes Docker con tag inmutable) a través de los ambientes siguiendo una secuencia controlada:</w:t>
      </w:r>
    </w:p>
    <w:p w14:paraId="478F1ED0">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87"/>
        <w:gridCol w:w="1421"/>
        <w:gridCol w:w="5399"/>
        <w:gridCol w:w="1653"/>
      </w:tblGrid>
      <w:tr w14:paraId="06497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2E75B6" w:sz="0" w:space="0"/>
              <w:left w:val="single" w:color="2E75B6" w:sz="0" w:space="0"/>
              <w:bottom w:val="single" w:color="2E75B6" w:sz="0" w:space="0"/>
              <w:right w:val="single" w:color="2E75B6" w:sz="0" w:space="0"/>
            </w:tcBorders>
            <w:shd w:val="clear" w:color="auto" w:fill="1F3864"/>
            <w:tcMar>
              <w:top w:w="100" w:type="dxa"/>
              <w:left w:w="120" w:type="dxa"/>
              <w:bottom w:w="100" w:type="dxa"/>
              <w:right w:w="120" w:type="dxa"/>
            </w:tcMar>
          </w:tcPr>
          <w:p w14:paraId="3F84F7A9">
            <w:pPr>
              <w:jc w:val="center"/>
            </w:pPr>
            <w:r>
              <w:rPr>
                <w:rFonts w:ascii="Arial" w:hAnsi="Arial" w:eastAsia="Arial" w:cs="Arial"/>
                <w:b/>
                <w:bCs/>
                <w:color w:val="FFFFFF"/>
                <w:sz w:val="20"/>
                <w:szCs w:val="20"/>
              </w:rPr>
              <w:t>Paso</w:t>
            </w:r>
          </w:p>
        </w:tc>
        <w:tc>
          <w:tcPr>
            <w:tcBorders>
              <w:top w:val="single" w:color="2E75B6" w:sz="0" w:space="0"/>
              <w:left w:val="single" w:color="2E75B6" w:sz="0" w:space="0"/>
              <w:bottom w:val="single" w:color="2E75B6" w:sz="0" w:space="0"/>
              <w:right w:val="single" w:color="2E75B6" w:sz="0" w:space="0"/>
            </w:tcBorders>
            <w:shd w:val="clear" w:color="auto" w:fill="1F3864"/>
            <w:tcMar>
              <w:top w:w="100" w:type="dxa"/>
              <w:left w:w="120" w:type="dxa"/>
              <w:bottom w:w="100" w:type="dxa"/>
              <w:right w:w="120" w:type="dxa"/>
            </w:tcMar>
          </w:tcPr>
          <w:p w14:paraId="060BDCC6">
            <w:pPr>
              <w:jc w:val="center"/>
            </w:pPr>
            <w:r>
              <w:rPr>
                <w:rFonts w:ascii="Arial" w:hAnsi="Arial" w:eastAsia="Arial" w:cs="Arial"/>
                <w:b/>
                <w:bCs/>
                <w:color w:val="FFFFFF"/>
                <w:sz w:val="20"/>
                <w:szCs w:val="20"/>
              </w:rPr>
              <w:t>Ambiente</w:t>
            </w:r>
          </w:p>
        </w:tc>
        <w:tc>
          <w:tcPr>
            <w:tcBorders>
              <w:top w:val="single" w:color="2E75B6" w:sz="0" w:space="0"/>
              <w:left w:val="single" w:color="2E75B6" w:sz="0" w:space="0"/>
              <w:bottom w:val="single" w:color="2E75B6" w:sz="0" w:space="0"/>
              <w:right w:val="single" w:color="2E75B6" w:sz="0" w:space="0"/>
            </w:tcBorders>
            <w:shd w:val="clear" w:color="auto" w:fill="1F3864"/>
            <w:tcMar>
              <w:top w:w="100" w:type="dxa"/>
              <w:left w:w="120" w:type="dxa"/>
              <w:bottom w:w="100" w:type="dxa"/>
              <w:right w:w="120" w:type="dxa"/>
            </w:tcMar>
          </w:tcPr>
          <w:p w14:paraId="1120122C">
            <w:pPr>
              <w:jc w:val="center"/>
            </w:pPr>
            <w:r>
              <w:rPr>
                <w:rFonts w:ascii="Arial" w:hAnsi="Arial" w:eastAsia="Arial" w:cs="Arial"/>
                <w:b/>
                <w:bCs/>
                <w:color w:val="FFFFFF"/>
                <w:sz w:val="20"/>
                <w:szCs w:val="20"/>
              </w:rPr>
              <w:t>Acción</w:t>
            </w:r>
          </w:p>
        </w:tc>
        <w:tc>
          <w:tcPr>
            <w:tcBorders>
              <w:top w:val="single" w:color="2E75B6" w:sz="0" w:space="0"/>
              <w:left w:val="single" w:color="2E75B6" w:sz="0" w:space="0"/>
              <w:bottom w:val="single" w:color="2E75B6" w:sz="0" w:space="0"/>
              <w:right w:val="single" w:color="2E75B6" w:sz="0" w:space="0"/>
            </w:tcBorders>
            <w:shd w:val="clear" w:color="auto" w:fill="1F3864"/>
            <w:tcMar>
              <w:top w:w="100" w:type="dxa"/>
              <w:left w:w="120" w:type="dxa"/>
              <w:bottom w:w="100" w:type="dxa"/>
              <w:right w:w="120" w:type="dxa"/>
            </w:tcMar>
          </w:tcPr>
          <w:p w14:paraId="6AD5589F">
            <w:pPr>
              <w:jc w:val="center"/>
            </w:pPr>
            <w:r>
              <w:rPr>
                <w:rFonts w:ascii="Arial" w:hAnsi="Arial" w:eastAsia="Arial" w:cs="Arial"/>
                <w:b/>
                <w:bCs/>
                <w:color w:val="FFFFFF"/>
                <w:sz w:val="20"/>
                <w:szCs w:val="20"/>
              </w:rPr>
              <w:t>Gate</w:t>
            </w:r>
          </w:p>
        </w:tc>
      </w:tr>
      <w:tr w14:paraId="463FE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7AFC0BD9">
            <w:pPr>
              <w:jc w:val="center"/>
            </w:pPr>
            <w:r>
              <w:rPr>
                <w:rFonts w:ascii="Arial" w:hAnsi="Arial" w:eastAsia="Arial" w:cs="Arial"/>
                <w:b/>
                <w:bCs/>
                <w:color w:val="444444"/>
                <w:sz w:val="20"/>
                <w:szCs w:val="20"/>
              </w:rPr>
              <w:t>1</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142AD7FE">
            <w:pPr>
              <w:jc w:val="left"/>
            </w:pPr>
            <w:r>
              <w:rPr>
                <w:rFonts w:ascii="Arial" w:hAnsi="Arial" w:eastAsia="Arial" w:cs="Arial"/>
                <w:b w:val="0"/>
                <w:bCs w:val="0"/>
                <w:color w:val="444444"/>
                <w:sz w:val="20"/>
                <w:szCs w:val="20"/>
              </w:rPr>
              <w:t>dev</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7720E66A">
            <w:pPr>
              <w:jc w:val="left"/>
            </w:pPr>
            <w:r>
              <w:rPr>
                <w:rFonts w:ascii="Arial" w:hAnsi="Arial" w:eastAsia="Arial" w:cs="Arial"/>
                <w:b w:val="0"/>
                <w:bCs w:val="0"/>
                <w:color w:val="444444"/>
                <w:sz w:val="20"/>
                <w:szCs w:val="20"/>
              </w:rPr>
              <w:t>Build, push de imágenes y terraform apply</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3A2EFE9E">
            <w:pPr>
              <w:jc w:val="center"/>
            </w:pPr>
            <w:r>
              <w:rPr>
                <w:rFonts w:ascii="Arial" w:hAnsi="Arial" w:eastAsia="Arial" w:cs="Arial"/>
                <w:b/>
                <w:bCs/>
                <w:color w:val="2E7D32"/>
                <w:sz w:val="20"/>
                <w:szCs w:val="20"/>
              </w:rPr>
              <w:t>Automático</w:t>
            </w:r>
          </w:p>
        </w:tc>
      </w:tr>
      <w:tr w14:paraId="1FD10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CE6647">
            <w:pPr>
              <w:jc w:val="center"/>
            </w:pPr>
            <w:r>
              <w:rPr>
                <w:rFonts w:ascii="Arial" w:hAnsi="Arial" w:eastAsia="Arial" w:cs="Arial"/>
                <w:b/>
                <w:bCs/>
                <w:color w:val="444444"/>
                <w:sz w:val="20"/>
                <w:szCs w:val="20"/>
              </w:rPr>
              <w:t>2</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CF90A0">
            <w:pPr>
              <w:jc w:val="left"/>
            </w:pPr>
            <w:r>
              <w:rPr>
                <w:rFonts w:ascii="Arial" w:hAnsi="Arial" w:eastAsia="Arial" w:cs="Arial"/>
                <w:b w:val="0"/>
                <w:bCs w:val="0"/>
                <w:color w:val="444444"/>
                <w:sz w:val="20"/>
                <w:szCs w:val="20"/>
              </w:rPr>
              <w:t>dev</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9CDBC5">
            <w:pPr>
              <w:jc w:val="left"/>
            </w:pPr>
            <w:r>
              <w:rPr>
                <w:rFonts w:ascii="Arial" w:hAnsi="Arial" w:eastAsia="Arial" w:cs="Arial"/>
                <w:b w:val="0"/>
                <w:bCs w:val="0"/>
                <w:color w:val="444444"/>
                <w:sz w:val="20"/>
                <w:szCs w:val="20"/>
              </w:rPr>
              <w:t>Smoke test y validación funcional</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1BD9BA">
            <w:pPr>
              <w:jc w:val="center"/>
            </w:pPr>
            <w:r>
              <w:rPr>
                <w:rFonts w:ascii="Arial" w:hAnsi="Arial" w:eastAsia="Arial" w:cs="Arial"/>
                <w:b/>
                <w:bCs/>
                <w:color w:val="2E7D32"/>
                <w:sz w:val="20"/>
                <w:szCs w:val="20"/>
              </w:rPr>
              <w:t>Automático</w:t>
            </w:r>
          </w:p>
        </w:tc>
      </w:tr>
      <w:tr w14:paraId="490C2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1DC4C555">
            <w:pPr>
              <w:jc w:val="center"/>
            </w:pPr>
            <w:r>
              <w:rPr>
                <w:rFonts w:ascii="Arial" w:hAnsi="Arial" w:eastAsia="Arial" w:cs="Arial"/>
                <w:b/>
                <w:bCs/>
                <w:color w:val="444444"/>
                <w:sz w:val="20"/>
                <w:szCs w:val="20"/>
              </w:rPr>
              <w:t>3</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5E41AE93">
            <w:pPr>
              <w:jc w:val="left"/>
            </w:pPr>
            <w:r>
              <w:rPr>
                <w:rFonts w:ascii="Arial" w:hAnsi="Arial" w:eastAsia="Arial" w:cs="Arial"/>
                <w:b w:val="0"/>
                <w:bCs w:val="0"/>
                <w:color w:val="444444"/>
                <w:sz w:val="20"/>
                <w:szCs w:val="20"/>
              </w:rPr>
              <w:t>test</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32ED59C8">
            <w:pPr>
              <w:jc w:val="left"/>
            </w:pPr>
            <w:r>
              <w:rPr>
                <w:rFonts w:ascii="Arial" w:hAnsi="Arial" w:eastAsia="Arial" w:cs="Arial"/>
                <w:b w:val="0"/>
                <w:bCs w:val="0"/>
                <w:color w:val="444444"/>
                <w:sz w:val="20"/>
                <w:szCs w:val="20"/>
              </w:rPr>
              <w:t>terraform plan/apply con las mismas imágenes</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5E365E77">
            <w:pPr>
              <w:jc w:val="center"/>
            </w:pPr>
            <w:r>
              <w:rPr>
                <w:rFonts w:ascii="Arial" w:hAnsi="Arial" w:eastAsia="Arial" w:cs="Arial"/>
                <w:b/>
                <w:bCs/>
                <w:color w:val="E65100"/>
                <w:sz w:val="20"/>
                <w:szCs w:val="20"/>
              </w:rPr>
              <w:t>Manual</w:t>
            </w:r>
          </w:p>
        </w:tc>
      </w:tr>
      <w:tr w14:paraId="6966C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2B0515">
            <w:pPr>
              <w:jc w:val="center"/>
            </w:pPr>
            <w:r>
              <w:rPr>
                <w:rFonts w:ascii="Arial" w:hAnsi="Arial" w:eastAsia="Arial" w:cs="Arial"/>
                <w:b/>
                <w:bCs/>
                <w:color w:val="444444"/>
                <w:sz w:val="20"/>
                <w:szCs w:val="20"/>
              </w:rPr>
              <w:t>4</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1D4143">
            <w:pPr>
              <w:jc w:val="left"/>
            </w:pPr>
            <w:r>
              <w:rPr>
                <w:rFonts w:ascii="Arial" w:hAnsi="Arial" w:eastAsia="Arial" w:cs="Arial"/>
                <w:b w:val="0"/>
                <w:bCs w:val="0"/>
                <w:color w:val="444444"/>
                <w:sz w:val="20"/>
                <w:szCs w:val="20"/>
              </w:rPr>
              <w:t>test</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64BC0A">
            <w:pPr>
              <w:jc w:val="left"/>
            </w:pPr>
            <w:r>
              <w:rPr>
                <w:rFonts w:ascii="Arial" w:hAnsi="Arial" w:eastAsia="Arial" w:cs="Arial"/>
                <w:b w:val="0"/>
                <w:bCs w:val="0"/>
                <w:color w:val="444444"/>
                <w:sz w:val="20"/>
                <w:szCs w:val="20"/>
              </w:rPr>
              <w:t>Pruebas de integración y QA</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B4C0B9">
            <w:pPr>
              <w:jc w:val="center"/>
            </w:pPr>
            <w:r>
              <w:rPr>
                <w:rFonts w:ascii="Arial" w:hAnsi="Arial" w:eastAsia="Arial" w:cs="Arial"/>
                <w:b/>
                <w:bCs/>
                <w:color w:val="E65100"/>
                <w:sz w:val="20"/>
                <w:szCs w:val="20"/>
              </w:rPr>
              <w:t>Manual</w:t>
            </w:r>
          </w:p>
        </w:tc>
      </w:tr>
      <w:tr w14:paraId="76436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217582C1">
            <w:pPr>
              <w:jc w:val="center"/>
            </w:pPr>
            <w:r>
              <w:rPr>
                <w:rFonts w:ascii="Arial" w:hAnsi="Arial" w:eastAsia="Arial" w:cs="Arial"/>
                <w:b/>
                <w:bCs/>
                <w:color w:val="444444"/>
                <w:sz w:val="20"/>
                <w:szCs w:val="20"/>
              </w:rPr>
              <w:t>5</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63718A40">
            <w:pPr>
              <w:jc w:val="left"/>
            </w:pPr>
            <w:r>
              <w:rPr>
                <w:rFonts w:ascii="Arial" w:hAnsi="Arial" w:eastAsia="Arial" w:cs="Arial"/>
                <w:b w:val="0"/>
                <w:bCs w:val="0"/>
                <w:color w:val="444444"/>
                <w:sz w:val="20"/>
                <w:szCs w:val="20"/>
              </w:rPr>
              <w:t>prod</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2E1A77EC">
            <w:pPr>
              <w:jc w:val="left"/>
            </w:pPr>
            <w:r>
              <w:rPr>
                <w:rFonts w:ascii="Arial" w:hAnsi="Arial" w:eastAsia="Arial" w:cs="Arial"/>
                <w:b w:val="0"/>
                <w:bCs w:val="0"/>
                <w:color w:val="444444"/>
                <w:sz w:val="20"/>
                <w:szCs w:val="20"/>
              </w:rPr>
              <w:t>terraform plan/apply con aprobación explícita</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6D3A1FFF">
            <w:pPr>
              <w:jc w:val="center"/>
            </w:pPr>
            <w:r>
              <w:rPr>
                <w:rFonts w:ascii="Arial" w:hAnsi="Arial" w:eastAsia="Arial" w:cs="Arial"/>
                <w:b/>
                <w:bCs/>
                <w:color w:val="E65100"/>
                <w:sz w:val="20"/>
                <w:szCs w:val="20"/>
              </w:rPr>
              <w:t>Manual</w:t>
            </w:r>
          </w:p>
        </w:tc>
      </w:tr>
    </w:tbl>
    <w:p w14:paraId="7D5D8044">
      <w:pPr>
        <w:spacing w:before="80" w:after="80"/>
      </w:pPr>
    </w:p>
    <w:p w14:paraId="5D8AFF67">
      <w:pPr>
        <w:pStyle w:val="3"/>
        <w:spacing w:before="240" w:after="80"/>
      </w:pPr>
      <w:r>
        <w:rPr>
          <w:rFonts w:ascii="Arial" w:hAnsi="Arial" w:eastAsia="Arial" w:cs="Arial"/>
          <w:b/>
          <w:bCs/>
          <w:color w:val="2E75B6"/>
          <w:sz w:val="26"/>
          <w:szCs w:val="26"/>
        </w:rPr>
        <w:t>3.10 Incidencias Resueltas en el Pipeline</w:t>
      </w:r>
    </w:p>
    <w:p w14:paraId="7F717083">
      <w:pPr>
        <w:spacing w:before="60" w:after="100"/>
        <w:jc w:val="both"/>
      </w:pPr>
      <w:r>
        <w:rPr>
          <w:rFonts w:ascii="Arial" w:hAnsi="Arial" w:eastAsia="Arial" w:cs="Arial"/>
          <w:color w:val="444444"/>
          <w:sz w:val="22"/>
          <w:szCs w:val="22"/>
        </w:rPr>
        <w:t>Durante la puesta en marcha real del pipeline se identificaron y resolvieron las siguientes incidencias técnicas:</w:t>
      </w:r>
    </w:p>
    <w:p w14:paraId="36036669">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393"/>
        <w:gridCol w:w="3967"/>
      </w:tblGrid>
      <w:tr w14:paraId="2A058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2E75B6" w:sz="0" w:space="0"/>
              <w:left w:val="single" w:color="2E75B6" w:sz="0" w:space="0"/>
              <w:bottom w:val="single" w:color="2E75B6" w:sz="0" w:space="0"/>
              <w:right w:val="single" w:color="2E75B6" w:sz="0" w:space="0"/>
            </w:tcBorders>
            <w:shd w:val="clear" w:color="auto" w:fill="2E75B6"/>
            <w:tcMar>
              <w:top w:w="100" w:type="dxa"/>
              <w:left w:w="120" w:type="dxa"/>
              <w:bottom w:w="100" w:type="dxa"/>
              <w:right w:w="120" w:type="dxa"/>
            </w:tcMar>
          </w:tcPr>
          <w:p w14:paraId="3C0A13F2">
            <w:pPr>
              <w:jc w:val="center"/>
            </w:pPr>
            <w:r>
              <w:rPr>
                <w:rFonts w:ascii="Arial" w:hAnsi="Arial" w:eastAsia="Arial" w:cs="Arial"/>
                <w:b/>
                <w:bCs/>
                <w:color w:val="FFFFFF"/>
                <w:sz w:val="20"/>
                <w:szCs w:val="20"/>
              </w:rPr>
              <w:t>Incidencia</w:t>
            </w:r>
          </w:p>
        </w:tc>
        <w:tc>
          <w:tcPr>
            <w:tcBorders>
              <w:top w:val="single" w:color="2E75B6" w:sz="0" w:space="0"/>
              <w:left w:val="single" w:color="2E75B6" w:sz="0" w:space="0"/>
              <w:bottom w:val="single" w:color="2E75B6" w:sz="0" w:space="0"/>
              <w:right w:val="single" w:color="2E75B6" w:sz="0" w:space="0"/>
            </w:tcBorders>
            <w:shd w:val="clear" w:color="auto" w:fill="2E75B6"/>
            <w:tcMar>
              <w:top w:w="100" w:type="dxa"/>
              <w:left w:w="120" w:type="dxa"/>
              <w:bottom w:w="100" w:type="dxa"/>
              <w:right w:w="120" w:type="dxa"/>
            </w:tcMar>
          </w:tcPr>
          <w:p w14:paraId="1D2D0D22">
            <w:pPr>
              <w:jc w:val="center"/>
            </w:pPr>
            <w:r>
              <w:rPr>
                <w:rFonts w:ascii="Arial" w:hAnsi="Arial" w:eastAsia="Arial" w:cs="Arial"/>
                <w:b/>
                <w:bCs/>
                <w:color w:val="FFFFFF"/>
                <w:sz w:val="20"/>
                <w:szCs w:val="20"/>
              </w:rPr>
              <w:t>Resolución Aplicada</w:t>
            </w:r>
          </w:p>
        </w:tc>
      </w:tr>
      <w:tr w14:paraId="202EE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36B383EB">
            <w:r>
              <w:rPr>
                <w:rFonts w:ascii="Arial" w:hAnsi="Arial" w:eastAsia="Arial" w:cs="Arial"/>
                <w:b/>
                <w:bCs/>
                <w:color w:val="444444"/>
                <w:sz w:val="20"/>
                <w:szCs w:val="20"/>
              </w:rPr>
              <w:t>Soporte ansiColor faltante en la imagen Jenkins</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2EC731BF">
            <w:r>
              <w:rPr>
                <w:rFonts w:ascii="Arial" w:hAnsi="Arial" w:eastAsia="Arial" w:cs="Arial"/>
                <w:b w:val="0"/>
                <w:bCs w:val="0"/>
                <w:color w:val="444444"/>
                <w:sz w:val="20"/>
                <w:szCs w:val="20"/>
              </w:rPr>
              <w:t>Agregado al plugins.txt de la imagen personalizada</w:t>
            </w:r>
          </w:p>
        </w:tc>
      </w:tr>
      <w:tr w14:paraId="70805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3FFE83">
            <w:r>
              <w:rPr>
                <w:rFonts w:ascii="Arial" w:hAnsi="Arial" w:eastAsia="Arial" w:cs="Arial"/>
                <w:b/>
                <w:bCs/>
                <w:color w:val="444444"/>
                <w:sz w:val="20"/>
                <w:szCs w:val="20"/>
              </w:rPr>
              <w:t>Autenticación Azure faltante en la etapa Terraform quality</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F71D35">
            <w:r>
              <w:rPr>
                <w:rFonts w:ascii="Arial" w:hAnsi="Arial" w:eastAsia="Arial" w:cs="Arial"/>
                <w:b w:val="0"/>
                <w:bCs w:val="0"/>
                <w:color w:val="444444"/>
                <w:sz w:val="20"/>
                <w:szCs w:val="20"/>
              </w:rPr>
              <w:t>Se incorporó login con service principal previo al plan</w:t>
            </w:r>
          </w:p>
        </w:tc>
      </w:tr>
      <w:tr w14:paraId="0CC3D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03CB6502">
            <w:r>
              <w:rPr>
                <w:rFonts w:ascii="Arial" w:hAnsi="Arial" w:eastAsia="Arial" w:cs="Arial"/>
                <w:b/>
                <w:bCs/>
                <w:color w:val="444444"/>
                <w:sz w:val="20"/>
                <w:szCs w:val="20"/>
              </w:rPr>
              <w:t>Propagación de enable_key_vault_secret_references en roots dev/test/prod</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103B94C3">
            <w:r>
              <w:rPr>
                <w:rFonts w:ascii="Arial" w:hAnsi="Arial" w:eastAsia="Arial" w:cs="Arial"/>
                <w:b w:val="0"/>
                <w:bCs w:val="0"/>
                <w:color w:val="444444"/>
                <w:sz w:val="20"/>
                <w:szCs w:val="20"/>
              </w:rPr>
              <w:t>Variable propagada correctamente a los módulos de ambiente</w:t>
            </w:r>
          </w:p>
        </w:tc>
      </w:tr>
      <w:tr w14:paraId="10146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EFAF4C">
            <w:r>
              <w:rPr>
                <w:rFonts w:ascii="Arial" w:hAnsi="Arial" w:eastAsia="Arial" w:cs="Arial"/>
                <w:b/>
                <w:bCs/>
                <w:color w:val="444444"/>
                <w:sz w:val="20"/>
                <w:szCs w:val="20"/>
              </w:rPr>
              <w:t>Timeouts del runner durante dotnet publish</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4855EF">
            <w:r>
              <w:rPr>
                <w:rFonts w:ascii="Arial" w:hAnsi="Arial" w:eastAsia="Arial" w:cs="Arial"/>
                <w:b w:val="0"/>
                <w:bCs w:val="0"/>
                <w:color w:val="444444"/>
                <w:sz w:val="20"/>
                <w:szCs w:val="20"/>
              </w:rPr>
              <w:t>Se aumentó la verbosidad del comando para mantener el runner activo</w:t>
            </w:r>
          </w:p>
        </w:tc>
      </w:tr>
      <w:tr w14:paraId="6A41E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205F8663">
            <w:r>
              <w:rPr>
                <w:rFonts w:ascii="Arial" w:hAnsi="Arial" w:eastAsia="Arial" w:cs="Arial"/>
                <w:b/>
                <w:bCs/>
                <w:color w:val="444444"/>
                <w:sz w:val="20"/>
                <w:szCs w:val="20"/>
              </w:rPr>
              <w:t>Fallback de postgresql_admin_username en bootstrap</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07673185">
            <w:r>
              <w:rPr>
                <w:rFonts w:ascii="Arial" w:hAnsi="Arial" w:eastAsia="Arial" w:cs="Arial"/>
                <w:b w:val="0"/>
                <w:bCs w:val="0"/>
                <w:color w:val="444444"/>
                <w:sz w:val="20"/>
                <w:szCs w:val="20"/>
              </w:rPr>
              <w:t>Jenkins usa tigarantiasadmin si el output de Terraform no está disponible</w:t>
            </w:r>
          </w:p>
        </w:tc>
      </w:tr>
      <w:tr w14:paraId="4C53A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291312">
            <w:r>
              <w:rPr>
                <w:rFonts w:ascii="Arial" w:hAnsi="Arial" w:eastAsia="Arial" w:cs="Arial"/>
                <w:b/>
                <w:bCs/>
                <w:color w:val="444444"/>
                <w:sz w:val="20"/>
                <w:szCs w:val="20"/>
              </w:rPr>
              <w:t>Drift de zone en PostgreSQL Flexible Server</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CB6572">
            <w:r>
              <w:rPr>
                <w:rFonts w:ascii="Arial" w:hAnsi="Arial" w:eastAsia="Arial" w:cs="Arial"/>
                <w:b w:val="0"/>
                <w:bCs w:val="0"/>
                <w:color w:val="444444"/>
                <w:sz w:val="20"/>
                <w:szCs w:val="20"/>
              </w:rPr>
              <w:t>Se agregó lifecycle ignore_changes = [zone] en el recurso</w:t>
            </w:r>
          </w:p>
        </w:tc>
      </w:tr>
      <w:tr w14:paraId="12BBE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2121417B">
            <w:r>
              <w:rPr>
                <w:rFonts w:ascii="Arial" w:hAnsi="Arial" w:eastAsia="Arial" w:cs="Arial"/>
                <w:b/>
                <w:bCs/>
                <w:color w:val="444444"/>
                <w:sz w:val="20"/>
                <w:szCs w:val="20"/>
              </w:rPr>
              <w:t>Header Host incorrecto reenviado al backend interno</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3907BC65">
            <w:r>
              <w:rPr>
                <w:rFonts w:ascii="Arial" w:hAnsi="Arial" w:eastAsia="Arial" w:cs="Arial"/>
                <w:b w:val="0"/>
                <w:bCs w:val="0"/>
                <w:color w:val="444444"/>
                <w:sz w:val="20"/>
                <w:szCs w:val="20"/>
              </w:rPr>
              <w:t>Corregido en la configuración nginx del frontend</w:t>
            </w:r>
          </w:p>
        </w:tc>
      </w:tr>
      <w:tr w14:paraId="0BBA8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E93D23">
            <w:r>
              <w:rPr>
                <w:rFonts w:ascii="Arial" w:hAnsi="Arial" w:eastAsia="Arial" w:cs="Arial"/>
                <w:b/>
                <w:bCs/>
                <w:color w:val="444444"/>
                <w:sz w:val="20"/>
                <w:szCs w:val="20"/>
              </w:rPr>
              <w:t>Endpoint /metrics no expuesto en el frontend</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D07CC9">
            <w:r>
              <w:rPr>
                <w:rFonts w:ascii="Arial" w:hAnsi="Arial" w:eastAsia="Arial" w:cs="Arial"/>
                <w:b w:val="0"/>
                <w:bCs w:val="0"/>
                <w:color w:val="444444"/>
                <w:sz w:val="20"/>
                <w:szCs w:val="20"/>
              </w:rPr>
              <w:t>Se habilitó el proxy de /metrics en nginx para scrape desde Prometheus</w:t>
            </w:r>
          </w:p>
        </w:tc>
      </w:tr>
      <w:tr w14:paraId="03676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61316E4F">
            <w:r>
              <w:rPr>
                <w:rFonts w:ascii="Arial" w:hAnsi="Arial" w:eastAsia="Arial" w:cs="Arial"/>
                <w:b/>
                <w:bCs/>
                <w:color w:val="444444"/>
                <w:sz w:val="20"/>
                <w:szCs w:val="20"/>
              </w:rPr>
              <w:t>Providers Microsoft.App y Microsoft.OperationalInsights no registrados</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49D9A3A8">
            <w:r>
              <w:rPr>
                <w:rFonts w:ascii="Arial" w:hAnsi="Arial" w:eastAsia="Arial" w:cs="Arial"/>
                <w:b w:val="0"/>
                <w:bCs w:val="0"/>
                <w:color w:val="444444"/>
                <w:sz w:val="20"/>
                <w:szCs w:val="20"/>
              </w:rPr>
              <w:t>Registrados manualmente con az provider register previo al primer apply</w:t>
            </w:r>
          </w:p>
        </w:tc>
      </w:tr>
    </w:tbl>
    <w:p w14:paraId="3C256559">
      <w:pPr>
        <w:spacing w:before="80" w:after="80"/>
      </w:pPr>
    </w:p>
    <w:p w14:paraId="4ECB048B">
      <w:pPr>
        <w:pStyle w:val="3"/>
        <w:spacing w:before="240" w:after="80"/>
      </w:pPr>
      <w:r>
        <w:rPr>
          <w:rFonts w:ascii="Arial" w:hAnsi="Arial" w:eastAsia="Arial" w:cs="Arial"/>
          <w:b/>
          <w:bCs/>
          <w:color w:val="2E75B6"/>
          <w:sz w:val="26"/>
          <w:szCs w:val="26"/>
        </w:rPr>
        <w:t>3.11 Estado Operativo al Cierre del Piloto</w:t>
      </w:r>
    </w:p>
    <w:p w14:paraId="78A337C5">
      <w:pPr>
        <w:spacing w:before="60" w:after="100"/>
        <w:jc w:val="both"/>
      </w:pPr>
      <w:r>
        <w:rPr>
          <w:rFonts w:ascii="Arial" w:hAnsi="Arial" w:eastAsia="Arial" w:cs="Arial"/>
          <w:color w:val="444444"/>
          <w:sz w:val="22"/>
          <w:szCs w:val="22"/>
        </w:rPr>
        <w:t>Al cierre de esta iteración el pipeline completó el ciclo de extremo a extremo sobre el ambiente dev de forma exitosa:</w:t>
      </w:r>
    </w:p>
    <w:p w14:paraId="30B9F235">
      <w:pPr>
        <w:pStyle w:val="16"/>
        <w:numPr>
          <w:ilvl w:val="0"/>
          <w:numId w:val="1"/>
        </w:numPr>
        <w:spacing w:before="40" w:after="40"/>
      </w:pPr>
      <w:r>
        <w:rPr>
          <w:rFonts w:ascii="Arial" w:hAnsi="Arial" w:eastAsia="Arial" w:cs="Arial"/>
          <w:color w:val="444444"/>
          <w:sz w:val="22"/>
          <w:szCs w:val="22"/>
        </w:rPr>
        <w:t>Build del backend (.NET) y del frontend (Node.js) completados sin errores.</w:t>
      </w:r>
    </w:p>
    <w:p w14:paraId="3500A0A3">
      <w:pPr>
        <w:pStyle w:val="16"/>
        <w:numPr>
          <w:ilvl w:val="0"/>
          <w:numId w:val="1"/>
        </w:numPr>
        <w:spacing w:before="40" w:after="40"/>
      </w:pPr>
      <w:r>
        <w:rPr>
          <w:rFonts w:ascii="Arial" w:hAnsi="Arial" w:eastAsia="Arial" w:cs="Arial"/>
          <w:color w:val="444444"/>
          <w:sz w:val="22"/>
          <w:szCs w:val="22"/>
        </w:rPr>
        <w:t>Imágenes publicadas en Docker Hub con tag inmutable.</w:t>
      </w:r>
    </w:p>
    <w:p w14:paraId="7B6BFD13">
      <w:pPr>
        <w:pStyle w:val="16"/>
        <w:numPr>
          <w:ilvl w:val="0"/>
          <w:numId w:val="1"/>
        </w:numPr>
        <w:spacing w:before="40" w:after="40"/>
      </w:pPr>
      <w:r>
        <w:rPr>
          <w:rFonts w:ascii="Arial" w:hAnsi="Arial" w:eastAsia="Arial" w:cs="Arial"/>
          <w:color w:val="444444"/>
          <w:sz w:val="22"/>
          <w:szCs w:val="22"/>
        </w:rPr>
        <w:t>Bootstrap de Key Vault y PostgreSQL ejecutado con -target.</w:t>
      </w:r>
    </w:p>
    <w:p w14:paraId="0D904D7A">
      <w:pPr>
        <w:pStyle w:val="16"/>
        <w:numPr>
          <w:ilvl w:val="0"/>
          <w:numId w:val="1"/>
        </w:numPr>
        <w:spacing w:before="40" w:after="40"/>
      </w:pPr>
      <w:r>
        <w:rPr>
          <w:rFonts w:ascii="Arial" w:hAnsi="Arial" w:eastAsia="Arial" w:cs="Arial"/>
          <w:color w:val="444444"/>
          <w:sz w:val="22"/>
          <w:szCs w:val="22"/>
        </w:rPr>
        <w:t>terraform plan y terraform apply completados sobre el ambiente dev en centralus.</w:t>
      </w:r>
    </w:p>
    <w:p w14:paraId="3388942D">
      <w:pPr>
        <w:pStyle w:val="16"/>
        <w:numPr>
          <w:ilvl w:val="0"/>
          <w:numId w:val="1"/>
        </w:numPr>
        <w:spacing w:before="40" w:after="40"/>
      </w:pPr>
      <w:r>
        <w:rPr>
          <w:rFonts w:ascii="Arial" w:hAnsi="Arial" w:eastAsia="Arial" w:cs="Arial"/>
          <w:color w:val="444444"/>
          <w:sz w:val="22"/>
          <w:szCs w:val="22"/>
        </w:rPr>
        <w:t>Frontend público y backend interno operativos en Azure Container Apps.</w:t>
      </w:r>
    </w:p>
    <w:p w14:paraId="1F538518">
      <w:pPr>
        <w:pStyle w:val="16"/>
        <w:numPr>
          <w:ilvl w:val="0"/>
          <w:numId w:val="1"/>
        </w:numPr>
        <w:spacing w:before="40" w:after="40"/>
      </w:pPr>
      <w:r>
        <w:rPr>
          <w:rFonts w:ascii="Arial" w:hAnsi="Arial" w:eastAsia="Arial" w:cs="Arial"/>
          <w:color w:val="444444"/>
          <w:sz w:val="22"/>
          <w:szCs w:val="22"/>
        </w:rPr>
        <w:t>Smoke test validado: login con admin@demo.local, acceso a /swagger y CRUD básico funcional.</w:t>
      </w:r>
    </w:p>
    <w:p w14:paraId="7F5D7635">
      <w:pPr>
        <w:spacing w:before="80" w:after="80"/>
      </w:pPr>
    </w:p>
    <w:p w14:paraId="6A08685F">
      <w:r>
        <w:br w:type="page"/>
      </w:r>
    </w:p>
    <w:p w14:paraId="1AA4929C">
      <w:pPr>
        <w:pStyle w:val="2"/>
        <w:pBdr>
          <w:bottom w:val="single" w:color="2E75B6" w:sz="6" w:space="4"/>
        </w:pBdr>
        <w:spacing w:before="360" w:after="120"/>
      </w:pPr>
      <w:r>
        <w:rPr>
          <w:rFonts w:ascii="Arial" w:hAnsi="Arial" w:eastAsia="Arial" w:cs="Arial"/>
          <w:b/>
          <w:bCs/>
          <w:color w:val="1F3864"/>
          <w:sz w:val="32"/>
          <w:szCs w:val="32"/>
        </w:rPr>
        <w:t>4. Monitoreo</w:t>
      </w:r>
    </w:p>
    <w:p w14:paraId="0559724E">
      <w:pPr>
        <w:spacing w:before="80" w:after="80"/>
      </w:pPr>
    </w:p>
    <w:p w14:paraId="2F0D33C8">
      <w:pPr>
        <w:pStyle w:val="3"/>
        <w:spacing w:before="240" w:after="80"/>
      </w:pPr>
      <w:r>
        <w:rPr>
          <w:rFonts w:ascii="Arial" w:hAnsi="Arial" w:eastAsia="Arial" w:cs="Arial"/>
          <w:b/>
          <w:bCs/>
          <w:color w:val="2E75B6"/>
          <w:sz w:val="26"/>
          <w:szCs w:val="26"/>
        </w:rPr>
        <w:t>4.1 Descripción General</w:t>
      </w:r>
    </w:p>
    <w:p w14:paraId="2FD7AF34">
      <w:pPr>
        <w:spacing w:before="60" w:after="100"/>
        <w:jc w:val="both"/>
      </w:pPr>
      <w:r>
        <w:rPr>
          <w:rFonts w:ascii="Arial" w:hAnsi="Arial" w:eastAsia="Arial" w:cs="Arial"/>
          <w:color w:val="444444"/>
          <w:sz w:val="22"/>
          <w:szCs w:val="22"/>
        </w:rPr>
        <w:t>El monitoreo del sistema fue implementado con el objetivo de garantizar la visibilidad del estado de la infraestructura y la aplicación en todo momento. Se adoptó un enfoque de observabilidad basado en los tres pilares fundamentales: métricas, logs y trazas distribuidas.</w:t>
      </w:r>
    </w:p>
    <w:p w14:paraId="48CAC00B">
      <w:pPr>
        <w:pStyle w:val="3"/>
        <w:spacing w:before="240" w:after="80"/>
      </w:pPr>
      <w:r>
        <w:rPr>
          <w:rFonts w:ascii="Arial" w:hAnsi="Arial" w:eastAsia="Arial" w:cs="Arial"/>
          <w:b/>
          <w:bCs/>
          <w:color w:val="2E75B6"/>
          <w:sz w:val="26"/>
          <w:szCs w:val="26"/>
        </w:rPr>
        <w:t>4.2 Herramientas Utilizadas</w:t>
      </w:r>
    </w:p>
    <w:p w14:paraId="2D7C496B">
      <w:pPr>
        <w:pStyle w:val="16"/>
        <w:numPr>
          <w:ilvl w:val="0"/>
          <w:numId w:val="1"/>
        </w:numPr>
        <w:spacing w:before="40" w:after="40"/>
      </w:pPr>
      <w:r>
        <w:rPr>
          <w:rFonts w:ascii="Arial" w:hAnsi="Arial" w:eastAsia="Arial" w:cs="Arial"/>
          <w:color w:val="444444"/>
          <w:sz w:val="22"/>
          <w:szCs w:val="22"/>
        </w:rPr>
        <w:t>[Métricas: Prometheus + Grafana / Datadog / CloudWatch / New Relic — completar]</w:t>
      </w:r>
    </w:p>
    <w:p w14:paraId="58E55691">
      <w:pPr>
        <w:pStyle w:val="16"/>
        <w:numPr>
          <w:ilvl w:val="0"/>
          <w:numId w:val="1"/>
        </w:numPr>
        <w:spacing w:before="40" w:after="40"/>
      </w:pPr>
      <w:r>
        <w:rPr>
          <w:rFonts w:ascii="Arial" w:hAnsi="Arial" w:eastAsia="Arial" w:cs="Arial"/>
          <w:color w:val="444444"/>
          <w:sz w:val="22"/>
          <w:szCs w:val="22"/>
        </w:rPr>
        <w:t>[Centralización de logs: ELK Stack (Elasticsearch, Logstash, Kibana) / Loki / Splunk]</w:t>
      </w:r>
    </w:p>
    <w:p w14:paraId="66B5EF76">
      <w:pPr>
        <w:pStyle w:val="16"/>
        <w:numPr>
          <w:ilvl w:val="0"/>
          <w:numId w:val="1"/>
        </w:numPr>
        <w:spacing w:before="40" w:after="40"/>
      </w:pPr>
      <w:r>
        <w:rPr>
          <w:rFonts w:ascii="Arial" w:hAnsi="Arial" w:eastAsia="Arial" w:cs="Arial"/>
          <w:color w:val="444444"/>
          <w:sz w:val="22"/>
          <w:szCs w:val="22"/>
        </w:rPr>
        <w:t>[Alertas: Alertmanager / PagerDuty / OpsGenie]</w:t>
      </w:r>
    </w:p>
    <w:p w14:paraId="14DE1205">
      <w:pPr>
        <w:pStyle w:val="16"/>
        <w:numPr>
          <w:ilvl w:val="0"/>
          <w:numId w:val="1"/>
        </w:numPr>
        <w:spacing w:before="40" w:after="40"/>
      </w:pPr>
      <w:r>
        <w:rPr>
          <w:rFonts w:ascii="Arial" w:hAnsi="Arial" w:eastAsia="Arial" w:cs="Arial"/>
          <w:color w:val="444444"/>
          <w:sz w:val="22"/>
          <w:szCs w:val="22"/>
        </w:rPr>
        <w:t>[Trazas distribuidas: Jaeger / Zipkin / AWS X-Ray — si aplica]</w:t>
      </w:r>
    </w:p>
    <w:p w14:paraId="382A33BB">
      <w:pPr>
        <w:pStyle w:val="16"/>
        <w:numPr>
          <w:ilvl w:val="0"/>
          <w:numId w:val="1"/>
        </w:numPr>
        <w:spacing w:before="40" w:after="40"/>
      </w:pPr>
      <w:r>
        <w:rPr>
          <w:rFonts w:ascii="Arial" w:hAnsi="Arial" w:eastAsia="Arial" w:cs="Arial"/>
          <w:color w:val="444444"/>
          <w:sz w:val="22"/>
          <w:szCs w:val="22"/>
        </w:rPr>
        <w:t>[Monitoreo de disponibilidad (Uptime): Uptime Robot / Pingdom / Blackbox Exporter]</w:t>
      </w:r>
    </w:p>
    <w:p w14:paraId="739F00CA">
      <w:pPr>
        <w:pStyle w:val="3"/>
        <w:spacing w:before="240" w:after="80"/>
      </w:pPr>
      <w:r>
        <w:rPr>
          <w:rFonts w:ascii="Arial" w:hAnsi="Arial" w:eastAsia="Arial" w:cs="Arial"/>
          <w:b/>
          <w:bCs/>
          <w:color w:val="2E75B6"/>
          <w:sz w:val="26"/>
          <w:szCs w:val="26"/>
        </w:rPr>
        <w:t>4.3 Métricas Monitoreadas</w:t>
      </w:r>
    </w:p>
    <w:p w14:paraId="7F29F1F4">
      <w:pPr>
        <w:spacing w:before="60" w:after="100"/>
        <w:jc w:val="both"/>
      </w:pPr>
      <w:r>
        <w:rPr>
          <w:rFonts w:ascii="Arial" w:hAnsi="Arial" w:eastAsia="Arial" w:cs="Arial"/>
          <w:color w:val="444444"/>
          <w:sz w:val="22"/>
          <w:szCs w:val="22"/>
        </w:rPr>
        <w:t>Se definieron dashboards para los siguientes grupos de métricas:</w:t>
      </w:r>
    </w:p>
    <w:p w14:paraId="70848D29">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52"/>
        <w:gridCol w:w="4077"/>
        <w:gridCol w:w="3631"/>
      </w:tblGrid>
      <w:tr w14:paraId="1FF93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Borders>
              <w:top w:val="single" w:color="2E75B6" w:sz="0" w:space="0"/>
              <w:left w:val="single" w:color="2E75B6" w:sz="0" w:space="0"/>
              <w:bottom w:val="single" w:color="2E75B6" w:sz="0" w:space="0"/>
              <w:right w:val="single" w:color="2E75B6" w:sz="0" w:space="0"/>
            </w:tcBorders>
            <w:shd w:val="clear" w:color="auto" w:fill="1F3864"/>
            <w:tcMar>
              <w:top w:w="100" w:type="dxa"/>
              <w:left w:w="120" w:type="dxa"/>
              <w:bottom w:w="100" w:type="dxa"/>
              <w:right w:w="120" w:type="dxa"/>
            </w:tcMar>
          </w:tcPr>
          <w:p w14:paraId="181E42CF">
            <w:pPr>
              <w:jc w:val="center"/>
            </w:pPr>
            <w:r>
              <w:rPr>
                <w:rFonts w:ascii="Arial" w:hAnsi="Arial" w:eastAsia="Arial" w:cs="Arial"/>
                <w:b/>
                <w:bCs/>
                <w:color w:val="FFFFFF"/>
                <w:sz w:val="20"/>
                <w:szCs w:val="20"/>
              </w:rPr>
              <w:t>Categoría</w:t>
            </w:r>
          </w:p>
        </w:tc>
        <w:tc>
          <w:tcPr>
            <w:tcBorders>
              <w:top w:val="single" w:color="2E75B6" w:sz="0" w:space="0"/>
              <w:left w:val="single" w:color="2E75B6" w:sz="0" w:space="0"/>
              <w:bottom w:val="single" w:color="2E75B6" w:sz="0" w:space="0"/>
              <w:right w:val="single" w:color="2E75B6" w:sz="0" w:space="0"/>
            </w:tcBorders>
            <w:shd w:val="clear" w:color="auto" w:fill="1F3864"/>
            <w:tcMar>
              <w:top w:w="100" w:type="dxa"/>
              <w:left w:w="120" w:type="dxa"/>
              <w:bottom w:w="100" w:type="dxa"/>
              <w:right w:w="120" w:type="dxa"/>
            </w:tcMar>
          </w:tcPr>
          <w:p w14:paraId="08D46788">
            <w:pPr>
              <w:jc w:val="center"/>
            </w:pPr>
            <w:r>
              <w:rPr>
                <w:rFonts w:ascii="Arial" w:hAnsi="Arial" w:eastAsia="Arial" w:cs="Arial"/>
                <w:b/>
                <w:bCs/>
                <w:color w:val="FFFFFF"/>
                <w:sz w:val="20"/>
                <w:szCs w:val="20"/>
              </w:rPr>
              <w:t>Métricas Clave</w:t>
            </w:r>
          </w:p>
        </w:tc>
        <w:tc>
          <w:tcPr>
            <w:tcBorders>
              <w:top w:val="single" w:color="2E75B6" w:sz="0" w:space="0"/>
              <w:left w:val="single" w:color="2E75B6" w:sz="0" w:space="0"/>
              <w:bottom w:val="single" w:color="2E75B6" w:sz="0" w:space="0"/>
              <w:right w:val="single" w:color="2E75B6" w:sz="0" w:space="0"/>
            </w:tcBorders>
            <w:shd w:val="clear" w:color="auto" w:fill="1F3864"/>
            <w:tcMar>
              <w:top w:w="100" w:type="dxa"/>
              <w:left w:w="120" w:type="dxa"/>
              <w:bottom w:w="100" w:type="dxa"/>
              <w:right w:w="120" w:type="dxa"/>
            </w:tcMar>
          </w:tcPr>
          <w:p w14:paraId="51752FB2">
            <w:pPr>
              <w:jc w:val="center"/>
            </w:pPr>
            <w:r>
              <w:rPr>
                <w:rFonts w:ascii="Arial" w:hAnsi="Arial" w:eastAsia="Arial" w:cs="Arial"/>
                <w:b/>
                <w:bCs/>
                <w:color w:val="FFFFFF"/>
                <w:sz w:val="20"/>
                <w:szCs w:val="20"/>
              </w:rPr>
              <w:t>Umbral / SLO Definido</w:t>
            </w:r>
          </w:p>
        </w:tc>
      </w:tr>
      <w:tr w14:paraId="17C65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7F0BEE4B">
            <w:r>
              <w:rPr>
                <w:rFonts w:ascii="Arial" w:hAnsi="Arial" w:eastAsia="Arial" w:cs="Arial"/>
                <w:b/>
                <w:bCs/>
                <w:color w:val="444444"/>
                <w:sz w:val="20"/>
                <w:szCs w:val="20"/>
              </w:rPr>
              <w:t>Infraestructura</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163FC4AF">
            <w:r>
              <w:rPr>
                <w:rFonts w:ascii="Arial" w:hAnsi="Arial" w:eastAsia="Arial" w:cs="Arial"/>
                <w:b w:val="0"/>
                <w:bCs w:val="0"/>
                <w:color w:val="444444"/>
                <w:sz w:val="20"/>
                <w:szCs w:val="20"/>
              </w:rPr>
              <w:t>CPU, memoria RAM, disco, red</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217F9037">
            <w:r>
              <w:rPr>
                <w:rFonts w:ascii="Arial" w:hAnsi="Arial" w:eastAsia="Arial" w:cs="Arial"/>
                <w:b w:val="0"/>
                <w:bCs w:val="0"/>
                <w:color w:val="444444"/>
                <w:sz w:val="20"/>
                <w:szCs w:val="20"/>
              </w:rPr>
              <w:t>CPU &lt; 80%, RAM &lt; 85%</w:t>
            </w:r>
          </w:p>
        </w:tc>
      </w:tr>
      <w:tr w14:paraId="33ADC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3620BB54">
            <w:r>
              <w:rPr>
                <w:rFonts w:ascii="Arial" w:hAnsi="Arial" w:eastAsia="Arial" w:cs="Arial"/>
                <w:b/>
                <w:bCs/>
                <w:color w:val="444444"/>
                <w:sz w:val="20"/>
                <w:szCs w:val="20"/>
              </w:rPr>
              <w:t>Aplicación</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BEED66">
            <w:r>
              <w:rPr>
                <w:rFonts w:ascii="Arial" w:hAnsi="Arial" w:eastAsia="Arial" w:cs="Arial"/>
                <w:b w:val="0"/>
                <w:bCs w:val="0"/>
                <w:color w:val="444444"/>
                <w:sz w:val="20"/>
                <w:szCs w:val="20"/>
              </w:rPr>
              <w:t>Requests/seg, latencia, tasa de error</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DB062E">
            <w:r>
              <w:rPr>
                <w:rFonts w:ascii="Arial" w:hAnsi="Arial" w:eastAsia="Arial" w:cs="Arial"/>
                <w:b w:val="0"/>
                <w:bCs w:val="0"/>
                <w:color w:val="444444"/>
                <w:sz w:val="20"/>
                <w:szCs w:val="20"/>
              </w:rPr>
              <w:t>P95 latencia &lt; 500ms, Error rate &lt; 1%</w:t>
            </w:r>
          </w:p>
        </w:tc>
      </w:tr>
      <w:tr w14:paraId="0BF99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5B84C503">
            <w:r>
              <w:rPr>
                <w:rFonts w:ascii="Arial" w:hAnsi="Arial" w:eastAsia="Arial" w:cs="Arial"/>
                <w:b/>
                <w:bCs/>
                <w:color w:val="444444"/>
                <w:sz w:val="20"/>
                <w:szCs w:val="20"/>
              </w:rPr>
              <w:t>Base de datos</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22A22EA7">
            <w:r>
              <w:rPr>
                <w:rFonts w:ascii="Arial" w:hAnsi="Arial" w:eastAsia="Arial" w:cs="Arial"/>
                <w:b w:val="0"/>
                <w:bCs w:val="0"/>
                <w:color w:val="444444"/>
                <w:sz w:val="20"/>
                <w:szCs w:val="20"/>
              </w:rPr>
              <w:t>Conexiones activas, query time, replicación</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6D1E98AD">
            <w:r>
              <w:rPr>
                <w:rFonts w:ascii="Arial" w:hAnsi="Arial" w:eastAsia="Arial" w:cs="Arial"/>
                <w:b w:val="0"/>
                <w:bCs w:val="0"/>
                <w:color w:val="444444"/>
                <w:sz w:val="20"/>
                <w:szCs w:val="20"/>
              </w:rPr>
              <w:t>Query time &lt; 200ms</w:t>
            </w:r>
          </w:p>
        </w:tc>
      </w:tr>
      <w:tr w14:paraId="499AE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6C13148B">
            <w:r>
              <w:rPr>
                <w:rFonts w:ascii="Arial" w:hAnsi="Arial" w:eastAsia="Arial" w:cs="Arial"/>
                <w:b/>
                <w:bCs/>
                <w:color w:val="444444"/>
                <w:sz w:val="20"/>
                <w:szCs w:val="20"/>
              </w:rPr>
              <w:t>Disponibilidad</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CC4721">
            <w:r>
              <w:rPr>
                <w:rFonts w:ascii="Arial" w:hAnsi="Arial" w:eastAsia="Arial" w:cs="Arial"/>
                <w:b w:val="0"/>
                <w:bCs w:val="0"/>
                <w:color w:val="444444"/>
                <w:sz w:val="20"/>
                <w:szCs w:val="20"/>
              </w:rPr>
              <w:t>Uptime del servicio, health checks</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57B0C8">
            <w:r>
              <w:rPr>
                <w:rFonts w:ascii="Arial" w:hAnsi="Arial" w:eastAsia="Arial" w:cs="Arial"/>
                <w:b w:val="0"/>
                <w:bCs w:val="0"/>
                <w:color w:val="444444"/>
                <w:sz w:val="20"/>
                <w:szCs w:val="20"/>
              </w:rPr>
              <w:t>Uptime ≥ 99.5%</w:t>
            </w:r>
          </w:p>
        </w:tc>
      </w:tr>
      <w:tr w14:paraId="5340F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2B68C4B3">
            <w:r>
              <w:rPr>
                <w:rFonts w:ascii="Arial" w:hAnsi="Arial" w:eastAsia="Arial" w:cs="Arial"/>
                <w:b/>
                <w:bCs/>
                <w:color w:val="444444"/>
                <w:sz w:val="20"/>
                <w:szCs w:val="20"/>
              </w:rPr>
              <w:t>Pipeline CI/CD</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7009193D">
            <w:r>
              <w:rPr>
                <w:rFonts w:ascii="Arial" w:hAnsi="Arial" w:eastAsia="Arial" w:cs="Arial"/>
                <w:b w:val="0"/>
                <w:bCs w:val="0"/>
                <w:color w:val="444444"/>
                <w:sz w:val="20"/>
                <w:szCs w:val="20"/>
              </w:rPr>
              <w:t>Duración, tasa de éxito, frecuencia</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5A13E661">
            <w:r>
              <w:rPr>
                <w:rFonts w:ascii="Arial" w:hAnsi="Arial" w:eastAsia="Arial" w:cs="Arial"/>
                <w:b w:val="0"/>
                <w:bCs w:val="0"/>
                <w:color w:val="444444"/>
                <w:sz w:val="20"/>
                <w:szCs w:val="20"/>
              </w:rPr>
              <w:t>Éxito &gt; 90%</w:t>
            </w:r>
          </w:p>
        </w:tc>
      </w:tr>
    </w:tbl>
    <w:p w14:paraId="07D3222F">
      <w:pPr>
        <w:spacing w:before="80" w:after="80"/>
      </w:pPr>
    </w:p>
    <w:p w14:paraId="0AE0539E">
      <w:pPr>
        <w:pStyle w:val="3"/>
        <w:spacing w:before="240" w:after="80"/>
      </w:pPr>
      <w:r>
        <w:rPr>
          <w:rFonts w:ascii="Arial" w:hAnsi="Arial" w:eastAsia="Arial" w:cs="Arial"/>
          <w:b/>
          <w:bCs/>
          <w:color w:val="2E75B6"/>
          <w:sz w:val="26"/>
          <w:szCs w:val="26"/>
        </w:rPr>
        <w:t>4.4 Sistema de Alertas</w:t>
      </w:r>
    </w:p>
    <w:p w14:paraId="2DF6E59C">
      <w:pPr>
        <w:spacing w:before="60" w:after="100"/>
        <w:jc w:val="both"/>
      </w:pPr>
      <w:r>
        <w:rPr>
          <w:rFonts w:ascii="Arial" w:hAnsi="Arial" w:eastAsia="Arial" w:cs="Arial"/>
          <w:color w:val="444444"/>
          <w:sz w:val="22"/>
          <w:szCs w:val="22"/>
        </w:rPr>
        <w:t>Se configuraron alertas automáticas para notificar al equipo ante condiciones anómalas:</w:t>
      </w:r>
    </w:p>
    <w:p w14:paraId="5FEF55FE">
      <w:pPr>
        <w:pStyle w:val="16"/>
        <w:numPr>
          <w:ilvl w:val="0"/>
          <w:numId w:val="1"/>
        </w:numPr>
        <w:spacing w:before="40" w:after="40"/>
      </w:pPr>
      <w:r>
        <w:rPr>
          <w:rFonts w:ascii="Arial" w:hAnsi="Arial" w:eastAsia="Arial" w:cs="Arial"/>
          <w:color w:val="444444"/>
          <w:sz w:val="22"/>
          <w:szCs w:val="22"/>
        </w:rPr>
        <w:t>Alertas de severidad crítica: notificación inmediata vía [canal] cuando se superan umbrales definidos.</w:t>
      </w:r>
    </w:p>
    <w:p w14:paraId="60AF2058">
      <w:pPr>
        <w:pStyle w:val="16"/>
        <w:numPr>
          <w:ilvl w:val="0"/>
          <w:numId w:val="1"/>
        </w:numPr>
        <w:spacing w:before="40" w:after="40"/>
      </w:pPr>
      <w:r>
        <w:rPr>
          <w:rFonts w:ascii="Arial" w:hAnsi="Arial" w:eastAsia="Arial" w:cs="Arial"/>
          <w:color w:val="444444"/>
          <w:sz w:val="22"/>
          <w:szCs w:val="22"/>
        </w:rPr>
        <w:t>Alertas de advertencia: notificación preventiva antes de alcanzar el umbral crítico.</w:t>
      </w:r>
    </w:p>
    <w:p w14:paraId="3B0EEE55">
      <w:pPr>
        <w:pStyle w:val="16"/>
        <w:numPr>
          <w:ilvl w:val="0"/>
          <w:numId w:val="1"/>
        </w:numPr>
        <w:spacing w:before="40" w:after="40"/>
      </w:pPr>
      <w:r>
        <w:rPr>
          <w:rFonts w:ascii="Arial" w:hAnsi="Arial" w:eastAsia="Arial" w:cs="Arial"/>
          <w:color w:val="444444"/>
          <w:sz w:val="22"/>
          <w:szCs w:val="22"/>
        </w:rPr>
        <w:t>Silenciamiento durante mantenimientos: configuración de períodos de inhibición programados.</w:t>
      </w:r>
    </w:p>
    <w:p w14:paraId="46630077">
      <w:pPr>
        <w:pStyle w:val="16"/>
        <w:numPr>
          <w:ilvl w:val="0"/>
          <w:numId w:val="1"/>
        </w:numPr>
        <w:spacing w:before="40" w:after="40"/>
      </w:pPr>
      <w:r>
        <w:rPr>
          <w:rFonts w:ascii="Arial" w:hAnsi="Arial" w:eastAsia="Arial" w:cs="Arial"/>
          <w:color w:val="444444"/>
          <w:sz w:val="22"/>
          <w:szCs w:val="22"/>
        </w:rPr>
        <w:t>Escalamiento automático: si la alerta no es atendida en [N] minutos, se escala al siguiente nivel.</w:t>
      </w:r>
    </w:p>
    <w:p w14:paraId="74D22AC5">
      <w:pPr>
        <w:pStyle w:val="3"/>
        <w:spacing w:before="240" w:after="80"/>
      </w:pPr>
      <w:r>
        <w:rPr>
          <w:rFonts w:ascii="Arial" w:hAnsi="Arial" w:eastAsia="Arial" w:cs="Arial"/>
          <w:b/>
          <w:bCs/>
          <w:color w:val="2E75B6"/>
          <w:sz w:val="26"/>
          <w:szCs w:val="26"/>
        </w:rPr>
        <w:t>4.5 Gestión de Logs</w:t>
      </w:r>
    </w:p>
    <w:p w14:paraId="49A2623C">
      <w:pPr>
        <w:spacing w:before="60" w:after="100"/>
        <w:jc w:val="both"/>
      </w:pPr>
      <w:r>
        <w:rPr>
          <w:rFonts w:ascii="Arial" w:hAnsi="Arial" w:eastAsia="Arial" w:cs="Arial"/>
          <w:color w:val="444444"/>
          <w:sz w:val="22"/>
          <w:szCs w:val="22"/>
        </w:rPr>
        <w:t>Los logs de la aplicación e infraestructura fueron centralizados y estructurados de la siguiente manera:</w:t>
      </w:r>
    </w:p>
    <w:p w14:paraId="6221FB30">
      <w:pPr>
        <w:pStyle w:val="16"/>
        <w:numPr>
          <w:ilvl w:val="0"/>
          <w:numId w:val="1"/>
        </w:numPr>
        <w:spacing w:before="40" w:after="40"/>
      </w:pPr>
      <w:r>
        <w:rPr>
          <w:rFonts w:ascii="Arial" w:hAnsi="Arial" w:eastAsia="Arial" w:cs="Arial"/>
          <w:color w:val="444444"/>
          <w:sz w:val="22"/>
          <w:szCs w:val="22"/>
        </w:rPr>
        <w:t>Formato de log: JSON estructurado con campos estándar (timestamp, nivel, servicio, mensaje, traceId).</w:t>
      </w:r>
    </w:p>
    <w:p w14:paraId="1B4E490E">
      <w:pPr>
        <w:pStyle w:val="16"/>
        <w:numPr>
          <w:ilvl w:val="0"/>
          <w:numId w:val="1"/>
        </w:numPr>
        <w:spacing w:before="40" w:after="40"/>
      </w:pPr>
      <w:r>
        <w:rPr>
          <w:rFonts w:ascii="Arial" w:hAnsi="Arial" w:eastAsia="Arial" w:cs="Arial"/>
          <w:color w:val="444444"/>
          <w:sz w:val="22"/>
          <w:szCs w:val="22"/>
        </w:rPr>
        <w:t>Retención: logs de producción conservados por [N] días; logs de auditoría por [N] meses.</w:t>
      </w:r>
    </w:p>
    <w:p w14:paraId="396C9F8C">
      <w:pPr>
        <w:pStyle w:val="16"/>
        <w:numPr>
          <w:ilvl w:val="0"/>
          <w:numId w:val="1"/>
        </w:numPr>
        <w:spacing w:before="40" w:after="40"/>
      </w:pPr>
      <w:r>
        <w:rPr>
          <w:rFonts w:ascii="Arial" w:hAnsi="Arial" w:eastAsia="Arial" w:cs="Arial"/>
          <w:color w:val="444444"/>
          <w:sz w:val="22"/>
          <w:szCs w:val="22"/>
        </w:rPr>
        <w:t>Búsqueda y análisis: dashboards predefinidos en [Kibana / Grafana Loki] para consultas frecuentes.</w:t>
      </w:r>
    </w:p>
    <w:p w14:paraId="1C8E614E">
      <w:pPr>
        <w:pStyle w:val="16"/>
        <w:numPr>
          <w:ilvl w:val="0"/>
          <w:numId w:val="1"/>
        </w:numPr>
        <w:spacing w:before="40" w:after="40"/>
      </w:pPr>
      <w:r>
        <w:rPr>
          <w:rFonts w:ascii="Arial" w:hAnsi="Arial" w:eastAsia="Arial" w:cs="Arial"/>
          <w:color w:val="444444"/>
          <w:sz w:val="22"/>
          <w:szCs w:val="22"/>
        </w:rPr>
        <w:t>Alertas basadas en logs: detección de patrones de error mediante queries automatizados.</w:t>
      </w:r>
    </w:p>
    <w:p w14:paraId="13A694A5">
      <w:pPr>
        <w:pStyle w:val="3"/>
        <w:spacing w:before="240" w:after="80"/>
      </w:pPr>
      <w:r>
        <w:rPr>
          <w:rFonts w:ascii="Arial" w:hAnsi="Arial" w:eastAsia="Arial" w:cs="Arial"/>
          <w:b/>
          <w:bCs/>
          <w:color w:val="2E75B6"/>
          <w:sz w:val="26"/>
          <w:szCs w:val="26"/>
        </w:rPr>
        <w:t>4.6 Dashboards Implementados</w:t>
      </w:r>
    </w:p>
    <w:p w14:paraId="0DA58AD3">
      <w:pPr>
        <w:spacing w:before="60" w:after="100"/>
        <w:jc w:val="both"/>
      </w:pPr>
      <w:r>
        <w:rPr>
          <w:rFonts w:ascii="Arial" w:hAnsi="Arial" w:eastAsia="Arial" w:cs="Arial"/>
          <w:color w:val="444444"/>
          <w:sz w:val="22"/>
          <w:szCs w:val="22"/>
        </w:rPr>
        <w:t>Se crearon los siguientes dashboards de visualización para el equipo:</w:t>
      </w:r>
    </w:p>
    <w:p w14:paraId="26507004">
      <w:pPr>
        <w:pStyle w:val="16"/>
        <w:numPr>
          <w:ilvl w:val="0"/>
          <w:numId w:val="1"/>
        </w:numPr>
        <w:spacing w:before="40" w:after="40"/>
      </w:pPr>
      <w:r>
        <w:rPr>
          <w:rFonts w:ascii="Arial" w:hAnsi="Arial" w:eastAsia="Arial" w:cs="Arial"/>
          <w:color w:val="444444"/>
          <w:sz w:val="22"/>
          <w:szCs w:val="22"/>
        </w:rPr>
        <w:t>Dashboard General del Sistema: vista unificada del estado de salud de todos los componentes.</w:t>
      </w:r>
    </w:p>
    <w:p w14:paraId="45FE888B">
      <w:pPr>
        <w:pStyle w:val="16"/>
        <w:numPr>
          <w:ilvl w:val="0"/>
          <w:numId w:val="1"/>
        </w:numPr>
        <w:spacing w:before="40" w:after="40"/>
      </w:pPr>
      <w:r>
        <w:rPr>
          <w:rFonts w:ascii="Arial" w:hAnsi="Arial" w:eastAsia="Arial" w:cs="Arial"/>
          <w:color w:val="444444"/>
          <w:sz w:val="22"/>
          <w:szCs w:val="22"/>
        </w:rPr>
        <w:t>Dashboard de Aplicación: métricas de rendimiento, errores y tráfico en tiempo real.</w:t>
      </w:r>
    </w:p>
    <w:p w14:paraId="70239628">
      <w:pPr>
        <w:pStyle w:val="16"/>
        <w:numPr>
          <w:ilvl w:val="0"/>
          <w:numId w:val="1"/>
        </w:numPr>
        <w:spacing w:before="40" w:after="40"/>
      </w:pPr>
      <w:r>
        <w:rPr>
          <w:rFonts w:ascii="Arial" w:hAnsi="Arial" w:eastAsia="Arial" w:cs="Arial"/>
          <w:color w:val="444444"/>
          <w:sz w:val="22"/>
          <w:szCs w:val="22"/>
        </w:rPr>
        <w:t>Dashboard de Infraestructura: uso de recursos por nodo y ambiente.</w:t>
      </w:r>
    </w:p>
    <w:p w14:paraId="51AE8151">
      <w:pPr>
        <w:pStyle w:val="16"/>
        <w:numPr>
          <w:ilvl w:val="0"/>
          <w:numId w:val="1"/>
        </w:numPr>
        <w:spacing w:before="40" w:after="40"/>
      </w:pPr>
      <w:r>
        <w:rPr>
          <w:rFonts w:ascii="Arial" w:hAnsi="Arial" w:eastAsia="Arial" w:cs="Arial"/>
          <w:color w:val="444444"/>
          <w:sz w:val="22"/>
          <w:szCs w:val="22"/>
        </w:rPr>
        <w:t>Dashboard del Pipeline: estado de los últimos despliegues y métricas del CI/CD.</w:t>
      </w:r>
    </w:p>
    <w:p w14:paraId="3050CF0E">
      <w:pPr>
        <w:spacing w:before="80" w:after="80"/>
      </w:pPr>
    </w:p>
    <w:p w14:paraId="055354F1">
      <w:r>
        <w:br w:type="page"/>
      </w:r>
    </w:p>
    <w:p w14:paraId="7547EA22">
      <w:pPr>
        <w:pStyle w:val="2"/>
        <w:pBdr>
          <w:bottom w:val="single" w:color="2E75B6" w:sz="6" w:space="4"/>
        </w:pBdr>
        <w:spacing w:before="360" w:after="120"/>
      </w:pPr>
      <w:r>
        <w:rPr>
          <w:rFonts w:ascii="Arial" w:hAnsi="Arial" w:eastAsia="Arial" w:cs="Arial"/>
          <w:b/>
          <w:bCs/>
          <w:color w:val="1F3864"/>
          <w:sz w:val="32"/>
          <w:szCs w:val="32"/>
        </w:rPr>
        <w:t>5. Resultados Obtenidos</w:t>
      </w:r>
    </w:p>
    <w:p w14:paraId="69E1FED5">
      <w:pPr>
        <w:spacing w:before="80" w:after="80"/>
      </w:pPr>
    </w:p>
    <w:p w14:paraId="4740624B">
      <w:pPr>
        <w:pStyle w:val="3"/>
        <w:spacing w:before="240" w:after="80"/>
      </w:pPr>
      <w:r>
        <w:rPr>
          <w:rFonts w:ascii="Arial" w:hAnsi="Arial" w:eastAsia="Arial" w:cs="Arial"/>
          <w:b/>
          <w:bCs/>
          <w:color w:val="2E75B6"/>
          <w:sz w:val="26"/>
          <w:szCs w:val="26"/>
        </w:rPr>
        <w:t>5.1 Logros por Área</w:t>
      </w:r>
    </w:p>
    <w:p w14:paraId="1306574F">
      <w:pPr>
        <w:spacing w:before="60" w:after="100"/>
        <w:jc w:val="both"/>
      </w:pPr>
      <w:r>
        <w:rPr>
          <w:rFonts w:ascii="Arial" w:hAnsi="Arial" w:eastAsia="Arial" w:cs="Arial"/>
          <w:color w:val="444444"/>
          <w:sz w:val="22"/>
          <w:szCs w:val="22"/>
        </w:rPr>
        <w:t>A continuación se presenta un resumen del cumplimiento de objetivos en cada área del proyecto:</w:t>
      </w:r>
    </w:p>
    <w:p w14:paraId="0773219E">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25"/>
        <w:gridCol w:w="5152"/>
        <w:gridCol w:w="1583"/>
      </w:tblGrid>
      <w:tr w14:paraId="0F1DB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2E75B6" w:sz="0" w:space="0"/>
              <w:left w:val="single" w:color="2E75B6" w:sz="0" w:space="0"/>
              <w:bottom w:val="single" w:color="2E75B6" w:sz="0" w:space="0"/>
              <w:right w:val="single" w:color="2E75B6" w:sz="0" w:space="0"/>
            </w:tcBorders>
            <w:shd w:val="clear" w:color="auto" w:fill="2E75B6"/>
            <w:tcMar>
              <w:top w:w="100" w:type="dxa"/>
              <w:left w:w="120" w:type="dxa"/>
              <w:bottom w:w="100" w:type="dxa"/>
              <w:right w:w="120" w:type="dxa"/>
            </w:tcMar>
          </w:tcPr>
          <w:p w14:paraId="273ED39E">
            <w:pPr>
              <w:jc w:val="center"/>
            </w:pPr>
            <w:r>
              <w:rPr>
                <w:rFonts w:ascii="Arial" w:hAnsi="Arial" w:eastAsia="Arial" w:cs="Arial"/>
                <w:b/>
                <w:bCs/>
                <w:color w:val="FFFFFF"/>
                <w:sz w:val="20"/>
                <w:szCs w:val="20"/>
              </w:rPr>
              <w:t>Área</w:t>
            </w:r>
          </w:p>
        </w:tc>
        <w:tc>
          <w:tcPr>
            <w:tcBorders>
              <w:top w:val="single" w:color="2E75B6" w:sz="0" w:space="0"/>
              <w:left w:val="single" w:color="2E75B6" w:sz="0" w:space="0"/>
              <w:bottom w:val="single" w:color="2E75B6" w:sz="0" w:space="0"/>
              <w:right w:val="single" w:color="2E75B6" w:sz="0" w:space="0"/>
            </w:tcBorders>
            <w:shd w:val="clear" w:color="auto" w:fill="2E75B6"/>
            <w:tcMar>
              <w:top w:w="100" w:type="dxa"/>
              <w:left w:w="120" w:type="dxa"/>
              <w:bottom w:w="100" w:type="dxa"/>
              <w:right w:w="120" w:type="dxa"/>
            </w:tcMar>
          </w:tcPr>
          <w:p w14:paraId="6B1D1336">
            <w:pPr>
              <w:jc w:val="center"/>
            </w:pPr>
            <w:r>
              <w:rPr>
                <w:rFonts w:ascii="Arial" w:hAnsi="Arial" w:eastAsia="Arial" w:cs="Arial"/>
                <w:b/>
                <w:bCs/>
                <w:color w:val="FFFFFF"/>
                <w:sz w:val="20"/>
                <w:szCs w:val="20"/>
              </w:rPr>
              <w:t>Logros Principales</w:t>
            </w:r>
          </w:p>
        </w:tc>
        <w:tc>
          <w:tcPr>
            <w:tcBorders>
              <w:top w:val="single" w:color="2E75B6" w:sz="0" w:space="0"/>
              <w:left w:val="single" w:color="2E75B6" w:sz="0" w:space="0"/>
              <w:bottom w:val="single" w:color="2E75B6" w:sz="0" w:space="0"/>
              <w:right w:val="single" w:color="2E75B6" w:sz="0" w:space="0"/>
            </w:tcBorders>
            <w:shd w:val="clear" w:color="auto" w:fill="2E75B6"/>
            <w:tcMar>
              <w:top w:w="100" w:type="dxa"/>
              <w:left w:w="120" w:type="dxa"/>
              <w:bottom w:w="100" w:type="dxa"/>
              <w:right w:w="120" w:type="dxa"/>
            </w:tcMar>
          </w:tcPr>
          <w:p w14:paraId="4541606F">
            <w:pPr>
              <w:jc w:val="center"/>
            </w:pPr>
            <w:r>
              <w:rPr>
                <w:rFonts w:ascii="Arial" w:hAnsi="Arial" w:eastAsia="Arial" w:cs="Arial"/>
                <w:b/>
                <w:bCs/>
                <w:color w:val="FFFFFF"/>
                <w:sz w:val="20"/>
                <w:szCs w:val="20"/>
              </w:rPr>
              <w:t>Estado</w:t>
            </w:r>
          </w:p>
        </w:tc>
      </w:tr>
      <w:tr w14:paraId="633C2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773D1881">
            <w:pPr>
              <w:jc w:val="left"/>
            </w:pPr>
            <w:r>
              <w:rPr>
                <w:rFonts w:ascii="Arial" w:hAnsi="Arial" w:eastAsia="Arial" w:cs="Arial"/>
                <w:b/>
                <w:bCs/>
                <w:color w:val="444444"/>
                <w:sz w:val="20"/>
                <w:szCs w:val="20"/>
              </w:rPr>
              <w:t>Gestión de Backlog</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21B1CAD4">
            <w:pPr>
              <w:jc w:val="left"/>
            </w:pPr>
            <w:r>
              <w:rPr>
                <w:rFonts w:ascii="Arial" w:hAnsi="Arial" w:eastAsia="Arial" w:cs="Arial"/>
                <w:b w:val="0"/>
                <w:bCs w:val="0"/>
                <w:color w:val="444444"/>
                <w:sz w:val="20"/>
                <w:szCs w:val="20"/>
              </w:rPr>
              <w:t>Backlog organizado, sprints ejecutados, métricas de equipo definidas</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5901769A">
            <w:pPr>
              <w:jc w:val="center"/>
            </w:pPr>
            <w:r>
              <w:rPr>
                <w:rFonts w:ascii="Arial" w:hAnsi="Arial" w:eastAsia="Arial" w:cs="Arial"/>
                <w:b/>
                <w:bCs/>
                <w:color w:val="2E7D32"/>
                <w:sz w:val="20"/>
                <w:szCs w:val="20"/>
              </w:rPr>
              <w:t>✔ Completado</w:t>
            </w:r>
          </w:p>
        </w:tc>
      </w:tr>
      <w:tr w14:paraId="49596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6718C5AB">
            <w:pPr>
              <w:jc w:val="left"/>
            </w:pPr>
            <w:r>
              <w:rPr>
                <w:rFonts w:ascii="Arial" w:hAnsi="Arial" w:eastAsia="Arial" w:cs="Arial"/>
                <w:b/>
                <w:bCs/>
                <w:color w:val="444444"/>
                <w:sz w:val="20"/>
                <w:szCs w:val="20"/>
              </w:rPr>
              <w:t>Infraestructura como Código</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85AB5F">
            <w:pPr>
              <w:jc w:val="left"/>
            </w:pPr>
            <w:r>
              <w:rPr>
                <w:rFonts w:ascii="Arial" w:hAnsi="Arial" w:eastAsia="Arial" w:cs="Arial"/>
                <w:b w:val="0"/>
                <w:bCs w:val="0"/>
                <w:color w:val="444444"/>
                <w:sz w:val="20"/>
                <w:szCs w:val="20"/>
              </w:rPr>
              <w:t>Ambientes aprovisionados automáticamente, IaC versionada en Git</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256644">
            <w:pPr>
              <w:jc w:val="center"/>
            </w:pPr>
            <w:r>
              <w:rPr>
                <w:rFonts w:ascii="Arial" w:hAnsi="Arial" w:eastAsia="Arial" w:cs="Arial"/>
                <w:b/>
                <w:bCs/>
                <w:color w:val="2E7D32"/>
                <w:sz w:val="20"/>
                <w:szCs w:val="20"/>
              </w:rPr>
              <w:t>✔ Completado</w:t>
            </w:r>
          </w:p>
        </w:tc>
      </w:tr>
      <w:tr w14:paraId="40B6D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7A461F6B">
            <w:pPr>
              <w:jc w:val="left"/>
            </w:pPr>
            <w:r>
              <w:rPr>
                <w:rFonts w:ascii="Arial" w:hAnsi="Arial" w:eastAsia="Arial" w:cs="Arial"/>
                <w:b/>
                <w:bCs/>
                <w:color w:val="444444"/>
                <w:sz w:val="20"/>
                <w:szCs w:val="20"/>
              </w:rPr>
              <w:t>CI/CD</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0AAC57C4">
            <w:pPr>
              <w:jc w:val="left"/>
            </w:pPr>
            <w:r>
              <w:rPr>
                <w:rFonts w:ascii="Arial" w:hAnsi="Arial" w:eastAsia="Arial" w:cs="Arial"/>
                <w:b w:val="0"/>
                <w:bCs w:val="0"/>
                <w:color w:val="444444"/>
                <w:sz w:val="20"/>
                <w:szCs w:val="20"/>
              </w:rPr>
              <w:t>Pipeline funcional con pruebas, build y despliegue automatizado</w:t>
            </w:r>
          </w:p>
        </w:tc>
        <w:tc>
          <w:tcPr>
            <w:tcBorders>
              <w:top w:val="single" w:color="CCCCCC" w:sz="0" w:space="0"/>
              <w:left w:val="single" w:color="CCCCCC" w:sz="0" w:space="0"/>
              <w:bottom w:val="single" w:color="CCCCCC" w:sz="0" w:space="0"/>
              <w:right w:val="single" w:color="CCCCCC" w:sz="0" w:space="0"/>
            </w:tcBorders>
            <w:shd w:val="clear" w:color="auto" w:fill="F7FAFD"/>
            <w:tcMar>
              <w:top w:w="80" w:type="dxa"/>
              <w:left w:w="120" w:type="dxa"/>
              <w:bottom w:w="80" w:type="dxa"/>
              <w:right w:w="120" w:type="dxa"/>
            </w:tcMar>
          </w:tcPr>
          <w:p w14:paraId="79ED48F2">
            <w:pPr>
              <w:jc w:val="center"/>
            </w:pPr>
            <w:r>
              <w:rPr>
                <w:rFonts w:ascii="Arial" w:hAnsi="Arial" w:eastAsia="Arial" w:cs="Arial"/>
                <w:b/>
                <w:bCs/>
                <w:color w:val="2E7D32"/>
                <w:sz w:val="20"/>
                <w:szCs w:val="20"/>
              </w:rPr>
              <w:t>✔ Completado</w:t>
            </w:r>
          </w:p>
        </w:tc>
      </w:tr>
      <w:tr w14:paraId="078F0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6E4F0"/>
            <w:tcMar>
              <w:top w:w="80" w:type="dxa"/>
              <w:left w:w="120" w:type="dxa"/>
              <w:bottom w:w="80" w:type="dxa"/>
              <w:right w:w="120" w:type="dxa"/>
            </w:tcMar>
          </w:tcPr>
          <w:p w14:paraId="5659AD72">
            <w:pPr>
              <w:jc w:val="left"/>
            </w:pPr>
            <w:r>
              <w:rPr>
                <w:rFonts w:ascii="Arial" w:hAnsi="Arial" w:eastAsia="Arial" w:cs="Arial"/>
                <w:b/>
                <w:bCs/>
                <w:color w:val="444444"/>
                <w:sz w:val="20"/>
                <w:szCs w:val="20"/>
              </w:rPr>
              <w:t>Monitoreo</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4F2FC6">
            <w:pPr>
              <w:jc w:val="left"/>
            </w:pPr>
            <w:r>
              <w:rPr>
                <w:rFonts w:ascii="Arial" w:hAnsi="Arial" w:eastAsia="Arial" w:cs="Arial"/>
                <w:b w:val="0"/>
                <w:bCs w:val="0"/>
                <w:color w:val="444444"/>
                <w:sz w:val="20"/>
                <w:szCs w:val="20"/>
              </w:rPr>
              <w:t>Dashboards activos, alertas configuradas, logs centralizados</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B788A3">
            <w:pPr>
              <w:jc w:val="center"/>
            </w:pPr>
            <w:r>
              <w:rPr>
                <w:rFonts w:ascii="Arial" w:hAnsi="Arial" w:eastAsia="Arial" w:cs="Arial"/>
                <w:b/>
                <w:bCs/>
                <w:color w:val="2E7D32"/>
                <w:sz w:val="20"/>
                <w:szCs w:val="20"/>
              </w:rPr>
              <w:t>✔ Completado</w:t>
            </w:r>
          </w:p>
        </w:tc>
      </w:tr>
    </w:tbl>
    <w:p w14:paraId="6E7E1FAC">
      <w:pPr>
        <w:spacing w:before="80" w:after="80"/>
      </w:pPr>
    </w:p>
    <w:p w14:paraId="50144BC1">
      <w:pPr>
        <w:pStyle w:val="3"/>
        <w:spacing w:before="240" w:after="80"/>
      </w:pPr>
      <w:r>
        <w:rPr>
          <w:rFonts w:ascii="Arial" w:hAnsi="Arial" w:eastAsia="Arial" w:cs="Arial"/>
          <w:b/>
          <w:bCs/>
          <w:color w:val="2E75B6"/>
          <w:sz w:val="26"/>
          <w:szCs w:val="26"/>
        </w:rPr>
        <w:t>5.2 Indicadores de Impacto</w:t>
      </w:r>
    </w:p>
    <w:p w14:paraId="281CD354">
      <w:pPr>
        <w:pStyle w:val="16"/>
        <w:numPr>
          <w:ilvl w:val="0"/>
          <w:numId w:val="1"/>
        </w:numPr>
        <w:spacing w:before="40" w:after="40"/>
      </w:pPr>
      <w:r>
        <w:rPr>
          <w:rFonts w:ascii="Arial" w:hAnsi="Arial" w:eastAsia="Arial" w:cs="Arial"/>
          <w:color w:val="444444"/>
          <w:sz w:val="22"/>
          <w:szCs w:val="22"/>
        </w:rPr>
        <w:t>Reducción del tiempo de despliegue manual a [N] minutos de pipeline automatizado.</w:t>
      </w:r>
    </w:p>
    <w:p w14:paraId="39143F7C">
      <w:pPr>
        <w:pStyle w:val="16"/>
        <w:numPr>
          <w:ilvl w:val="0"/>
          <w:numId w:val="1"/>
        </w:numPr>
        <w:spacing w:before="40" w:after="40"/>
      </w:pPr>
      <w:r>
        <w:rPr>
          <w:rFonts w:ascii="Arial" w:hAnsi="Arial" w:eastAsia="Arial" w:cs="Arial"/>
          <w:color w:val="444444"/>
          <w:sz w:val="22"/>
          <w:szCs w:val="22"/>
        </w:rPr>
        <w:t>Incremento de la cobertura de pruebas hasta un [N]% del código.</w:t>
      </w:r>
    </w:p>
    <w:p w14:paraId="245A6842">
      <w:pPr>
        <w:pStyle w:val="16"/>
        <w:numPr>
          <w:ilvl w:val="0"/>
          <w:numId w:val="1"/>
        </w:numPr>
        <w:spacing w:before="40" w:after="40"/>
      </w:pPr>
      <w:r>
        <w:rPr>
          <w:rFonts w:ascii="Arial" w:hAnsi="Arial" w:eastAsia="Arial" w:cs="Arial"/>
          <w:color w:val="444444"/>
          <w:sz w:val="22"/>
          <w:szCs w:val="22"/>
        </w:rPr>
        <w:t>Disponibilidad del sistema en producción: [N]% durante el período evaluado.</w:t>
      </w:r>
    </w:p>
    <w:p w14:paraId="0F7CC9B4">
      <w:pPr>
        <w:pStyle w:val="16"/>
        <w:numPr>
          <w:ilvl w:val="0"/>
          <w:numId w:val="1"/>
        </w:numPr>
        <w:spacing w:before="40" w:after="40"/>
      </w:pPr>
      <w:r>
        <w:rPr>
          <w:rFonts w:ascii="Arial" w:hAnsi="Arial" w:eastAsia="Arial" w:cs="Arial"/>
          <w:color w:val="444444"/>
          <w:sz w:val="22"/>
          <w:szCs w:val="22"/>
        </w:rPr>
        <w:t>Reducción de incidentes en producción respecto a la línea base: [N]%.</w:t>
      </w:r>
    </w:p>
    <w:p w14:paraId="3D26F40D">
      <w:pPr>
        <w:spacing w:before="80" w:after="80"/>
      </w:pPr>
    </w:p>
    <w:p w14:paraId="2D85C06A">
      <w:r>
        <w:br w:type="page"/>
      </w:r>
    </w:p>
    <w:p w14:paraId="21CB8F53">
      <w:pPr>
        <w:pStyle w:val="2"/>
        <w:pBdr>
          <w:bottom w:val="single" w:color="2E75B6" w:sz="6" w:space="4"/>
        </w:pBdr>
        <w:spacing w:before="360" w:after="120"/>
      </w:pPr>
      <w:r>
        <w:rPr>
          <w:rFonts w:ascii="Arial" w:hAnsi="Arial" w:eastAsia="Arial" w:cs="Arial"/>
          <w:b/>
          <w:bCs/>
          <w:color w:val="1F3864"/>
          <w:sz w:val="32"/>
          <w:szCs w:val="32"/>
        </w:rPr>
        <w:t>6. Conclusiones</w:t>
      </w:r>
    </w:p>
    <w:p w14:paraId="13C71837">
      <w:pPr>
        <w:spacing w:before="80" w:after="80"/>
      </w:pPr>
    </w:p>
    <w:p w14:paraId="707B3157">
      <w:pPr>
        <w:spacing w:before="60" w:after="100"/>
        <w:jc w:val="both"/>
      </w:pPr>
      <w:r>
        <w:rPr>
          <w:rFonts w:ascii="Arial" w:hAnsi="Arial" w:eastAsia="Arial" w:cs="Arial"/>
          <w:color w:val="444444"/>
          <w:sz w:val="22"/>
          <w:szCs w:val="22"/>
        </w:rPr>
        <w:t>El proyecto permitió al equipo adquirir experiencia práctica en la implementación de una cultura y un conjunto de herramientas DevOps de manera integrada. Las principales conclusiones obtenidas son:</w:t>
      </w:r>
    </w:p>
    <w:p w14:paraId="2A568928">
      <w:pPr>
        <w:spacing w:before="80" w:after="80"/>
      </w:pPr>
    </w:p>
    <w:p w14:paraId="5F7B50D1">
      <w:pPr>
        <w:pStyle w:val="3"/>
        <w:spacing w:before="240" w:after="80"/>
      </w:pPr>
      <w:r>
        <w:rPr>
          <w:rFonts w:ascii="Arial" w:hAnsi="Arial" w:eastAsia="Arial" w:cs="Arial"/>
          <w:b/>
          <w:bCs/>
          <w:color w:val="2E75B6"/>
          <w:sz w:val="26"/>
          <w:szCs w:val="26"/>
        </w:rPr>
        <w:t>6.1 Sobre la Gestión de Backlog</w:t>
      </w:r>
    </w:p>
    <w:p w14:paraId="7571A17F">
      <w:pPr>
        <w:spacing w:before="60" w:after="100"/>
        <w:jc w:val="both"/>
      </w:pPr>
      <w:r>
        <w:rPr>
          <w:rFonts w:ascii="Arial" w:hAnsi="Arial" w:eastAsia="Arial" w:cs="Arial"/>
          <w:color w:val="444444"/>
          <w:sz w:val="22"/>
          <w:szCs w:val="22"/>
        </w:rPr>
        <w:t>La adopción de un backlog estructurado y priorizado fue fundamental para mantener el foco del equipo y asegurar la entrega continua de valor. La práctica de revisiones periódicas del backlog (refinamiento) mejoró la calidad de las estimaciones y redujo la ambigüedad en las tareas.</w:t>
      </w:r>
    </w:p>
    <w:p w14:paraId="2EFB5A66">
      <w:pPr>
        <w:pStyle w:val="3"/>
        <w:spacing w:before="240" w:after="80"/>
      </w:pPr>
      <w:r>
        <w:rPr>
          <w:rFonts w:ascii="Arial" w:hAnsi="Arial" w:eastAsia="Arial" w:cs="Arial"/>
          <w:b/>
          <w:bCs/>
          <w:color w:val="2E75B6"/>
          <w:sz w:val="26"/>
          <w:szCs w:val="26"/>
        </w:rPr>
        <w:t>6.2 Sobre la Infraestructura como Código</w:t>
      </w:r>
    </w:p>
    <w:p w14:paraId="1CA38212">
      <w:pPr>
        <w:spacing w:before="60" w:after="100"/>
        <w:jc w:val="both"/>
      </w:pPr>
      <w:r>
        <w:rPr>
          <w:rFonts w:ascii="Arial" w:hAnsi="Arial" w:eastAsia="Arial" w:cs="Arial"/>
          <w:color w:val="444444"/>
          <w:sz w:val="22"/>
          <w:szCs w:val="22"/>
        </w:rPr>
        <w:t>La definición de la infraestructura mediante código eliminó la dependencia de configuraciones manuales y redujo drásticamente los errores de ambiente. La capacidad de reproducir entornos idénticos en minutos demostró ser una ventaja competitiva significativa para el ciclo de desarrollo.</w:t>
      </w:r>
    </w:p>
    <w:p w14:paraId="6F9FE35F">
      <w:pPr>
        <w:pStyle w:val="3"/>
        <w:spacing w:before="240" w:after="80"/>
      </w:pPr>
      <w:r>
        <w:rPr>
          <w:rFonts w:ascii="Arial" w:hAnsi="Arial" w:eastAsia="Arial" w:cs="Arial"/>
          <w:b/>
          <w:bCs/>
          <w:color w:val="2E75B6"/>
          <w:sz w:val="26"/>
          <w:szCs w:val="26"/>
        </w:rPr>
        <w:t>6.3 Sobre CI/CD</w:t>
      </w:r>
    </w:p>
    <w:p w14:paraId="21229550">
      <w:pPr>
        <w:spacing w:before="60" w:after="100"/>
        <w:jc w:val="both"/>
      </w:pPr>
      <w:r>
        <w:rPr>
          <w:rFonts w:ascii="Arial" w:hAnsi="Arial" w:eastAsia="Arial" w:cs="Arial"/>
          <w:color w:val="444444"/>
          <w:sz w:val="22"/>
          <w:szCs w:val="22"/>
        </w:rPr>
        <w:t>La implementación del pipeline de CI/CD transformó la manera en que el equipo entrega software. La automatización de pruebas y despliegues brindó confianza para realizar cambios frecuentes, acortando el ciclo de retroalimentación y permitiendo detectar problemas en etapas tempranas del desarrollo.</w:t>
      </w:r>
    </w:p>
    <w:p w14:paraId="1D9772C6">
      <w:pPr>
        <w:pStyle w:val="3"/>
        <w:spacing w:before="240" w:after="80"/>
      </w:pPr>
      <w:r>
        <w:rPr>
          <w:rFonts w:ascii="Arial" w:hAnsi="Arial" w:eastAsia="Arial" w:cs="Arial"/>
          <w:b/>
          <w:bCs/>
          <w:color w:val="2E75B6"/>
          <w:sz w:val="26"/>
          <w:szCs w:val="26"/>
        </w:rPr>
        <w:t>6.4 Sobre el Monitoreo</w:t>
      </w:r>
    </w:p>
    <w:p w14:paraId="248858E0">
      <w:pPr>
        <w:spacing w:before="60" w:after="100"/>
        <w:jc w:val="both"/>
      </w:pPr>
      <w:r>
        <w:rPr>
          <w:rFonts w:ascii="Arial" w:hAnsi="Arial" w:eastAsia="Arial" w:cs="Arial"/>
          <w:color w:val="444444"/>
          <w:sz w:val="22"/>
          <w:szCs w:val="22"/>
        </w:rPr>
        <w:t>El monitoreo proactivo del sistema demostró ser esencial para mantener la estabilidad en producción. La disponibilidad de métricas, logs y alertas en tiempo real permitió al equipo responder con rapidez ante incidentes y tomar decisiones basadas en datos objetivos.</w:t>
      </w:r>
    </w:p>
    <w:p w14:paraId="4D5C6020">
      <w:pPr>
        <w:spacing w:before="80" w:after="80"/>
      </w:pPr>
    </w:p>
    <w:p w14:paraId="5005CC56">
      <w:r>
        <w:br w:type="page"/>
      </w:r>
    </w:p>
    <w:p w14:paraId="36741654">
      <w:pPr>
        <w:pStyle w:val="2"/>
        <w:pBdr>
          <w:bottom w:val="single" w:color="2E75B6" w:sz="6" w:space="4"/>
        </w:pBdr>
        <w:spacing w:before="360" w:after="120"/>
      </w:pPr>
      <w:r>
        <w:rPr>
          <w:rFonts w:ascii="Arial" w:hAnsi="Arial" w:eastAsia="Arial" w:cs="Arial"/>
          <w:b/>
          <w:bCs/>
          <w:color w:val="1F3864"/>
          <w:sz w:val="32"/>
          <w:szCs w:val="32"/>
        </w:rPr>
        <w:t>7. Recomendaciones</w:t>
      </w:r>
    </w:p>
    <w:p w14:paraId="3CB85219">
      <w:pPr>
        <w:spacing w:before="80" w:after="80"/>
      </w:pPr>
    </w:p>
    <w:p w14:paraId="6CBFBFD1">
      <w:pPr>
        <w:spacing w:before="60" w:after="100"/>
        <w:jc w:val="both"/>
      </w:pPr>
      <w:r>
        <w:rPr>
          <w:rFonts w:ascii="Arial" w:hAnsi="Arial" w:eastAsia="Arial" w:cs="Arial"/>
          <w:color w:val="444444"/>
          <w:sz w:val="22"/>
          <w:szCs w:val="22"/>
        </w:rPr>
        <w:t>Con base en las lecciones aprendidas durante el desarrollo del proyecto, se realizan las siguientes recomendaciones para futuros proyectos o para la evolución del presente:</w:t>
      </w:r>
    </w:p>
    <w:p w14:paraId="4E9BB42A">
      <w:pPr>
        <w:spacing w:before="80" w:after="80"/>
      </w:pPr>
    </w:p>
    <w:p w14:paraId="7440ECCB">
      <w:pPr>
        <w:pStyle w:val="3"/>
        <w:spacing w:before="240" w:after="80"/>
      </w:pPr>
      <w:r>
        <w:rPr>
          <w:rFonts w:ascii="Arial" w:hAnsi="Arial" w:eastAsia="Arial" w:cs="Arial"/>
          <w:b/>
          <w:bCs/>
          <w:color w:val="2E75B6"/>
          <w:sz w:val="26"/>
          <w:szCs w:val="26"/>
        </w:rPr>
        <w:t>7.1 Gestión de Backlog</w:t>
      </w:r>
    </w:p>
    <w:p w14:paraId="6E77C36E">
      <w:pPr>
        <w:pStyle w:val="16"/>
        <w:numPr>
          <w:ilvl w:val="0"/>
          <w:numId w:val="1"/>
        </w:numPr>
        <w:spacing w:before="40" w:after="40"/>
      </w:pPr>
      <w:r>
        <w:rPr>
          <w:rFonts w:ascii="Arial" w:hAnsi="Arial" w:eastAsia="Arial" w:cs="Arial"/>
          <w:color w:val="444444"/>
          <w:sz w:val="22"/>
          <w:szCs w:val="22"/>
        </w:rPr>
        <w:t>Incorporar sesiones de refinamiento del backlog con una frecuencia mayor para mejorar la calidad de las historias antes de cada sprint.</w:t>
      </w:r>
    </w:p>
    <w:p w14:paraId="5C721CFD">
      <w:pPr>
        <w:pStyle w:val="16"/>
        <w:numPr>
          <w:ilvl w:val="0"/>
          <w:numId w:val="1"/>
        </w:numPr>
        <w:spacing w:before="40" w:after="40"/>
      </w:pPr>
      <w:r>
        <w:rPr>
          <w:rFonts w:ascii="Arial" w:hAnsi="Arial" w:eastAsia="Arial" w:cs="Arial"/>
          <w:color w:val="444444"/>
          <w:sz w:val="22"/>
          <w:szCs w:val="22"/>
        </w:rPr>
        <w:t>Establecer métricas de equipo desde el inicio del proyecto para poder comparar la evolución a lo largo del tiempo.</w:t>
      </w:r>
    </w:p>
    <w:p w14:paraId="5E589B8C">
      <w:pPr>
        <w:pStyle w:val="16"/>
        <w:numPr>
          <w:ilvl w:val="0"/>
          <w:numId w:val="1"/>
        </w:numPr>
        <w:spacing w:before="40" w:after="40"/>
      </w:pPr>
      <w:r>
        <w:rPr>
          <w:rFonts w:ascii="Arial" w:hAnsi="Arial" w:eastAsia="Arial" w:cs="Arial"/>
          <w:color w:val="444444"/>
          <w:sz w:val="22"/>
          <w:szCs w:val="22"/>
        </w:rPr>
        <w:t>Formalizar el proceso de gestión de dependencias entre historias para evitar bloqueos durante los sprints.</w:t>
      </w:r>
    </w:p>
    <w:p w14:paraId="3CF7703E">
      <w:pPr>
        <w:pStyle w:val="3"/>
        <w:spacing w:before="240" w:after="80"/>
      </w:pPr>
      <w:r>
        <w:rPr>
          <w:rFonts w:ascii="Arial" w:hAnsi="Arial" w:eastAsia="Arial" w:cs="Arial"/>
          <w:b/>
          <w:bCs/>
          <w:color w:val="2E75B6"/>
          <w:sz w:val="26"/>
          <w:szCs w:val="26"/>
        </w:rPr>
        <w:t>7.2 Infraestructura como Código</w:t>
      </w:r>
    </w:p>
    <w:p w14:paraId="446DF9ED">
      <w:pPr>
        <w:pStyle w:val="16"/>
        <w:numPr>
          <w:ilvl w:val="0"/>
          <w:numId w:val="1"/>
        </w:numPr>
        <w:spacing w:before="40" w:after="40"/>
      </w:pPr>
      <w:r>
        <w:rPr>
          <w:rFonts w:ascii="Arial" w:hAnsi="Arial" w:eastAsia="Arial" w:cs="Arial"/>
          <w:color w:val="444444"/>
          <w:sz w:val="22"/>
          <w:szCs w:val="22"/>
        </w:rPr>
        <w:t>Implementar políticas de validación automática (Policy as Code) para verificar el cumplimiento de estándares de seguridad en la infraestructura.</w:t>
      </w:r>
    </w:p>
    <w:p w14:paraId="0E06F2F3">
      <w:pPr>
        <w:pStyle w:val="16"/>
        <w:numPr>
          <w:ilvl w:val="0"/>
          <w:numId w:val="1"/>
        </w:numPr>
        <w:spacing w:before="40" w:after="40"/>
      </w:pPr>
      <w:r>
        <w:rPr>
          <w:rFonts w:ascii="Arial" w:hAnsi="Arial" w:eastAsia="Arial" w:cs="Arial"/>
          <w:color w:val="444444"/>
          <w:sz w:val="22"/>
          <w:szCs w:val="22"/>
        </w:rPr>
        <w:t>Explorar el uso de módulos compartidos en un repositorio centralizado para acelerar el aprovisionamiento en futuros proyectos.</w:t>
      </w:r>
    </w:p>
    <w:p w14:paraId="51D8FFEF">
      <w:pPr>
        <w:pStyle w:val="16"/>
        <w:numPr>
          <w:ilvl w:val="0"/>
          <w:numId w:val="1"/>
        </w:numPr>
        <w:spacing w:before="40" w:after="40"/>
      </w:pPr>
      <w:r>
        <w:rPr>
          <w:rFonts w:ascii="Arial" w:hAnsi="Arial" w:eastAsia="Arial" w:cs="Arial"/>
          <w:color w:val="444444"/>
          <w:sz w:val="22"/>
          <w:szCs w:val="22"/>
        </w:rPr>
        <w:t>Incorporar pruebas de infraestructura (infrastructure testing) con herramientas como Terratest o Checkov.</w:t>
      </w:r>
    </w:p>
    <w:p w14:paraId="4368A9B9">
      <w:pPr>
        <w:pStyle w:val="3"/>
        <w:spacing w:before="240" w:after="80"/>
      </w:pPr>
      <w:r>
        <w:rPr>
          <w:rFonts w:ascii="Arial" w:hAnsi="Arial" w:eastAsia="Arial" w:cs="Arial"/>
          <w:b/>
          <w:bCs/>
          <w:color w:val="2E75B6"/>
          <w:sz w:val="26"/>
          <w:szCs w:val="26"/>
        </w:rPr>
        <w:t>7.3 CI/CD</w:t>
      </w:r>
    </w:p>
    <w:p w14:paraId="78BD74D8">
      <w:pPr>
        <w:pStyle w:val="16"/>
        <w:numPr>
          <w:ilvl w:val="0"/>
          <w:numId w:val="1"/>
        </w:numPr>
        <w:spacing w:before="40" w:after="40"/>
      </w:pPr>
      <w:r>
        <w:rPr>
          <w:rFonts w:ascii="Arial" w:hAnsi="Arial" w:eastAsia="Arial" w:cs="Arial"/>
          <w:color w:val="444444"/>
          <w:sz w:val="22"/>
          <w:szCs w:val="22"/>
        </w:rPr>
        <w:t>Extender el pipeline con etapas de pruebas de rendimiento (performance testing) y pruebas de aceptación de usuario (UAT) automatizadas.</w:t>
      </w:r>
    </w:p>
    <w:p w14:paraId="152E9589">
      <w:pPr>
        <w:pStyle w:val="16"/>
        <w:numPr>
          <w:ilvl w:val="0"/>
          <w:numId w:val="1"/>
        </w:numPr>
        <w:spacing w:before="40" w:after="40"/>
      </w:pPr>
      <w:r>
        <w:rPr>
          <w:rFonts w:ascii="Arial" w:hAnsi="Arial" w:eastAsia="Arial" w:cs="Arial"/>
          <w:color w:val="444444"/>
          <w:sz w:val="22"/>
          <w:szCs w:val="22"/>
        </w:rPr>
        <w:t>Implementar estrategias de despliegue avanzadas como Canary Releases o Feature Flags para reducir el riesgo en producción.</w:t>
      </w:r>
    </w:p>
    <w:p w14:paraId="4F855A48">
      <w:pPr>
        <w:pStyle w:val="16"/>
        <w:numPr>
          <w:ilvl w:val="0"/>
          <w:numId w:val="1"/>
        </w:numPr>
        <w:spacing w:before="40" w:after="40"/>
      </w:pPr>
      <w:r>
        <w:rPr>
          <w:rFonts w:ascii="Arial" w:hAnsi="Arial" w:eastAsia="Arial" w:cs="Arial"/>
          <w:color w:val="444444"/>
          <w:sz w:val="22"/>
          <w:szCs w:val="22"/>
        </w:rPr>
        <w:t>Revisar y optimizar regularmente la duración del pipeline para mantener tiempos de retroalimentación cortos.</w:t>
      </w:r>
    </w:p>
    <w:p w14:paraId="6055823F">
      <w:pPr>
        <w:pStyle w:val="3"/>
        <w:spacing w:before="240" w:after="80"/>
      </w:pPr>
      <w:r>
        <w:rPr>
          <w:rFonts w:ascii="Arial" w:hAnsi="Arial" w:eastAsia="Arial" w:cs="Arial"/>
          <w:b/>
          <w:bCs/>
          <w:color w:val="2E75B6"/>
          <w:sz w:val="26"/>
          <w:szCs w:val="26"/>
        </w:rPr>
        <w:t>7.4 Monitoreo</w:t>
      </w:r>
    </w:p>
    <w:p w14:paraId="3B858342">
      <w:pPr>
        <w:pStyle w:val="16"/>
        <w:numPr>
          <w:ilvl w:val="0"/>
          <w:numId w:val="1"/>
        </w:numPr>
        <w:spacing w:before="40" w:after="40"/>
      </w:pPr>
      <w:r>
        <w:rPr>
          <w:rFonts w:ascii="Arial" w:hAnsi="Arial" w:eastAsia="Arial" w:cs="Arial"/>
          <w:color w:val="444444"/>
          <w:sz w:val="22"/>
          <w:szCs w:val="22"/>
        </w:rPr>
        <w:t>Evolucionar hacia un modelo de observabilidad completo incorporando trazas distribuidas para depurar problemas en arquitecturas de microservicios.</w:t>
      </w:r>
    </w:p>
    <w:p w14:paraId="45ECB98A">
      <w:pPr>
        <w:pStyle w:val="16"/>
        <w:numPr>
          <w:ilvl w:val="0"/>
          <w:numId w:val="1"/>
        </w:numPr>
        <w:spacing w:before="40" w:after="40"/>
      </w:pPr>
      <w:r>
        <w:rPr>
          <w:rFonts w:ascii="Arial" w:hAnsi="Arial" w:eastAsia="Arial" w:cs="Arial"/>
          <w:color w:val="444444"/>
          <w:sz w:val="22"/>
          <w:szCs w:val="22"/>
        </w:rPr>
        <w:t>Definir y formalizar SLIs, SLOs y SLAs para cada componente crítico del sistema.</w:t>
      </w:r>
    </w:p>
    <w:p w14:paraId="555C5BC5">
      <w:pPr>
        <w:pStyle w:val="16"/>
        <w:numPr>
          <w:ilvl w:val="0"/>
          <w:numId w:val="1"/>
        </w:numPr>
        <w:spacing w:before="40" w:after="40"/>
      </w:pPr>
      <w:r>
        <w:rPr>
          <w:rFonts w:ascii="Arial" w:hAnsi="Arial" w:eastAsia="Arial" w:cs="Arial"/>
          <w:color w:val="444444"/>
          <w:sz w:val="22"/>
          <w:szCs w:val="22"/>
        </w:rPr>
        <w:t>Implementar chaos engineering de forma controlada para validar la resiliencia del sistema ante fallas inesperadas.</w:t>
      </w:r>
    </w:p>
    <w:p w14:paraId="0C9E7924">
      <w:pPr>
        <w:spacing w:before="80" w:after="80"/>
      </w:pPr>
    </w:p>
    <w:p w14:paraId="6E5F7D95">
      <w:r>
        <w:br w:type="page"/>
      </w:r>
    </w:p>
    <w:p w14:paraId="1192A5B8">
      <w:pPr>
        <w:pStyle w:val="2"/>
        <w:pBdr>
          <w:bottom w:val="single" w:color="2E75B6" w:sz="6" w:space="4"/>
        </w:pBdr>
        <w:spacing w:before="360" w:after="120"/>
      </w:pPr>
      <w:r>
        <w:rPr>
          <w:rFonts w:ascii="Arial" w:hAnsi="Arial" w:eastAsia="Arial" w:cs="Arial"/>
          <w:b/>
          <w:bCs/>
          <w:color w:val="1F3864"/>
          <w:sz w:val="32"/>
          <w:szCs w:val="32"/>
        </w:rPr>
        <w:t>8. Anexos</w:t>
      </w:r>
    </w:p>
    <w:p w14:paraId="508E9CCF">
      <w:pPr>
        <w:spacing w:before="80" w:after="80"/>
      </w:pPr>
    </w:p>
    <w:p w14:paraId="704484CA">
      <w:pPr>
        <w:pStyle w:val="3"/>
        <w:spacing w:before="240" w:after="80"/>
      </w:pPr>
      <w:r>
        <w:rPr>
          <w:rFonts w:ascii="Arial" w:hAnsi="Arial" w:eastAsia="Arial" w:cs="Arial"/>
          <w:b/>
          <w:bCs/>
          <w:color w:val="2E75B6"/>
          <w:sz w:val="26"/>
          <w:szCs w:val="26"/>
        </w:rPr>
        <w:t>Anexo A: Glosario de Términos</w:t>
      </w:r>
    </w:p>
    <w:p w14:paraId="4DAF89BD">
      <w:pPr>
        <w:spacing w:before="60" w:after="100"/>
        <w:jc w:val="left"/>
      </w:pPr>
      <w:r>
        <w:rPr>
          <w:rFonts w:ascii="Arial" w:hAnsi="Arial" w:eastAsia="Arial" w:cs="Arial"/>
          <w:color w:val="444444"/>
          <w:sz w:val="22"/>
          <w:szCs w:val="22"/>
        </w:rPr>
        <w:t>IaC (Infrastructure as Code): práctica de gestionar infraestructura mediante archivos de configuración versionados.</w:t>
      </w:r>
    </w:p>
    <w:p w14:paraId="671ED98F">
      <w:pPr>
        <w:spacing w:before="60" w:after="100"/>
        <w:jc w:val="left"/>
      </w:pPr>
      <w:r>
        <w:rPr>
          <w:rFonts w:ascii="Arial" w:hAnsi="Arial" w:eastAsia="Arial" w:cs="Arial"/>
          <w:color w:val="444444"/>
          <w:sz w:val="22"/>
          <w:szCs w:val="22"/>
        </w:rPr>
        <w:t>CI (Continuous Integration): práctica de integrar cambios de código frecuentemente con validación automatizada.</w:t>
      </w:r>
    </w:p>
    <w:p w14:paraId="1FEEC0E5">
      <w:pPr>
        <w:spacing w:before="60" w:after="100"/>
        <w:jc w:val="left"/>
      </w:pPr>
      <w:r>
        <w:rPr>
          <w:rFonts w:ascii="Arial" w:hAnsi="Arial" w:eastAsia="Arial" w:cs="Arial"/>
          <w:color w:val="444444"/>
          <w:sz w:val="22"/>
          <w:szCs w:val="22"/>
        </w:rPr>
        <w:t>CD (Continuous Delivery/Deployment): práctica de automatizar la entrega de software a los ambientes objetivo.</w:t>
      </w:r>
    </w:p>
    <w:p w14:paraId="517D4340">
      <w:pPr>
        <w:spacing w:before="60" w:after="100"/>
        <w:jc w:val="left"/>
      </w:pPr>
      <w:r>
        <w:rPr>
          <w:rFonts w:ascii="Arial" w:hAnsi="Arial" w:eastAsia="Arial" w:cs="Arial"/>
          <w:color w:val="444444"/>
          <w:sz w:val="22"/>
          <w:szCs w:val="22"/>
        </w:rPr>
        <w:t>Pipeline: secuencia automatizada de etapas que conforman el flujo de CI/CD.</w:t>
      </w:r>
    </w:p>
    <w:p w14:paraId="26DC6DDB">
      <w:pPr>
        <w:spacing w:before="60" w:after="100"/>
        <w:jc w:val="left"/>
      </w:pPr>
      <w:r>
        <w:rPr>
          <w:rFonts w:ascii="Arial" w:hAnsi="Arial" w:eastAsia="Arial" w:cs="Arial"/>
          <w:color w:val="444444"/>
          <w:sz w:val="22"/>
          <w:szCs w:val="22"/>
        </w:rPr>
        <w:t>SLO (Service Level Objective): objetivo de nivel de servicio definido para un sistema.</w:t>
      </w:r>
    </w:p>
    <w:p w14:paraId="4CC1139E">
      <w:pPr>
        <w:spacing w:before="60" w:after="100"/>
        <w:jc w:val="left"/>
      </w:pPr>
      <w:r>
        <w:rPr>
          <w:rFonts w:ascii="Arial" w:hAnsi="Arial" w:eastAsia="Arial" w:cs="Arial"/>
          <w:color w:val="444444"/>
          <w:sz w:val="22"/>
          <w:szCs w:val="22"/>
        </w:rPr>
        <w:t>MTTR (Mean Time to Recovery): tiempo promedio para recuperar el sistema ante una falla.</w:t>
      </w:r>
    </w:p>
    <w:p w14:paraId="3CEDC76B">
      <w:pPr>
        <w:spacing w:before="80" w:after="80"/>
      </w:pPr>
    </w:p>
    <w:p w14:paraId="60A7BFDA">
      <w:pPr>
        <w:pStyle w:val="3"/>
        <w:spacing w:before="240" w:after="80"/>
      </w:pPr>
      <w:r>
        <w:rPr>
          <w:rFonts w:ascii="Arial" w:hAnsi="Arial" w:eastAsia="Arial" w:cs="Arial"/>
          <w:b/>
          <w:bCs/>
          <w:color w:val="2E75B6"/>
          <w:sz w:val="26"/>
          <w:szCs w:val="26"/>
        </w:rPr>
        <w:t>Anexo B: Referencias y Recursos</w:t>
      </w:r>
    </w:p>
    <w:p w14:paraId="01F295F7">
      <w:pPr>
        <w:pStyle w:val="16"/>
        <w:numPr>
          <w:ilvl w:val="0"/>
          <w:numId w:val="1"/>
        </w:numPr>
        <w:spacing w:before="40" w:after="40"/>
      </w:pPr>
      <w:r>
        <w:rPr>
          <w:rFonts w:ascii="Arial" w:hAnsi="Arial" w:eastAsia="Arial" w:cs="Arial"/>
          <w:color w:val="444444"/>
          <w:sz w:val="22"/>
          <w:szCs w:val="22"/>
        </w:rPr>
        <w:t>The DevOps Handbook – Gene Kim, Jez Humble, Patrick Debois, John Willis.</w:t>
      </w:r>
    </w:p>
    <w:p w14:paraId="6F96187B">
      <w:pPr>
        <w:pStyle w:val="16"/>
        <w:numPr>
          <w:ilvl w:val="0"/>
          <w:numId w:val="1"/>
        </w:numPr>
        <w:spacing w:before="40" w:after="40"/>
      </w:pPr>
      <w:r>
        <w:rPr>
          <w:rFonts w:ascii="Arial" w:hAnsi="Arial" w:eastAsia="Arial" w:cs="Arial"/>
          <w:color w:val="444444"/>
          <w:sz w:val="22"/>
          <w:szCs w:val="22"/>
        </w:rPr>
        <w:t>Accelerate: Building and Scaling High Performing Technology Organizations – Nicole Forsgren.</w:t>
      </w:r>
    </w:p>
    <w:p w14:paraId="4510209D">
      <w:pPr>
        <w:pStyle w:val="16"/>
        <w:numPr>
          <w:ilvl w:val="0"/>
          <w:numId w:val="1"/>
        </w:numPr>
        <w:spacing w:before="40" w:after="40"/>
      </w:pPr>
      <w:r>
        <w:rPr>
          <w:rFonts w:ascii="Arial" w:hAnsi="Arial" w:eastAsia="Arial" w:cs="Arial"/>
          <w:color w:val="444444"/>
          <w:sz w:val="22"/>
          <w:szCs w:val="22"/>
        </w:rPr>
        <w:t>Documentación oficial de las herramientas utilizadas: [listar URLs]</w:t>
      </w:r>
    </w:p>
    <w:p w14:paraId="0603EE07">
      <w:pPr>
        <w:pStyle w:val="16"/>
        <w:numPr>
          <w:ilvl w:val="0"/>
          <w:numId w:val="1"/>
        </w:numPr>
        <w:spacing w:before="40" w:after="40"/>
      </w:pPr>
      <w:r>
        <w:rPr>
          <w:rFonts w:ascii="Arial" w:hAnsi="Arial" w:eastAsia="Arial" w:cs="Arial"/>
          <w:color w:val="444444"/>
          <w:sz w:val="22"/>
          <w:szCs w:val="22"/>
        </w:rPr>
        <w:t>Repositorio del proyecto: [URL del repositorio]</w:t>
      </w:r>
    </w:p>
    <w:p w14:paraId="1278753A">
      <w:pPr>
        <w:spacing w:before="80" w:after="80"/>
      </w:pPr>
    </w:p>
    <w:p w14:paraId="05E58BA9">
      <w:pPr>
        <w:pStyle w:val="3"/>
        <w:spacing w:before="240" w:after="80"/>
      </w:pPr>
      <w:r>
        <w:rPr>
          <w:rFonts w:ascii="Arial" w:hAnsi="Arial" w:eastAsia="Arial" w:cs="Arial"/>
          <w:b/>
          <w:bCs/>
          <w:color w:val="2E75B6"/>
          <w:sz w:val="26"/>
          <w:szCs w:val="26"/>
        </w:rPr>
        <w:t>Anexo C: Evidencias del Proyecto</w:t>
      </w:r>
    </w:p>
    <w:p w14:paraId="399D5B9D">
      <w:pPr>
        <w:spacing w:before="60" w:after="100"/>
        <w:jc w:val="left"/>
      </w:pPr>
      <w:r>
        <w:rPr>
          <w:rFonts w:ascii="Arial" w:hAnsi="Arial" w:eastAsia="Arial" w:cs="Arial"/>
          <w:color w:val="444444"/>
          <w:sz w:val="22"/>
          <w:szCs w:val="22"/>
        </w:rPr>
        <w:t>[Insertar capturas de pantalla, diagramas de arquitectura, outputs de herramientas, y otros materiales de soporte según corresponda.]</w:t>
      </w:r>
    </w:p>
    <w:sectPr>
      <w:headerReference r:id="rId3" w:type="default"/>
      <w:footerReference r:id="rId4" w:type="default"/>
      <w:pgSz w:w="12240" w:h="15840"/>
      <w:pgMar w:top="1080" w:right="1080" w:bottom="108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auto"/>
    <w:pitch w:val="variable"/>
    <w:sig w:usb0="E00006FF" w:usb1="420024FF" w:usb2="02000000" w:usb3="00000000" w:csb0="2000019F" w:csb1="00000000"/>
  </w:font>
  <w:font w:name="Arial">
    <w:panose1 w:val="020B0604020202020204"/>
    <w:charset w:val="86"/>
    <w:family w:val="auto"/>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A4357D">
    <w:pPr>
      <w:pBdr>
        <w:top w:val="single" w:color="2E75B6" w:sz="4" w:space="4"/>
      </w:pBdr>
      <w:tabs>
        <w:tab w:val="right" w:pos="9026"/>
      </w:tabs>
      <w:spacing w:before="60"/>
    </w:pPr>
    <w:r>
      <w:rPr>
        <w:rFonts w:ascii="Arial" w:hAnsi="Arial" w:eastAsia="Arial" w:cs="Arial"/>
        <w:color w:val="444444"/>
        <w:sz w:val="18"/>
        <w:szCs w:val="18"/>
      </w:rPr>
      <w:t>[Institución / Equipo]</w:t>
    </w:r>
    <w:r>
      <w:rPr>
        <w:rFonts w:ascii="Arial" w:hAnsi="Arial" w:eastAsia="Arial" w:cs="Arial"/>
        <w:color w:val="444444"/>
        <w:sz w:val="18"/>
        <w:szCs w:val="18"/>
      </w:rPr>
      <w:tab/>
      <w:t xml:space="preserve">Página </w:t>
    </w:r>
    <w:r>
      <w:rPr>
        <w:rFonts w:ascii="Arial" w:hAnsi="Arial" w:eastAsia="Arial" w:cs="Arial"/>
        <w:color w:val="444444"/>
        <w:sz w:val="18"/>
        <w:szCs w:val="18"/>
      </w:rPr>
      <w:pgNum/>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5367D5">
    <w:pPr>
      <w:pBdr>
        <w:bottom w:val="single" w:color="2E75B6" w:sz="4" w:space="4"/>
      </w:pBdr>
      <w:spacing w:after="60"/>
    </w:pPr>
    <w:r>
      <w:rPr>
        <w:rFonts w:ascii="Arial" w:hAnsi="Arial" w:eastAsia="Arial" w:cs="Arial"/>
        <w:color w:val="2E75B6"/>
        <w:sz w:val="18"/>
        <w:szCs w:val="18"/>
      </w:rPr>
      <w:t>Informe Final de Proyecto — Prácticas DevOps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0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4CC083E"/>
    <w:rsid w:val="062531B5"/>
    <w:rsid w:val="0A6E2A41"/>
    <w:rsid w:val="78677C3F"/>
    <w:rsid w:val="7DAA77F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444444"/>
      <w:sz w:val="22"/>
      <w:szCs w:val="22"/>
    </w:rPr>
  </w:style>
  <w:style w:type="paragraph" w:styleId="2">
    <w:name w:val="heading 1"/>
    <w:next w:val="1"/>
    <w:qFormat/>
    <w:uiPriority w:val="0"/>
    <w:pPr>
      <w:spacing w:before="360" w:after="120"/>
      <w:outlineLvl w:val="0"/>
    </w:pPr>
    <w:rPr>
      <w:rFonts w:ascii="Arial" w:hAnsi="Arial" w:eastAsia="Arial" w:cs="Arial"/>
      <w:b/>
      <w:bCs/>
      <w:color w:val="1F3864"/>
      <w:sz w:val="32"/>
      <w:szCs w:val="32"/>
    </w:rPr>
  </w:style>
  <w:style w:type="paragraph" w:styleId="3">
    <w:name w:val="heading 2"/>
    <w:next w:val="1"/>
    <w:qFormat/>
    <w:uiPriority w:val="0"/>
    <w:pPr>
      <w:spacing w:before="240" w:after="80"/>
      <w:outlineLvl w:val="1"/>
    </w:pPr>
    <w:rPr>
      <w:rFonts w:ascii="Arial" w:hAnsi="Arial" w:eastAsia="Arial" w:cs="Arial"/>
      <w:b/>
      <w:bCs/>
      <w:color w:val="2E75B6"/>
      <w:sz w:val="26"/>
      <w:szCs w:val="26"/>
    </w:rPr>
  </w:style>
  <w:style w:type="paragraph" w:styleId="4">
    <w:name w:val="heading 3"/>
    <w:next w:val="1"/>
    <w:qFormat/>
    <w:uiPriority w:val="0"/>
    <w:pPr>
      <w:spacing w:before="160" w:after="60"/>
      <w:outlineLvl w:val="2"/>
    </w:pPr>
    <w:rPr>
      <w:rFonts w:ascii="Arial" w:hAnsi="Arial" w:eastAsia="Arial" w:cs="Arial"/>
      <w:b/>
      <w:bCs/>
      <w:color w:val="444444"/>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color w:val="444444"/>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color w:val="444444"/>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color w:val="444444"/>
      <w:sz w:val="56"/>
      <w:szCs w:val="56"/>
    </w:rPr>
  </w:style>
  <w:style w:type="paragraph" w:styleId="16">
    <w:name w:val="List Paragraph"/>
    <w:qFormat/>
    <w:uiPriority w:val="0"/>
    <w:rPr>
      <w:rFonts w:ascii="Arial" w:hAnsi="Arial" w:eastAsia="Arial" w:cs="Arial"/>
      <w:color w:val="444444"/>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 w:type="table" w:customStyle="1" w:styleId="19">
    <w:name w:val="Tabla normal"/>
    <w:semiHidden/>
    <w:uiPriority w:val="0"/>
    <w:pPr>
      <w:keepNext w:val="0"/>
      <w:keepLines w:val="0"/>
      <w:widowControl/>
      <w:suppressLineNumbers w:val="0"/>
      <w:spacing w:before="0" w:beforeAutospacing="0" w:after="0" w:afterAutospacing="0"/>
      <w:ind w:left="0" w:right="0"/>
    </w:pPr>
    <w:rPr>
      <w:rFonts w:hint="eastAsia" w:ascii="Arial" w:hAnsi="Arial" w:cs="Arial"/>
      <w:sz w:val="20"/>
      <w:szCs w:val="20"/>
    </w:rPr>
    <w:tblPr>
      <w:tblCellMar>
        <w:top w:w="0" w:type="dxa"/>
        <w:left w:w="100" w:type="dxa"/>
        <w:bottom w:w="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TotalTime>24</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2026-04-02T04:14:00Z</dcterms:created>
  <dc:creator>Un-named</dc:creator>
  <cp:lastModifiedBy>jvalm</cp:lastModifiedBy>
  <dcterms:modified xsi:type="dcterms:W3CDTF">2026-04-02T04:43:32Z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F26EE344906B4D0F829827C08A0817D4_12</vt:lpwstr>
  </property>
</Properties>
</file>