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A2101" w14:textId="77777777" w:rsidR="00F50A8E" w:rsidRDefault="00000000">
      <w:pPr>
        <w:spacing w:before="2200"/>
      </w:pPr>
      <w:r>
        <w:rPr>
          <w:b/>
          <w:bCs/>
          <w:color w:val="2A9D8F"/>
          <w:spacing w:val="80"/>
          <w:sz w:val="20"/>
          <w:szCs w:val="20"/>
        </w:rPr>
        <w:t>DATA ANALYTICS PROJECT</w:t>
      </w:r>
    </w:p>
    <w:p w14:paraId="3871084B" w14:textId="77777777" w:rsidR="00F50A8E" w:rsidRDefault="00000000">
      <w:pPr>
        <w:spacing w:before="120" w:after="60"/>
      </w:pPr>
      <w:r>
        <w:rPr>
          <w:b/>
          <w:bCs/>
          <w:color w:val="1F2A44"/>
          <w:sz w:val="64"/>
          <w:szCs w:val="64"/>
        </w:rPr>
        <w:t>Supply Chain Delivery</w:t>
      </w:r>
    </w:p>
    <w:p w14:paraId="6357F26C" w14:textId="77777777" w:rsidR="00F50A8E" w:rsidRDefault="00000000">
      <w:pPr>
        <w:pBdr>
          <w:bottom w:val="single" w:sz="12" w:space="10" w:color="2A9D8F"/>
        </w:pBdr>
        <w:spacing w:after="240"/>
      </w:pPr>
      <w:r>
        <w:rPr>
          <w:b/>
          <w:bCs/>
          <w:color w:val="1F2A44"/>
          <w:sz w:val="64"/>
          <w:szCs w:val="64"/>
        </w:rPr>
        <w:t>&amp; Profitability Analysis</w:t>
      </w:r>
    </w:p>
    <w:p w14:paraId="3FFBF685" w14:textId="77777777" w:rsidR="00F50A8E" w:rsidRDefault="00000000">
      <w:pPr>
        <w:spacing w:before="200" w:after="500"/>
      </w:pPr>
      <w:proofErr w:type="spellStart"/>
      <w:r>
        <w:rPr>
          <w:color w:val="5B6577"/>
          <w:sz w:val="26"/>
          <w:szCs w:val="26"/>
        </w:rPr>
        <w:t>DataCo</w:t>
      </w:r>
      <w:proofErr w:type="spellEnd"/>
      <w:r>
        <w:rPr>
          <w:color w:val="5B6577"/>
          <w:sz w:val="26"/>
          <w:szCs w:val="26"/>
        </w:rPr>
        <w:t xml:space="preserve"> e-commerce operations: exploratory analytics, root-cause analysis and late-delivery prediction</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09"/>
      </w:tblGrid>
      <w:tr w:rsidR="00F50A8E" w14:paraId="71070AE5" w14:textId="77777777">
        <w:tblPrEx>
          <w:tblCellMar>
            <w:top w:w="0" w:type="dxa"/>
            <w:bottom w:w="0" w:type="dxa"/>
          </w:tblCellMar>
        </w:tblPrEx>
        <w:tc>
          <w:tcPr>
            <w:tcW w:w="2409" w:type="dxa"/>
            <w:tcBorders>
              <w:top w:val="single" w:sz="4" w:space="0" w:color="C9D1DC"/>
              <w:left w:val="single" w:sz="4" w:space="0" w:color="C9D1DC"/>
              <w:bottom w:val="single" w:sz="4" w:space="0" w:color="C9D1DC"/>
              <w:right w:val="single" w:sz="4" w:space="0" w:color="C9D1DC"/>
            </w:tcBorders>
            <w:shd w:val="clear" w:color="auto" w:fill="F2F5F9"/>
            <w:tcMar>
              <w:top w:w="150" w:type="dxa"/>
              <w:left w:w="80" w:type="dxa"/>
              <w:bottom w:w="150" w:type="dxa"/>
              <w:right w:w="80" w:type="dxa"/>
            </w:tcMar>
          </w:tcPr>
          <w:p w14:paraId="402D2BA0" w14:textId="77777777" w:rsidR="00F50A8E" w:rsidRDefault="00000000">
            <w:pPr>
              <w:jc w:val="center"/>
            </w:pPr>
            <w:r>
              <w:rPr>
                <w:b/>
                <w:bCs/>
                <w:color w:val="1F2A44"/>
                <w:sz w:val="36"/>
                <w:szCs w:val="36"/>
              </w:rPr>
              <w:t>172,765</w:t>
            </w:r>
          </w:p>
          <w:p w14:paraId="1FEF74C4" w14:textId="77777777" w:rsidR="00F50A8E" w:rsidRDefault="00000000">
            <w:pPr>
              <w:jc w:val="center"/>
            </w:pPr>
            <w:r>
              <w:rPr>
                <w:color w:val="5B6577"/>
                <w:sz w:val="16"/>
                <w:szCs w:val="16"/>
              </w:rPr>
              <w:t>Total Orders</w:t>
            </w:r>
          </w:p>
        </w:tc>
        <w:tc>
          <w:tcPr>
            <w:tcW w:w="2409" w:type="dxa"/>
            <w:tcBorders>
              <w:top w:val="single" w:sz="4" w:space="0" w:color="C9D1DC"/>
              <w:left w:val="single" w:sz="4" w:space="0" w:color="C9D1DC"/>
              <w:bottom w:val="single" w:sz="4" w:space="0" w:color="C9D1DC"/>
              <w:right w:val="single" w:sz="4" w:space="0" w:color="C9D1DC"/>
            </w:tcBorders>
            <w:shd w:val="clear" w:color="auto" w:fill="F2F5F9"/>
            <w:tcMar>
              <w:top w:w="150" w:type="dxa"/>
              <w:left w:w="80" w:type="dxa"/>
              <w:bottom w:w="150" w:type="dxa"/>
              <w:right w:w="80" w:type="dxa"/>
            </w:tcMar>
          </w:tcPr>
          <w:p w14:paraId="405F3C4C" w14:textId="77777777" w:rsidR="00F50A8E" w:rsidRDefault="00000000">
            <w:pPr>
              <w:jc w:val="center"/>
            </w:pPr>
            <w:r>
              <w:rPr>
                <w:b/>
                <w:bCs/>
                <w:color w:val="7A0000"/>
                <w:sz w:val="36"/>
                <w:szCs w:val="36"/>
              </w:rPr>
              <w:t>94,523</w:t>
            </w:r>
          </w:p>
          <w:p w14:paraId="20991930" w14:textId="77777777" w:rsidR="00F50A8E" w:rsidRDefault="00000000">
            <w:pPr>
              <w:jc w:val="center"/>
            </w:pPr>
            <w:r>
              <w:rPr>
                <w:color w:val="5B6577"/>
                <w:sz w:val="16"/>
                <w:szCs w:val="16"/>
              </w:rPr>
              <w:t>Late Deliveries</w:t>
            </w:r>
          </w:p>
        </w:tc>
        <w:tc>
          <w:tcPr>
            <w:tcW w:w="2409" w:type="dxa"/>
            <w:tcBorders>
              <w:top w:val="single" w:sz="4" w:space="0" w:color="C9D1DC"/>
              <w:left w:val="single" w:sz="4" w:space="0" w:color="C9D1DC"/>
              <w:bottom w:val="single" w:sz="4" w:space="0" w:color="C9D1DC"/>
              <w:right w:val="single" w:sz="4" w:space="0" w:color="C9D1DC"/>
            </w:tcBorders>
            <w:shd w:val="clear" w:color="auto" w:fill="F2F5F9"/>
            <w:tcMar>
              <w:top w:w="150" w:type="dxa"/>
              <w:left w:w="80" w:type="dxa"/>
              <w:bottom w:w="150" w:type="dxa"/>
              <w:right w:w="80" w:type="dxa"/>
            </w:tcMar>
          </w:tcPr>
          <w:p w14:paraId="2C67F74B" w14:textId="77777777" w:rsidR="00F50A8E" w:rsidRDefault="00000000">
            <w:pPr>
              <w:jc w:val="center"/>
            </w:pPr>
            <w:r>
              <w:rPr>
                <w:b/>
                <w:bCs/>
                <w:color w:val="7A0000"/>
                <w:sz w:val="36"/>
                <w:szCs w:val="36"/>
              </w:rPr>
              <w:t>54.71%</w:t>
            </w:r>
          </w:p>
          <w:p w14:paraId="2B86BC35" w14:textId="77777777" w:rsidR="00F50A8E" w:rsidRDefault="00000000">
            <w:pPr>
              <w:jc w:val="center"/>
            </w:pPr>
            <w:r>
              <w:rPr>
                <w:color w:val="5B6577"/>
                <w:sz w:val="16"/>
                <w:szCs w:val="16"/>
              </w:rPr>
              <w:t>Late Delivery %</w:t>
            </w:r>
          </w:p>
        </w:tc>
        <w:tc>
          <w:tcPr>
            <w:tcW w:w="2409" w:type="dxa"/>
            <w:tcBorders>
              <w:top w:val="single" w:sz="4" w:space="0" w:color="C9D1DC"/>
              <w:left w:val="single" w:sz="4" w:space="0" w:color="C9D1DC"/>
              <w:bottom w:val="single" w:sz="4" w:space="0" w:color="C9D1DC"/>
              <w:right w:val="single" w:sz="4" w:space="0" w:color="C9D1DC"/>
            </w:tcBorders>
            <w:shd w:val="clear" w:color="auto" w:fill="F2F5F9"/>
            <w:tcMar>
              <w:top w:w="150" w:type="dxa"/>
              <w:left w:w="80" w:type="dxa"/>
              <w:bottom w:w="150" w:type="dxa"/>
              <w:right w:w="80" w:type="dxa"/>
            </w:tcMar>
          </w:tcPr>
          <w:p w14:paraId="6AEF0D6D" w14:textId="77777777" w:rsidR="00F50A8E" w:rsidRDefault="00000000">
            <w:pPr>
              <w:jc w:val="center"/>
            </w:pPr>
            <w:r>
              <w:rPr>
                <w:b/>
                <w:bCs/>
                <w:color w:val="2A9D8F"/>
                <w:sz w:val="36"/>
                <w:szCs w:val="36"/>
              </w:rPr>
              <w:t>74%</w:t>
            </w:r>
          </w:p>
          <w:p w14:paraId="6FE2F612" w14:textId="77777777" w:rsidR="00F50A8E" w:rsidRDefault="00000000">
            <w:pPr>
              <w:jc w:val="center"/>
            </w:pPr>
            <w:r>
              <w:rPr>
                <w:color w:val="5B6577"/>
                <w:sz w:val="16"/>
                <w:szCs w:val="16"/>
              </w:rPr>
              <w:t>Model Accuracy</w:t>
            </w:r>
          </w:p>
        </w:tc>
      </w:tr>
    </w:tbl>
    <w:p w14:paraId="3639E4DC" w14:textId="77777777" w:rsidR="00F50A8E" w:rsidRDefault="00F50A8E">
      <w:pPr>
        <w:spacing w:after="3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F50A8E" w14:paraId="72268720" w14:textId="77777777">
        <w:tblPrEx>
          <w:tblCellMar>
            <w:top w:w="0" w:type="dxa"/>
            <w:bottom w:w="0" w:type="dxa"/>
          </w:tblCellMar>
        </w:tblPrEx>
        <w:trPr>
          <w:tblHeader/>
        </w:trPr>
        <w:tc>
          <w:tcPr>
            <w:tcW w:w="26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660D9487" w14:textId="77777777" w:rsidR="00F50A8E" w:rsidRDefault="00000000">
            <w:r>
              <w:rPr>
                <w:b/>
                <w:bCs/>
                <w:color w:val="FFFFFF"/>
                <w:sz w:val="19"/>
                <w:szCs w:val="19"/>
              </w:rPr>
              <w:t>Item</w:t>
            </w:r>
          </w:p>
        </w:tc>
        <w:tc>
          <w:tcPr>
            <w:tcW w:w="7038"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3207D942" w14:textId="77777777" w:rsidR="00F50A8E" w:rsidRDefault="00000000">
            <w:r>
              <w:rPr>
                <w:b/>
                <w:bCs/>
                <w:color w:val="FFFFFF"/>
                <w:sz w:val="19"/>
                <w:szCs w:val="19"/>
              </w:rPr>
              <w:t>Detail</w:t>
            </w:r>
          </w:p>
        </w:tc>
      </w:tr>
      <w:tr w:rsidR="00F50A8E" w14:paraId="7F6941CA"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4B1AC1C6" w14:textId="77777777" w:rsidR="00F50A8E" w:rsidRDefault="00000000">
            <w:r>
              <w:rPr>
                <w:color w:val="222222"/>
                <w:sz w:val="19"/>
                <w:szCs w:val="19"/>
              </w:rPr>
              <w:t>Period covered</w:t>
            </w:r>
          </w:p>
        </w:tc>
        <w:tc>
          <w:tcPr>
            <w:tcW w:w="70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5C88992D" w14:textId="77777777" w:rsidR="00F50A8E" w:rsidRDefault="00000000">
            <w:r>
              <w:rPr>
                <w:color w:val="222222"/>
                <w:sz w:val="19"/>
                <w:szCs w:val="19"/>
              </w:rPr>
              <w:t>January 2015 – January 2018</w:t>
            </w:r>
          </w:p>
        </w:tc>
      </w:tr>
      <w:tr w:rsidR="00F50A8E" w14:paraId="0815A52C"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040DD88C" w14:textId="77777777" w:rsidR="00F50A8E" w:rsidRDefault="00000000">
            <w:r>
              <w:rPr>
                <w:color w:val="222222"/>
                <w:sz w:val="19"/>
                <w:szCs w:val="19"/>
              </w:rPr>
              <w:t>Dataset</w:t>
            </w:r>
          </w:p>
        </w:tc>
        <w:tc>
          <w:tcPr>
            <w:tcW w:w="70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22393792" w14:textId="77777777" w:rsidR="00F50A8E" w:rsidRDefault="00000000">
            <w:proofErr w:type="spellStart"/>
            <w:r>
              <w:rPr>
                <w:color w:val="222222"/>
                <w:sz w:val="19"/>
                <w:szCs w:val="19"/>
              </w:rPr>
              <w:t>DataCo</w:t>
            </w:r>
            <w:proofErr w:type="spellEnd"/>
            <w:r>
              <w:rPr>
                <w:color w:val="222222"/>
                <w:sz w:val="19"/>
                <w:szCs w:val="19"/>
              </w:rPr>
              <w:t xml:space="preserve"> Smart Supply Chain (180,519 records × 53 columns raw)</w:t>
            </w:r>
          </w:p>
        </w:tc>
      </w:tr>
      <w:tr w:rsidR="00F50A8E" w14:paraId="09AAB3C8"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416E4740" w14:textId="77777777" w:rsidR="00F50A8E" w:rsidRDefault="00000000">
            <w:r>
              <w:rPr>
                <w:color w:val="222222"/>
                <w:sz w:val="19"/>
                <w:szCs w:val="19"/>
              </w:rPr>
              <w:t>Tools</w:t>
            </w:r>
          </w:p>
        </w:tc>
        <w:tc>
          <w:tcPr>
            <w:tcW w:w="70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3EB039EB" w14:textId="77777777" w:rsidR="00F50A8E" w:rsidRDefault="00000000">
            <w:r>
              <w:rPr>
                <w:color w:val="222222"/>
                <w:sz w:val="19"/>
                <w:szCs w:val="19"/>
              </w:rPr>
              <w:t>Python, pandas, NumPy, Matplotlib, Seaborn, scikit-learn, imbalanced-learn</w:t>
            </w:r>
          </w:p>
        </w:tc>
      </w:tr>
      <w:tr w:rsidR="00F50A8E" w14:paraId="2C8A38DA" w14:textId="77777777">
        <w:tblPrEx>
          <w:tblCellMar>
            <w:top w:w="0" w:type="dxa"/>
            <w:bottom w:w="0" w:type="dxa"/>
          </w:tblCellMar>
        </w:tblPrEx>
        <w:trPr>
          <w:cantSplit/>
        </w:trPr>
        <w:tc>
          <w:tcPr>
            <w:tcW w:w="26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74BFB71A" w14:textId="77777777" w:rsidR="00F50A8E" w:rsidRDefault="00000000">
            <w:r>
              <w:rPr>
                <w:color w:val="222222"/>
                <w:sz w:val="19"/>
                <w:szCs w:val="19"/>
              </w:rPr>
              <w:t>Methods</w:t>
            </w:r>
          </w:p>
        </w:tc>
        <w:tc>
          <w:tcPr>
            <w:tcW w:w="70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79E04A2A" w14:textId="77777777" w:rsidR="00F50A8E" w:rsidRDefault="00000000">
            <w:r>
              <w:rPr>
                <w:color w:val="222222"/>
                <w:sz w:val="19"/>
                <w:szCs w:val="19"/>
              </w:rPr>
              <w:t>EDA, KPI design, bottleneck detection, root-cause drill-down, Random Forest with SMOTE</w:t>
            </w:r>
          </w:p>
        </w:tc>
      </w:tr>
    </w:tbl>
    <w:p w14:paraId="4DB3C5F5" w14:textId="77777777" w:rsidR="00F50A8E" w:rsidRDefault="00000000">
      <w:r>
        <w:br w:type="page"/>
      </w:r>
    </w:p>
    <w:p w14:paraId="04BE1BC7" w14:textId="77777777" w:rsidR="00F50A8E" w:rsidRDefault="00F50A8E">
      <w:pPr>
        <w:sectPr w:rsidR="00F50A8E">
          <w:pgSz w:w="11906" w:h="16838"/>
          <w:pgMar w:top="1134" w:right="1134" w:bottom="1134" w:left="1134" w:header="708" w:footer="708" w:gutter="0"/>
          <w:cols w:space="720"/>
          <w:docGrid w:linePitch="360"/>
        </w:sectPr>
      </w:pPr>
    </w:p>
    <w:p w14:paraId="0C3C579F" w14:textId="77777777" w:rsidR="00F50A8E" w:rsidRDefault="00000000">
      <w:pPr>
        <w:spacing w:after="200"/>
      </w:pPr>
      <w:r>
        <w:rPr>
          <w:b/>
          <w:bCs/>
          <w:color w:val="1F2A44"/>
          <w:sz w:val="36"/>
          <w:szCs w:val="36"/>
        </w:rPr>
        <w:lastRenderedPageBreak/>
        <w:t>Contents</w:t>
      </w:r>
    </w:p>
    <w:sdt>
      <w:sdtPr>
        <w:alias w:val="Contents"/>
        <w:id w:val="387763031"/>
      </w:sdtPr>
      <w:sdtContent>
        <w:p w14:paraId="01FA1654" w14:textId="77777777" w:rsidR="00017DB6" w:rsidRDefault="00000000">
          <w:pPr>
            <w:pStyle w:val="TOC1"/>
            <w:tabs>
              <w:tab w:val="right" w:leader="dot" w:pos="9628"/>
            </w:tabs>
            <w:rPr>
              <w:noProof/>
            </w:rPr>
          </w:pPr>
          <w:r>
            <w:fldChar w:fldCharType="begin"/>
          </w:r>
          <w:r>
            <w:instrText>TOC \h \o "1-2"</w:instrText>
          </w:r>
          <w:r>
            <w:fldChar w:fldCharType="separate"/>
          </w:r>
          <w:hyperlink w:anchor="_Toc241851692" w:history="1">
            <w:r w:rsidR="00017DB6" w:rsidRPr="004000AB">
              <w:rPr>
                <w:rStyle w:val="Hyperlink"/>
                <w:noProof/>
              </w:rPr>
              <w:t>1. Executive Summary</w:t>
            </w:r>
            <w:r w:rsidR="00017DB6">
              <w:rPr>
                <w:noProof/>
              </w:rPr>
              <w:tab/>
            </w:r>
            <w:r w:rsidR="00017DB6">
              <w:rPr>
                <w:noProof/>
              </w:rPr>
              <w:fldChar w:fldCharType="begin"/>
            </w:r>
            <w:r w:rsidR="00017DB6">
              <w:rPr>
                <w:noProof/>
              </w:rPr>
              <w:instrText xml:space="preserve"> PAGEREF _Toc241851692 \h </w:instrText>
            </w:r>
            <w:r w:rsidR="00017DB6">
              <w:rPr>
                <w:noProof/>
              </w:rPr>
            </w:r>
            <w:r w:rsidR="00017DB6">
              <w:rPr>
                <w:noProof/>
              </w:rPr>
              <w:fldChar w:fldCharType="separate"/>
            </w:r>
            <w:r w:rsidR="00017DB6">
              <w:rPr>
                <w:noProof/>
              </w:rPr>
              <w:t>1</w:t>
            </w:r>
            <w:r w:rsidR="00017DB6">
              <w:rPr>
                <w:noProof/>
              </w:rPr>
              <w:fldChar w:fldCharType="end"/>
            </w:r>
          </w:hyperlink>
        </w:p>
        <w:p w14:paraId="72374464" w14:textId="77777777" w:rsidR="00017DB6" w:rsidRDefault="00017DB6">
          <w:pPr>
            <w:pStyle w:val="TOC1"/>
            <w:tabs>
              <w:tab w:val="right" w:leader="dot" w:pos="9628"/>
            </w:tabs>
            <w:rPr>
              <w:noProof/>
            </w:rPr>
          </w:pPr>
          <w:hyperlink w:anchor="_Toc241851693" w:history="1">
            <w:r w:rsidRPr="004000AB">
              <w:rPr>
                <w:rStyle w:val="Hyperlink"/>
                <w:noProof/>
              </w:rPr>
              <w:t>2. Business Context &amp; Objectives</w:t>
            </w:r>
            <w:r>
              <w:rPr>
                <w:noProof/>
              </w:rPr>
              <w:tab/>
            </w:r>
            <w:r>
              <w:rPr>
                <w:noProof/>
              </w:rPr>
              <w:fldChar w:fldCharType="begin"/>
            </w:r>
            <w:r>
              <w:rPr>
                <w:noProof/>
              </w:rPr>
              <w:instrText xml:space="preserve"> PAGEREF _Toc241851693 \h </w:instrText>
            </w:r>
            <w:r>
              <w:rPr>
                <w:noProof/>
              </w:rPr>
            </w:r>
            <w:r>
              <w:rPr>
                <w:noProof/>
              </w:rPr>
              <w:fldChar w:fldCharType="separate"/>
            </w:r>
            <w:r>
              <w:rPr>
                <w:noProof/>
              </w:rPr>
              <w:t>1</w:t>
            </w:r>
            <w:r>
              <w:rPr>
                <w:noProof/>
              </w:rPr>
              <w:fldChar w:fldCharType="end"/>
            </w:r>
          </w:hyperlink>
        </w:p>
        <w:p w14:paraId="4D47B328" w14:textId="77777777" w:rsidR="00017DB6" w:rsidRDefault="00017DB6">
          <w:pPr>
            <w:pStyle w:val="TOC2"/>
            <w:tabs>
              <w:tab w:val="right" w:leader="dot" w:pos="9628"/>
            </w:tabs>
            <w:rPr>
              <w:noProof/>
            </w:rPr>
          </w:pPr>
          <w:hyperlink w:anchor="_Toc241851694" w:history="1">
            <w:r w:rsidRPr="004000AB">
              <w:rPr>
                <w:rStyle w:val="Hyperlink"/>
                <w:noProof/>
              </w:rPr>
              <w:t>Core Business Problem</w:t>
            </w:r>
            <w:r>
              <w:rPr>
                <w:noProof/>
              </w:rPr>
              <w:tab/>
            </w:r>
            <w:r>
              <w:rPr>
                <w:noProof/>
              </w:rPr>
              <w:fldChar w:fldCharType="begin"/>
            </w:r>
            <w:r>
              <w:rPr>
                <w:noProof/>
              </w:rPr>
              <w:instrText xml:space="preserve"> PAGEREF _Toc241851694 \h </w:instrText>
            </w:r>
            <w:r>
              <w:rPr>
                <w:noProof/>
              </w:rPr>
            </w:r>
            <w:r>
              <w:rPr>
                <w:noProof/>
              </w:rPr>
              <w:fldChar w:fldCharType="separate"/>
            </w:r>
            <w:r>
              <w:rPr>
                <w:noProof/>
              </w:rPr>
              <w:t>1</w:t>
            </w:r>
            <w:r>
              <w:rPr>
                <w:noProof/>
              </w:rPr>
              <w:fldChar w:fldCharType="end"/>
            </w:r>
          </w:hyperlink>
        </w:p>
        <w:p w14:paraId="52B0D5A1" w14:textId="77777777" w:rsidR="00017DB6" w:rsidRDefault="00017DB6">
          <w:pPr>
            <w:pStyle w:val="TOC2"/>
            <w:tabs>
              <w:tab w:val="right" w:leader="dot" w:pos="9628"/>
            </w:tabs>
            <w:rPr>
              <w:noProof/>
            </w:rPr>
          </w:pPr>
          <w:hyperlink w:anchor="_Toc241851695" w:history="1">
            <w:r w:rsidRPr="004000AB">
              <w:rPr>
                <w:rStyle w:val="Hyperlink"/>
                <w:noProof/>
              </w:rPr>
              <w:t>Analytical Objectives</w:t>
            </w:r>
            <w:r>
              <w:rPr>
                <w:noProof/>
              </w:rPr>
              <w:tab/>
            </w:r>
            <w:r>
              <w:rPr>
                <w:noProof/>
              </w:rPr>
              <w:fldChar w:fldCharType="begin"/>
            </w:r>
            <w:r>
              <w:rPr>
                <w:noProof/>
              </w:rPr>
              <w:instrText xml:space="preserve"> PAGEREF _Toc241851695 \h </w:instrText>
            </w:r>
            <w:r>
              <w:rPr>
                <w:noProof/>
              </w:rPr>
            </w:r>
            <w:r>
              <w:rPr>
                <w:noProof/>
              </w:rPr>
              <w:fldChar w:fldCharType="separate"/>
            </w:r>
            <w:r>
              <w:rPr>
                <w:noProof/>
              </w:rPr>
              <w:t>1</w:t>
            </w:r>
            <w:r>
              <w:rPr>
                <w:noProof/>
              </w:rPr>
              <w:fldChar w:fldCharType="end"/>
            </w:r>
          </w:hyperlink>
        </w:p>
        <w:p w14:paraId="650061FE" w14:textId="77777777" w:rsidR="00017DB6" w:rsidRDefault="00017DB6">
          <w:pPr>
            <w:pStyle w:val="TOC1"/>
            <w:tabs>
              <w:tab w:val="right" w:leader="dot" w:pos="9628"/>
            </w:tabs>
            <w:rPr>
              <w:noProof/>
            </w:rPr>
          </w:pPr>
          <w:hyperlink w:anchor="_Toc241851696" w:history="1">
            <w:r w:rsidRPr="004000AB">
              <w:rPr>
                <w:rStyle w:val="Hyperlink"/>
                <w:noProof/>
              </w:rPr>
              <w:t>3. Data Preparation &amp; Key Performance Indicators</w:t>
            </w:r>
            <w:r>
              <w:rPr>
                <w:noProof/>
              </w:rPr>
              <w:tab/>
            </w:r>
            <w:r>
              <w:rPr>
                <w:noProof/>
              </w:rPr>
              <w:fldChar w:fldCharType="begin"/>
            </w:r>
            <w:r>
              <w:rPr>
                <w:noProof/>
              </w:rPr>
              <w:instrText xml:space="preserve"> PAGEREF _Toc241851696 \h </w:instrText>
            </w:r>
            <w:r>
              <w:rPr>
                <w:noProof/>
              </w:rPr>
            </w:r>
            <w:r>
              <w:rPr>
                <w:noProof/>
              </w:rPr>
              <w:fldChar w:fldCharType="separate"/>
            </w:r>
            <w:r>
              <w:rPr>
                <w:noProof/>
              </w:rPr>
              <w:t>1</w:t>
            </w:r>
            <w:r>
              <w:rPr>
                <w:noProof/>
              </w:rPr>
              <w:fldChar w:fldCharType="end"/>
            </w:r>
          </w:hyperlink>
        </w:p>
        <w:p w14:paraId="5ABC4BAD" w14:textId="77777777" w:rsidR="00017DB6" w:rsidRDefault="00017DB6">
          <w:pPr>
            <w:pStyle w:val="TOC2"/>
            <w:tabs>
              <w:tab w:val="right" w:leader="dot" w:pos="9628"/>
            </w:tabs>
            <w:rPr>
              <w:noProof/>
            </w:rPr>
          </w:pPr>
          <w:hyperlink w:anchor="_Toc241851697" w:history="1">
            <w:r w:rsidRPr="004000AB">
              <w:rPr>
                <w:rStyle w:val="Hyperlink"/>
                <w:noProof/>
              </w:rPr>
              <w:t>3.1 Dataset and cleaning</w:t>
            </w:r>
            <w:r>
              <w:rPr>
                <w:noProof/>
              </w:rPr>
              <w:tab/>
            </w:r>
            <w:r>
              <w:rPr>
                <w:noProof/>
              </w:rPr>
              <w:fldChar w:fldCharType="begin"/>
            </w:r>
            <w:r>
              <w:rPr>
                <w:noProof/>
              </w:rPr>
              <w:instrText xml:space="preserve"> PAGEREF _Toc241851697 \h </w:instrText>
            </w:r>
            <w:r>
              <w:rPr>
                <w:noProof/>
              </w:rPr>
            </w:r>
            <w:r>
              <w:rPr>
                <w:noProof/>
              </w:rPr>
              <w:fldChar w:fldCharType="separate"/>
            </w:r>
            <w:r>
              <w:rPr>
                <w:noProof/>
              </w:rPr>
              <w:t>1</w:t>
            </w:r>
            <w:r>
              <w:rPr>
                <w:noProof/>
              </w:rPr>
              <w:fldChar w:fldCharType="end"/>
            </w:r>
          </w:hyperlink>
        </w:p>
        <w:p w14:paraId="04B0161A" w14:textId="77777777" w:rsidR="00017DB6" w:rsidRDefault="00017DB6">
          <w:pPr>
            <w:pStyle w:val="TOC2"/>
            <w:tabs>
              <w:tab w:val="right" w:leader="dot" w:pos="9628"/>
            </w:tabs>
            <w:rPr>
              <w:noProof/>
            </w:rPr>
          </w:pPr>
          <w:hyperlink w:anchor="_Toc241851698" w:history="1">
            <w:r w:rsidRPr="004000AB">
              <w:rPr>
                <w:rStyle w:val="Hyperlink"/>
                <w:noProof/>
              </w:rPr>
              <w:t>3.2 Key performance indicators</w:t>
            </w:r>
            <w:r>
              <w:rPr>
                <w:noProof/>
              </w:rPr>
              <w:tab/>
            </w:r>
            <w:r>
              <w:rPr>
                <w:noProof/>
              </w:rPr>
              <w:fldChar w:fldCharType="begin"/>
            </w:r>
            <w:r>
              <w:rPr>
                <w:noProof/>
              </w:rPr>
              <w:instrText xml:space="preserve"> PAGEREF _Toc241851698 \h </w:instrText>
            </w:r>
            <w:r>
              <w:rPr>
                <w:noProof/>
              </w:rPr>
            </w:r>
            <w:r>
              <w:rPr>
                <w:noProof/>
              </w:rPr>
              <w:fldChar w:fldCharType="separate"/>
            </w:r>
            <w:r>
              <w:rPr>
                <w:noProof/>
              </w:rPr>
              <w:t>1</w:t>
            </w:r>
            <w:r>
              <w:rPr>
                <w:noProof/>
              </w:rPr>
              <w:fldChar w:fldCharType="end"/>
            </w:r>
          </w:hyperlink>
        </w:p>
        <w:p w14:paraId="724C8649" w14:textId="77777777" w:rsidR="00017DB6" w:rsidRDefault="00017DB6">
          <w:pPr>
            <w:pStyle w:val="TOC1"/>
            <w:tabs>
              <w:tab w:val="right" w:leader="dot" w:pos="9628"/>
            </w:tabs>
            <w:rPr>
              <w:noProof/>
            </w:rPr>
          </w:pPr>
          <w:hyperlink w:anchor="_Toc241851699" w:history="1">
            <w:r w:rsidRPr="004000AB">
              <w:rPr>
                <w:rStyle w:val="Hyperlink"/>
                <w:noProof/>
              </w:rPr>
              <w:t>4. Profitability Analysis</w:t>
            </w:r>
            <w:r>
              <w:rPr>
                <w:noProof/>
              </w:rPr>
              <w:tab/>
            </w:r>
            <w:r>
              <w:rPr>
                <w:noProof/>
              </w:rPr>
              <w:fldChar w:fldCharType="begin"/>
            </w:r>
            <w:r>
              <w:rPr>
                <w:noProof/>
              </w:rPr>
              <w:instrText xml:space="preserve"> PAGEREF _Toc241851699 \h </w:instrText>
            </w:r>
            <w:r>
              <w:rPr>
                <w:noProof/>
              </w:rPr>
            </w:r>
            <w:r>
              <w:rPr>
                <w:noProof/>
              </w:rPr>
              <w:fldChar w:fldCharType="separate"/>
            </w:r>
            <w:r>
              <w:rPr>
                <w:noProof/>
              </w:rPr>
              <w:t>1</w:t>
            </w:r>
            <w:r>
              <w:rPr>
                <w:noProof/>
              </w:rPr>
              <w:fldChar w:fldCharType="end"/>
            </w:r>
          </w:hyperlink>
        </w:p>
        <w:p w14:paraId="7CC88A1D" w14:textId="77777777" w:rsidR="00017DB6" w:rsidRDefault="00017DB6">
          <w:pPr>
            <w:pStyle w:val="TOC2"/>
            <w:tabs>
              <w:tab w:val="right" w:leader="dot" w:pos="9628"/>
            </w:tabs>
            <w:rPr>
              <w:noProof/>
            </w:rPr>
          </w:pPr>
          <w:hyperlink w:anchor="_Toc241851700" w:history="1">
            <w:r w:rsidRPr="004000AB">
              <w:rPr>
                <w:rStyle w:val="Hyperlink"/>
                <w:noProof/>
              </w:rPr>
              <w:t>4.1 Profitability Distribution</w:t>
            </w:r>
            <w:r>
              <w:rPr>
                <w:noProof/>
              </w:rPr>
              <w:tab/>
            </w:r>
            <w:r>
              <w:rPr>
                <w:noProof/>
              </w:rPr>
              <w:fldChar w:fldCharType="begin"/>
            </w:r>
            <w:r>
              <w:rPr>
                <w:noProof/>
              </w:rPr>
              <w:instrText xml:space="preserve"> PAGEREF _Toc241851700 \h </w:instrText>
            </w:r>
            <w:r>
              <w:rPr>
                <w:noProof/>
              </w:rPr>
            </w:r>
            <w:r>
              <w:rPr>
                <w:noProof/>
              </w:rPr>
              <w:fldChar w:fldCharType="separate"/>
            </w:r>
            <w:r>
              <w:rPr>
                <w:noProof/>
              </w:rPr>
              <w:t>1</w:t>
            </w:r>
            <w:r>
              <w:rPr>
                <w:noProof/>
              </w:rPr>
              <w:fldChar w:fldCharType="end"/>
            </w:r>
          </w:hyperlink>
        </w:p>
        <w:p w14:paraId="34677472" w14:textId="77777777" w:rsidR="00017DB6" w:rsidRDefault="00017DB6">
          <w:pPr>
            <w:pStyle w:val="TOC2"/>
            <w:tabs>
              <w:tab w:val="right" w:leader="dot" w:pos="9628"/>
            </w:tabs>
            <w:rPr>
              <w:noProof/>
            </w:rPr>
          </w:pPr>
          <w:hyperlink w:anchor="_Toc241851701" w:history="1">
            <w:r w:rsidRPr="004000AB">
              <w:rPr>
                <w:rStyle w:val="Hyperlink"/>
                <w:noProof/>
              </w:rPr>
              <w:t>4.2 Delay Distribution &amp; Profit vs. Delay Days</w:t>
            </w:r>
            <w:r>
              <w:rPr>
                <w:noProof/>
              </w:rPr>
              <w:tab/>
            </w:r>
            <w:r>
              <w:rPr>
                <w:noProof/>
              </w:rPr>
              <w:fldChar w:fldCharType="begin"/>
            </w:r>
            <w:r>
              <w:rPr>
                <w:noProof/>
              </w:rPr>
              <w:instrText xml:space="preserve"> PAGEREF _Toc241851701 \h </w:instrText>
            </w:r>
            <w:r>
              <w:rPr>
                <w:noProof/>
              </w:rPr>
            </w:r>
            <w:r>
              <w:rPr>
                <w:noProof/>
              </w:rPr>
              <w:fldChar w:fldCharType="separate"/>
            </w:r>
            <w:r>
              <w:rPr>
                <w:noProof/>
              </w:rPr>
              <w:t>1</w:t>
            </w:r>
            <w:r>
              <w:rPr>
                <w:noProof/>
              </w:rPr>
              <w:fldChar w:fldCharType="end"/>
            </w:r>
          </w:hyperlink>
        </w:p>
        <w:p w14:paraId="7FEB0144" w14:textId="77777777" w:rsidR="00017DB6" w:rsidRDefault="00017DB6">
          <w:pPr>
            <w:pStyle w:val="TOC1"/>
            <w:tabs>
              <w:tab w:val="right" w:leader="dot" w:pos="9628"/>
            </w:tabs>
            <w:rPr>
              <w:noProof/>
            </w:rPr>
          </w:pPr>
          <w:hyperlink w:anchor="_Toc241851702" w:history="1">
            <w:r w:rsidRPr="004000AB">
              <w:rPr>
                <w:rStyle w:val="Hyperlink"/>
                <w:noProof/>
              </w:rPr>
              <w:t>5. Bottleneck Detection</w:t>
            </w:r>
            <w:r>
              <w:rPr>
                <w:noProof/>
              </w:rPr>
              <w:tab/>
            </w:r>
            <w:r>
              <w:rPr>
                <w:noProof/>
              </w:rPr>
              <w:fldChar w:fldCharType="begin"/>
            </w:r>
            <w:r>
              <w:rPr>
                <w:noProof/>
              </w:rPr>
              <w:instrText xml:space="preserve"> PAGEREF _Toc241851702 \h </w:instrText>
            </w:r>
            <w:r>
              <w:rPr>
                <w:noProof/>
              </w:rPr>
            </w:r>
            <w:r>
              <w:rPr>
                <w:noProof/>
              </w:rPr>
              <w:fldChar w:fldCharType="separate"/>
            </w:r>
            <w:r>
              <w:rPr>
                <w:noProof/>
              </w:rPr>
              <w:t>1</w:t>
            </w:r>
            <w:r>
              <w:rPr>
                <w:noProof/>
              </w:rPr>
              <w:fldChar w:fldCharType="end"/>
            </w:r>
          </w:hyperlink>
        </w:p>
        <w:p w14:paraId="759C9552" w14:textId="77777777" w:rsidR="00017DB6" w:rsidRDefault="00017DB6">
          <w:pPr>
            <w:pStyle w:val="TOC1"/>
            <w:tabs>
              <w:tab w:val="right" w:leader="dot" w:pos="9628"/>
            </w:tabs>
            <w:rPr>
              <w:noProof/>
            </w:rPr>
          </w:pPr>
          <w:hyperlink w:anchor="_Toc241851703" w:history="1">
            <w:r w:rsidRPr="004000AB">
              <w:rPr>
                <w:rStyle w:val="Hyperlink"/>
                <w:noProof/>
              </w:rPr>
              <w:t>6. Root Cause Analysis</w:t>
            </w:r>
            <w:r>
              <w:rPr>
                <w:noProof/>
              </w:rPr>
              <w:tab/>
            </w:r>
            <w:r>
              <w:rPr>
                <w:noProof/>
              </w:rPr>
              <w:fldChar w:fldCharType="begin"/>
            </w:r>
            <w:r>
              <w:rPr>
                <w:noProof/>
              </w:rPr>
              <w:instrText xml:space="preserve"> PAGEREF _Toc241851703 \h </w:instrText>
            </w:r>
            <w:r>
              <w:rPr>
                <w:noProof/>
              </w:rPr>
            </w:r>
            <w:r>
              <w:rPr>
                <w:noProof/>
              </w:rPr>
              <w:fldChar w:fldCharType="separate"/>
            </w:r>
            <w:r>
              <w:rPr>
                <w:noProof/>
              </w:rPr>
              <w:t>1</w:t>
            </w:r>
            <w:r>
              <w:rPr>
                <w:noProof/>
              </w:rPr>
              <w:fldChar w:fldCharType="end"/>
            </w:r>
          </w:hyperlink>
        </w:p>
        <w:p w14:paraId="1319624E" w14:textId="77777777" w:rsidR="00017DB6" w:rsidRDefault="00017DB6">
          <w:pPr>
            <w:pStyle w:val="TOC1"/>
            <w:tabs>
              <w:tab w:val="right" w:leader="dot" w:pos="9628"/>
            </w:tabs>
            <w:rPr>
              <w:noProof/>
            </w:rPr>
          </w:pPr>
          <w:hyperlink w:anchor="_Toc241851704" w:history="1">
            <w:r w:rsidRPr="004000AB">
              <w:rPr>
                <w:rStyle w:val="Hyperlink"/>
                <w:noProof/>
              </w:rPr>
              <w:t>7. Time-Based Delay Patterns</w:t>
            </w:r>
            <w:r>
              <w:rPr>
                <w:noProof/>
              </w:rPr>
              <w:tab/>
            </w:r>
            <w:r>
              <w:rPr>
                <w:noProof/>
              </w:rPr>
              <w:fldChar w:fldCharType="begin"/>
            </w:r>
            <w:r>
              <w:rPr>
                <w:noProof/>
              </w:rPr>
              <w:instrText xml:space="preserve"> PAGEREF _Toc241851704 \h </w:instrText>
            </w:r>
            <w:r>
              <w:rPr>
                <w:noProof/>
              </w:rPr>
            </w:r>
            <w:r>
              <w:rPr>
                <w:noProof/>
              </w:rPr>
              <w:fldChar w:fldCharType="separate"/>
            </w:r>
            <w:r>
              <w:rPr>
                <w:noProof/>
              </w:rPr>
              <w:t>1</w:t>
            </w:r>
            <w:r>
              <w:rPr>
                <w:noProof/>
              </w:rPr>
              <w:fldChar w:fldCharType="end"/>
            </w:r>
          </w:hyperlink>
        </w:p>
        <w:p w14:paraId="4FDCF305" w14:textId="77777777" w:rsidR="00017DB6" w:rsidRDefault="00017DB6">
          <w:pPr>
            <w:pStyle w:val="TOC1"/>
            <w:tabs>
              <w:tab w:val="right" w:leader="dot" w:pos="9628"/>
            </w:tabs>
            <w:rPr>
              <w:noProof/>
            </w:rPr>
          </w:pPr>
          <w:hyperlink w:anchor="_Toc241851705" w:history="1">
            <w:r w:rsidRPr="004000AB">
              <w:rPr>
                <w:rStyle w:val="Hyperlink"/>
                <w:noProof/>
              </w:rPr>
              <w:t>8. Machine Learning Model Results</w:t>
            </w:r>
            <w:r>
              <w:rPr>
                <w:noProof/>
              </w:rPr>
              <w:tab/>
            </w:r>
            <w:r>
              <w:rPr>
                <w:noProof/>
              </w:rPr>
              <w:fldChar w:fldCharType="begin"/>
            </w:r>
            <w:r>
              <w:rPr>
                <w:noProof/>
              </w:rPr>
              <w:instrText xml:space="preserve"> PAGEREF _Toc241851705 \h </w:instrText>
            </w:r>
            <w:r>
              <w:rPr>
                <w:noProof/>
              </w:rPr>
            </w:r>
            <w:r>
              <w:rPr>
                <w:noProof/>
              </w:rPr>
              <w:fldChar w:fldCharType="separate"/>
            </w:r>
            <w:r>
              <w:rPr>
                <w:noProof/>
              </w:rPr>
              <w:t>1</w:t>
            </w:r>
            <w:r>
              <w:rPr>
                <w:noProof/>
              </w:rPr>
              <w:fldChar w:fldCharType="end"/>
            </w:r>
          </w:hyperlink>
        </w:p>
        <w:p w14:paraId="6A63F8DB" w14:textId="77777777" w:rsidR="00017DB6" w:rsidRDefault="00017DB6">
          <w:pPr>
            <w:pStyle w:val="TOC2"/>
            <w:tabs>
              <w:tab w:val="right" w:leader="dot" w:pos="9628"/>
            </w:tabs>
            <w:rPr>
              <w:noProof/>
            </w:rPr>
          </w:pPr>
          <w:hyperlink w:anchor="_Toc241851706" w:history="1">
            <w:r w:rsidRPr="004000AB">
              <w:rPr>
                <w:rStyle w:val="Hyperlink"/>
                <w:noProof/>
              </w:rPr>
              <w:t>Class Imbalance Handling (SMOTE)</w:t>
            </w:r>
            <w:r>
              <w:rPr>
                <w:noProof/>
              </w:rPr>
              <w:tab/>
            </w:r>
            <w:r>
              <w:rPr>
                <w:noProof/>
              </w:rPr>
              <w:fldChar w:fldCharType="begin"/>
            </w:r>
            <w:r>
              <w:rPr>
                <w:noProof/>
              </w:rPr>
              <w:instrText xml:space="preserve"> PAGEREF _Toc241851706 \h </w:instrText>
            </w:r>
            <w:r>
              <w:rPr>
                <w:noProof/>
              </w:rPr>
            </w:r>
            <w:r>
              <w:rPr>
                <w:noProof/>
              </w:rPr>
              <w:fldChar w:fldCharType="separate"/>
            </w:r>
            <w:r>
              <w:rPr>
                <w:noProof/>
              </w:rPr>
              <w:t>1</w:t>
            </w:r>
            <w:r>
              <w:rPr>
                <w:noProof/>
              </w:rPr>
              <w:fldChar w:fldCharType="end"/>
            </w:r>
          </w:hyperlink>
        </w:p>
        <w:p w14:paraId="184ED4EF" w14:textId="77777777" w:rsidR="00017DB6" w:rsidRDefault="00017DB6">
          <w:pPr>
            <w:pStyle w:val="TOC2"/>
            <w:tabs>
              <w:tab w:val="right" w:leader="dot" w:pos="9628"/>
            </w:tabs>
            <w:rPr>
              <w:noProof/>
            </w:rPr>
          </w:pPr>
          <w:hyperlink w:anchor="_Toc241851707" w:history="1">
            <w:r w:rsidRPr="004000AB">
              <w:rPr>
                <w:rStyle w:val="Hyperlink"/>
                <w:noProof/>
              </w:rPr>
              <w:t>Random Forest Classifier – Test Set Performance (34,553 records)</w:t>
            </w:r>
            <w:r>
              <w:rPr>
                <w:noProof/>
              </w:rPr>
              <w:tab/>
            </w:r>
            <w:r>
              <w:rPr>
                <w:noProof/>
              </w:rPr>
              <w:fldChar w:fldCharType="begin"/>
            </w:r>
            <w:r>
              <w:rPr>
                <w:noProof/>
              </w:rPr>
              <w:instrText xml:space="preserve"> PAGEREF _Toc241851707 \h </w:instrText>
            </w:r>
            <w:r>
              <w:rPr>
                <w:noProof/>
              </w:rPr>
            </w:r>
            <w:r>
              <w:rPr>
                <w:noProof/>
              </w:rPr>
              <w:fldChar w:fldCharType="separate"/>
            </w:r>
            <w:r>
              <w:rPr>
                <w:noProof/>
              </w:rPr>
              <w:t>1</w:t>
            </w:r>
            <w:r>
              <w:rPr>
                <w:noProof/>
              </w:rPr>
              <w:fldChar w:fldCharType="end"/>
            </w:r>
          </w:hyperlink>
        </w:p>
        <w:p w14:paraId="234B9377" w14:textId="77777777" w:rsidR="00017DB6" w:rsidRDefault="00017DB6">
          <w:pPr>
            <w:pStyle w:val="TOC1"/>
            <w:tabs>
              <w:tab w:val="right" w:leader="dot" w:pos="9628"/>
            </w:tabs>
            <w:rPr>
              <w:noProof/>
            </w:rPr>
          </w:pPr>
          <w:hyperlink w:anchor="_Toc241851708" w:history="1">
            <w:r w:rsidRPr="004000AB">
              <w:rPr>
                <w:rStyle w:val="Hyperlink"/>
                <w:noProof/>
              </w:rPr>
              <w:t>9. Strategic Recommendations</w:t>
            </w:r>
            <w:r>
              <w:rPr>
                <w:noProof/>
              </w:rPr>
              <w:tab/>
            </w:r>
            <w:r>
              <w:rPr>
                <w:noProof/>
              </w:rPr>
              <w:fldChar w:fldCharType="begin"/>
            </w:r>
            <w:r>
              <w:rPr>
                <w:noProof/>
              </w:rPr>
              <w:instrText xml:space="preserve"> PAGEREF _Toc241851708 \h </w:instrText>
            </w:r>
            <w:r>
              <w:rPr>
                <w:noProof/>
              </w:rPr>
            </w:r>
            <w:r>
              <w:rPr>
                <w:noProof/>
              </w:rPr>
              <w:fldChar w:fldCharType="separate"/>
            </w:r>
            <w:r>
              <w:rPr>
                <w:noProof/>
              </w:rPr>
              <w:t>1</w:t>
            </w:r>
            <w:r>
              <w:rPr>
                <w:noProof/>
              </w:rPr>
              <w:fldChar w:fldCharType="end"/>
            </w:r>
          </w:hyperlink>
        </w:p>
        <w:p w14:paraId="25651060" w14:textId="77777777" w:rsidR="00017DB6" w:rsidRDefault="00017DB6">
          <w:pPr>
            <w:pStyle w:val="TOC2"/>
            <w:tabs>
              <w:tab w:val="right" w:leader="dot" w:pos="9628"/>
            </w:tabs>
            <w:rPr>
              <w:noProof/>
            </w:rPr>
          </w:pPr>
          <w:hyperlink w:anchor="_Toc241851709" w:history="1">
            <w:r w:rsidRPr="004000AB">
              <w:rPr>
                <w:rStyle w:val="Hyperlink"/>
                <w:noProof/>
              </w:rPr>
              <w:t>9.1 Suggested KPI Targets</w:t>
            </w:r>
            <w:r>
              <w:rPr>
                <w:noProof/>
              </w:rPr>
              <w:tab/>
            </w:r>
            <w:r>
              <w:rPr>
                <w:noProof/>
              </w:rPr>
              <w:fldChar w:fldCharType="begin"/>
            </w:r>
            <w:r>
              <w:rPr>
                <w:noProof/>
              </w:rPr>
              <w:instrText xml:space="preserve"> PAGEREF _Toc241851709 \h </w:instrText>
            </w:r>
            <w:r>
              <w:rPr>
                <w:noProof/>
              </w:rPr>
            </w:r>
            <w:r>
              <w:rPr>
                <w:noProof/>
              </w:rPr>
              <w:fldChar w:fldCharType="separate"/>
            </w:r>
            <w:r>
              <w:rPr>
                <w:noProof/>
              </w:rPr>
              <w:t>1</w:t>
            </w:r>
            <w:r>
              <w:rPr>
                <w:noProof/>
              </w:rPr>
              <w:fldChar w:fldCharType="end"/>
            </w:r>
          </w:hyperlink>
        </w:p>
        <w:p w14:paraId="31320C0A" w14:textId="77777777" w:rsidR="00017DB6" w:rsidRDefault="00017DB6">
          <w:pPr>
            <w:pStyle w:val="TOC1"/>
            <w:tabs>
              <w:tab w:val="right" w:leader="dot" w:pos="9628"/>
            </w:tabs>
            <w:rPr>
              <w:noProof/>
            </w:rPr>
          </w:pPr>
          <w:hyperlink w:anchor="_Toc241851710" w:history="1">
            <w:r w:rsidRPr="004000AB">
              <w:rPr>
                <w:rStyle w:val="Hyperlink"/>
                <w:noProof/>
              </w:rPr>
              <w:t>10. Conclusion</w:t>
            </w:r>
            <w:r>
              <w:rPr>
                <w:noProof/>
              </w:rPr>
              <w:tab/>
            </w:r>
            <w:r>
              <w:rPr>
                <w:noProof/>
              </w:rPr>
              <w:fldChar w:fldCharType="begin"/>
            </w:r>
            <w:r>
              <w:rPr>
                <w:noProof/>
              </w:rPr>
              <w:instrText xml:space="preserve"> PAGEREF _Toc241851710 \h </w:instrText>
            </w:r>
            <w:r>
              <w:rPr>
                <w:noProof/>
              </w:rPr>
            </w:r>
            <w:r>
              <w:rPr>
                <w:noProof/>
              </w:rPr>
              <w:fldChar w:fldCharType="separate"/>
            </w:r>
            <w:r>
              <w:rPr>
                <w:noProof/>
              </w:rPr>
              <w:t>1</w:t>
            </w:r>
            <w:r>
              <w:rPr>
                <w:noProof/>
              </w:rPr>
              <w:fldChar w:fldCharType="end"/>
            </w:r>
          </w:hyperlink>
        </w:p>
        <w:p w14:paraId="6804BB50" w14:textId="77777777" w:rsidR="00017DB6" w:rsidRDefault="00017DB6">
          <w:pPr>
            <w:pStyle w:val="TOC1"/>
            <w:tabs>
              <w:tab w:val="right" w:leader="dot" w:pos="9628"/>
            </w:tabs>
            <w:rPr>
              <w:noProof/>
            </w:rPr>
          </w:pPr>
          <w:hyperlink w:anchor="_Toc241851711" w:history="1">
            <w:r w:rsidRPr="004000AB">
              <w:rPr>
                <w:rStyle w:val="Hyperlink"/>
                <w:noProof/>
              </w:rPr>
              <w:t>11. Methodological Notes &amp; Limitations</w:t>
            </w:r>
            <w:r>
              <w:rPr>
                <w:noProof/>
              </w:rPr>
              <w:tab/>
            </w:r>
            <w:r>
              <w:rPr>
                <w:noProof/>
              </w:rPr>
              <w:fldChar w:fldCharType="begin"/>
            </w:r>
            <w:r>
              <w:rPr>
                <w:noProof/>
              </w:rPr>
              <w:instrText xml:space="preserve"> PAGEREF _Toc241851711 \h </w:instrText>
            </w:r>
            <w:r>
              <w:rPr>
                <w:noProof/>
              </w:rPr>
            </w:r>
            <w:r>
              <w:rPr>
                <w:noProof/>
              </w:rPr>
              <w:fldChar w:fldCharType="separate"/>
            </w:r>
            <w:r>
              <w:rPr>
                <w:noProof/>
              </w:rPr>
              <w:t>1</w:t>
            </w:r>
            <w:r>
              <w:rPr>
                <w:noProof/>
              </w:rPr>
              <w:fldChar w:fldCharType="end"/>
            </w:r>
          </w:hyperlink>
        </w:p>
        <w:p w14:paraId="1892EA8B" w14:textId="77777777" w:rsidR="00F50A8E" w:rsidRDefault="00000000">
          <w:r>
            <w:fldChar w:fldCharType="end"/>
          </w:r>
        </w:p>
      </w:sdtContent>
    </w:sdt>
    <w:p w14:paraId="573CA159" w14:textId="77777777" w:rsidR="00F50A8E" w:rsidRDefault="00000000">
      <w:r>
        <w:br w:type="page"/>
      </w:r>
    </w:p>
    <w:p w14:paraId="4C06BEC7" w14:textId="77777777" w:rsidR="00F50A8E" w:rsidRDefault="00000000">
      <w:pPr>
        <w:pStyle w:val="Heading1"/>
      </w:pPr>
      <w:bookmarkStart w:id="0" w:name="_Toc241851692"/>
      <w:r>
        <w:lastRenderedPageBreak/>
        <w:t>1. Executive Summary</w:t>
      </w:r>
      <w:bookmarkEnd w:id="0"/>
    </w:p>
    <w:p w14:paraId="39D1C444" w14:textId="77777777" w:rsidR="00F50A8E" w:rsidRDefault="00000000">
      <w:pPr>
        <w:spacing w:after="120" w:line="300" w:lineRule="auto"/>
      </w:pPr>
      <w:r>
        <w:rPr>
          <w:color w:val="222222"/>
        </w:rPr>
        <w:t>This report presents a comprehensive analysis of the delivery operations of a global e-commerce company managing end-to-end order fulfilment across multiple regions. The analysis covers 172,765 non-cancelled orders from January 2015 through January 2018, and focuses on identifying the drivers of chronic late deliveries, quantifying their relationship with profitability, and establishing a data-driven framework for improvement.</w:t>
      </w:r>
    </w:p>
    <w:p w14:paraId="3F6334BA" w14:textId="77777777" w:rsidR="00F50A8E" w:rsidRDefault="00000000">
      <w:pPr>
        <w:spacing w:after="120" w:line="300" w:lineRule="auto"/>
      </w:pPr>
      <w:r>
        <w:rPr>
          <w:color w:val="222222"/>
        </w:rPr>
        <w:t xml:space="preserve">The headline finding is stark: </w:t>
      </w:r>
      <w:r>
        <w:rPr>
          <w:b/>
          <w:bCs/>
          <w:color w:val="222222"/>
        </w:rPr>
        <w:t xml:space="preserve">54.71% of all </w:t>
      </w:r>
      <w:proofErr w:type="spellStart"/>
      <w:r>
        <w:rPr>
          <w:b/>
          <w:bCs/>
          <w:color w:val="222222"/>
        </w:rPr>
        <w:t>analyzed</w:t>
      </w:r>
      <w:proofErr w:type="spellEnd"/>
      <w:r>
        <w:rPr>
          <w:b/>
          <w:bCs/>
          <w:color w:val="222222"/>
        </w:rPr>
        <w:t xml:space="preserve"> orders are delivered late</w:t>
      </w:r>
      <w:r>
        <w:rPr>
          <w:color w:val="222222"/>
        </w:rPr>
        <w:t>. Total profit across profitable orders reached $7.5M, and orders that were delayed account for about $2.1M of profit, which is used here as a “profit at risk” indicator. A Random Forest model achieved 74% accuracy in identifying orders at risk of being late.</w:t>
      </w:r>
    </w:p>
    <w:p w14:paraId="5BEA9D1C" w14:textId="77777777" w:rsidR="00F50A8E" w:rsidRDefault="00F50A8E">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238"/>
      </w:tblGrid>
      <w:tr w:rsidR="00F50A8E" w14:paraId="091615D8" w14:textId="77777777">
        <w:tblPrEx>
          <w:tblCellMar>
            <w:top w:w="0" w:type="dxa"/>
            <w:bottom w:w="0" w:type="dxa"/>
          </w:tblCellMar>
        </w:tblPrEx>
        <w:trPr>
          <w:tblHeader/>
        </w:trPr>
        <w:tc>
          <w:tcPr>
            <w:tcW w:w="54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529A1755" w14:textId="77777777" w:rsidR="00F50A8E" w:rsidRDefault="00000000">
            <w:r>
              <w:rPr>
                <w:b/>
                <w:bCs/>
                <w:color w:val="FFFFFF"/>
                <w:sz w:val="19"/>
                <w:szCs w:val="19"/>
              </w:rPr>
              <w:t>Key Finding</w:t>
            </w:r>
          </w:p>
        </w:tc>
        <w:tc>
          <w:tcPr>
            <w:tcW w:w="4238"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7C7E01C0" w14:textId="77777777" w:rsidR="00F50A8E" w:rsidRDefault="00000000">
            <w:r>
              <w:rPr>
                <w:b/>
                <w:bCs/>
                <w:color w:val="FFFFFF"/>
                <w:sz w:val="19"/>
                <w:szCs w:val="19"/>
              </w:rPr>
              <w:t>Metric</w:t>
            </w:r>
          </w:p>
        </w:tc>
      </w:tr>
      <w:tr w:rsidR="00F50A8E" w14:paraId="4CDBB6E2" w14:textId="77777777">
        <w:tblPrEx>
          <w:tblCellMar>
            <w:top w:w="0" w:type="dxa"/>
            <w:bottom w:w="0" w:type="dxa"/>
          </w:tblCellMar>
        </w:tblPrEx>
        <w:trPr>
          <w:cantSplit/>
        </w:trPr>
        <w:tc>
          <w:tcPr>
            <w:tcW w:w="54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2F50B2F2" w14:textId="77777777" w:rsidR="00F50A8E" w:rsidRDefault="00000000">
            <w:r>
              <w:rPr>
                <w:color w:val="222222"/>
                <w:sz w:val="19"/>
                <w:szCs w:val="19"/>
              </w:rPr>
              <w:t>Overall Late Delivery Rate</w:t>
            </w:r>
          </w:p>
        </w:tc>
        <w:tc>
          <w:tcPr>
            <w:tcW w:w="4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45EDBF96" w14:textId="77777777" w:rsidR="00F50A8E" w:rsidRDefault="00000000">
            <w:r>
              <w:rPr>
                <w:b/>
                <w:bCs/>
                <w:color w:val="2A9D8F"/>
                <w:sz w:val="19"/>
                <w:szCs w:val="19"/>
              </w:rPr>
              <w:t>54.71%</w:t>
            </w:r>
          </w:p>
        </w:tc>
      </w:tr>
      <w:tr w:rsidR="00F50A8E" w14:paraId="00F7570C" w14:textId="77777777">
        <w:tblPrEx>
          <w:tblCellMar>
            <w:top w:w="0" w:type="dxa"/>
            <w:bottom w:w="0" w:type="dxa"/>
          </w:tblCellMar>
        </w:tblPrEx>
        <w:trPr>
          <w:cantSplit/>
        </w:trPr>
        <w:tc>
          <w:tcPr>
            <w:tcW w:w="54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2403CA54" w14:textId="77777777" w:rsidR="00F50A8E" w:rsidRDefault="00000000">
            <w:r>
              <w:rPr>
                <w:color w:val="222222"/>
                <w:sz w:val="19"/>
                <w:szCs w:val="19"/>
              </w:rPr>
              <w:t>On-Time Delivery Rate</w:t>
            </w:r>
          </w:p>
        </w:tc>
        <w:tc>
          <w:tcPr>
            <w:tcW w:w="42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4075C445" w14:textId="77777777" w:rsidR="00F50A8E" w:rsidRDefault="00000000">
            <w:r>
              <w:rPr>
                <w:b/>
                <w:bCs/>
                <w:color w:val="2A9D8F"/>
                <w:sz w:val="19"/>
                <w:szCs w:val="19"/>
              </w:rPr>
              <w:t>45.29%</w:t>
            </w:r>
          </w:p>
        </w:tc>
      </w:tr>
      <w:tr w:rsidR="00F50A8E" w14:paraId="4AE98A1F" w14:textId="77777777">
        <w:tblPrEx>
          <w:tblCellMar>
            <w:top w:w="0" w:type="dxa"/>
            <w:bottom w:w="0" w:type="dxa"/>
          </w:tblCellMar>
        </w:tblPrEx>
        <w:trPr>
          <w:cantSplit/>
        </w:trPr>
        <w:tc>
          <w:tcPr>
            <w:tcW w:w="54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2BD321E1" w14:textId="77777777" w:rsidR="00F50A8E" w:rsidRDefault="00000000">
            <w:r>
              <w:rPr>
                <w:color w:val="222222"/>
                <w:sz w:val="19"/>
                <w:szCs w:val="19"/>
              </w:rPr>
              <w:t xml:space="preserve">Total Orders </w:t>
            </w:r>
            <w:proofErr w:type="spellStart"/>
            <w:r>
              <w:rPr>
                <w:color w:val="222222"/>
                <w:sz w:val="19"/>
                <w:szCs w:val="19"/>
              </w:rPr>
              <w:t>Analyzed</w:t>
            </w:r>
            <w:proofErr w:type="spellEnd"/>
          </w:p>
        </w:tc>
        <w:tc>
          <w:tcPr>
            <w:tcW w:w="4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5DC78942" w14:textId="77777777" w:rsidR="00F50A8E" w:rsidRDefault="00000000">
            <w:r>
              <w:rPr>
                <w:b/>
                <w:bCs/>
                <w:color w:val="2A9D8F"/>
                <w:sz w:val="19"/>
                <w:szCs w:val="19"/>
              </w:rPr>
              <w:t>172,765</w:t>
            </w:r>
          </w:p>
        </w:tc>
      </w:tr>
      <w:tr w:rsidR="00F50A8E" w14:paraId="11E6D27A" w14:textId="77777777">
        <w:tblPrEx>
          <w:tblCellMar>
            <w:top w:w="0" w:type="dxa"/>
            <w:bottom w:w="0" w:type="dxa"/>
          </w:tblCellMar>
        </w:tblPrEx>
        <w:trPr>
          <w:cantSplit/>
        </w:trPr>
        <w:tc>
          <w:tcPr>
            <w:tcW w:w="54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7C64A106" w14:textId="77777777" w:rsidR="00F50A8E" w:rsidRDefault="00000000">
            <w:r>
              <w:rPr>
                <w:color w:val="222222"/>
                <w:sz w:val="19"/>
                <w:szCs w:val="19"/>
              </w:rPr>
              <w:t>Total Profit (profitable orders)</w:t>
            </w:r>
          </w:p>
        </w:tc>
        <w:tc>
          <w:tcPr>
            <w:tcW w:w="42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3B82543F" w14:textId="77777777" w:rsidR="00F50A8E" w:rsidRDefault="00000000">
            <w:r>
              <w:rPr>
                <w:b/>
                <w:bCs/>
                <w:color w:val="2A9D8F"/>
                <w:sz w:val="19"/>
                <w:szCs w:val="19"/>
              </w:rPr>
              <w:t>$7.5M</w:t>
            </w:r>
          </w:p>
        </w:tc>
      </w:tr>
      <w:tr w:rsidR="00F50A8E" w14:paraId="41663F5F" w14:textId="77777777">
        <w:tblPrEx>
          <w:tblCellMar>
            <w:top w:w="0" w:type="dxa"/>
            <w:bottom w:w="0" w:type="dxa"/>
          </w:tblCellMar>
        </w:tblPrEx>
        <w:trPr>
          <w:cantSplit/>
        </w:trPr>
        <w:tc>
          <w:tcPr>
            <w:tcW w:w="54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5F2540C6" w14:textId="77777777" w:rsidR="00F50A8E" w:rsidRDefault="00000000">
            <w:r>
              <w:rPr>
                <w:color w:val="222222"/>
                <w:sz w:val="19"/>
                <w:szCs w:val="19"/>
              </w:rPr>
              <w:t>Profit at Risk (delayed orders)</w:t>
            </w:r>
          </w:p>
        </w:tc>
        <w:tc>
          <w:tcPr>
            <w:tcW w:w="4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3332DD72" w14:textId="77777777" w:rsidR="00F50A8E" w:rsidRDefault="00000000">
            <w:r>
              <w:rPr>
                <w:b/>
                <w:bCs/>
                <w:color w:val="2A9D8F"/>
                <w:sz w:val="19"/>
                <w:szCs w:val="19"/>
              </w:rPr>
              <w:t>$2.1M</w:t>
            </w:r>
          </w:p>
        </w:tc>
      </w:tr>
      <w:tr w:rsidR="00F50A8E" w14:paraId="1C03E023" w14:textId="77777777">
        <w:tblPrEx>
          <w:tblCellMar>
            <w:top w:w="0" w:type="dxa"/>
            <w:bottom w:w="0" w:type="dxa"/>
          </w:tblCellMar>
        </w:tblPrEx>
        <w:trPr>
          <w:cantSplit/>
        </w:trPr>
        <w:tc>
          <w:tcPr>
            <w:tcW w:w="54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0A99FB01" w14:textId="77777777" w:rsidR="00F50A8E" w:rsidRDefault="00000000">
            <w:r>
              <w:rPr>
                <w:color w:val="222222"/>
                <w:sz w:val="19"/>
                <w:szCs w:val="19"/>
              </w:rPr>
              <w:t>Predictive Model Accuracy (Random Forest)</w:t>
            </w:r>
          </w:p>
        </w:tc>
        <w:tc>
          <w:tcPr>
            <w:tcW w:w="42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503F0085" w14:textId="77777777" w:rsidR="00F50A8E" w:rsidRDefault="00000000">
            <w:r>
              <w:rPr>
                <w:b/>
                <w:bCs/>
                <w:color w:val="2A9D8F"/>
                <w:sz w:val="19"/>
                <w:szCs w:val="19"/>
              </w:rPr>
              <w:t>74%</w:t>
            </w:r>
          </w:p>
        </w:tc>
      </w:tr>
    </w:tbl>
    <w:p w14:paraId="5BBA4ED1" w14:textId="77777777" w:rsidR="00F50A8E" w:rsidRDefault="00000000">
      <w:pPr>
        <w:pStyle w:val="Heading1"/>
      </w:pPr>
      <w:bookmarkStart w:id="1" w:name="_Toc241851693"/>
      <w:r>
        <w:t>2. Business Context &amp; Objectives</w:t>
      </w:r>
      <w:bookmarkEnd w:id="1"/>
    </w:p>
    <w:p w14:paraId="156E994C" w14:textId="77777777" w:rsidR="00F50A8E" w:rsidRDefault="00000000">
      <w:pPr>
        <w:spacing w:after="120" w:line="300" w:lineRule="auto"/>
      </w:pPr>
      <w:r>
        <w:rPr>
          <w:color w:val="222222"/>
        </w:rPr>
        <w:t>The company operates a global e-commerce platform selling products across categories including sporting goods, fitness equipment, outdoor gear, footwear and apparel across multiple international regions.</w:t>
      </w:r>
    </w:p>
    <w:p w14:paraId="4EFBA544" w14:textId="77777777" w:rsidR="00F50A8E" w:rsidRDefault="00000000">
      <w:pPr>
        <w:pStyle w:val="Heading2"/>
      </w:pPr>
      <w:bookmarkStart w:id="2" w:name="_Toc241851694"/>
      <w:r>
        <w:t>Core Business Problem</w:t>
      </w:r>
      <w:bookmarkEnd w:id="2"/>
    </w:p>
    <w:p w14:paraId="2700056F" w14:textId="77777777" w:rsidR="00F50A8E" w:rsidRDefault="00000000">
      <w:pPr>
        <w:spacing w:after="120" w:line="300" w:lineRule="auto"/>
      </w:pPr>
      <w:r>
        <w:rPr>
          <w:color w:val="222222"/>
        </w:rPr>
        <w:t>Actual shipping times frequently deviate from scheduled delivery windows. This erodes customer trust, exposes profitable orders to disruption, and makes it hard to give buyers reliable commitments at the point of purchase.</w:t>
      </w:r>
    </w:p>
    <w:p w14:paraId="46DD4419" w14:textId="77777777" w:rsidR="00F50A8E" w:rsidRDefault="00000000">
      <w:pPr>
        <w:pStyle w:val="Heading2"/>
      </w:pPr>
      <w:bookmarkStart w:id="3" w:name="_Toc241851695"/>
      <w:r>
        <w:t>Analytical Objectives</w:t>
      </w:r>
      <w:bookmarkEnd w:id="3"/>
    </w:p>
    <w:p w14:paraId="318A4594" w14:textId="77777777" w:rsidR="00F50A8E" w:rsidRDefault="00000000">
      <w:pPr>
        <w:pStyle w:val="ListParagraph"/>
        <w:numPr>
          <w:ilvl w:val="0"/>
          <w:numId w:val="2"/>
        </w:numPr>
        <w:spacing w:after="70" w:line="290" w:lineRule="auto"/>
      </w:pPr>
      <w:r>
        <w:rPr>
          <w:color w:val="222222"/>
        </w:rPr>
        <w:t>Understand the current state of delivery performance across all dimensions (region, mode, time, segment).</w:t>
      </w:r>
    </w:p>
    <w:p w14:paraId="209C1815" w14:textId="77777777" w:rsidR="00F50A8E" w:rsidRDefault="00000000">
      <w:pPr>
        <w:pStyle w:val="ListParagraph"/>
        <w:numPr>
          <w:ilvl w:val="0"/>
          <w:numId w:val="2"/>
        </w:numPr>
        <w:spacing w:after="70" w:line="290" w:lineRule="auto"/>
      </w:pPr>
      <w:r>
        <w:rPr>
          <w:color w:val="222222"/>
        </w:rPr>
        <w:t>Quantify the relationship between delays and order profitability.</w:t>
      </w:r>
    </w:p>
    <w:p w14:paraId="1F54A4E3" w14:textId="77777777" w:rsidR="00F50A8E" w:rsidRDefault="00000000">
      <w:pPr>
        <w:pStyle w:val="ListParagraph"/>
        <w:numPr>
          <w:ilvl w:val="0"/>
          <w:numId w:val="2"/>
        </w:numPr>
        <w:spacing w:after="70" w:line="290" w:lineRule="auto"/>
      </w:pPr>
      <w:r>
        <w:rPr>
          <w:color w:val="222222"/>
        </w:rPr>
        <w:t>Identify the primary operational bottlenecks driving late deliveries.</w:t>
      </w:r>
    </w:p>
    <w:p w14:paraId="0D466858" w14:textId="77777777" w:rsidR="00F50A8E" w:rsidRDefault="00000000">
      <w:pPr>
        <w:pStyle w:val="ListParagraph"/>
        <w:numPr>
          <w:ilvl w:val="0"/>
          <w:numId w:val="2"/>
        </w:numPr>
        <w:spacing w:after="70" w:line="290" w:lineRule="auto"/>
      </w:pPr>
      <w:r>
        <w:rPr>
          <w:color w:val="222222"/>
        </w:rPr>
        <w:t>Build a predictive model to flag high-risk orders early.</w:t>
      </w:r>
    </w:p>
    <w:p w14:paraId="611D9D35" w14:textId="77777777" w:rsidR="00F50A8E" w:rsidRDefault="00000000">
      <w:pPr>
        <w:pStyle w:val="ListParagraph"/>
        <w:numPr>
          <w:ilvl w:val="0"/>
          <w:numId w:val="2"/>
        </w:numPr>
        <w:spacing w:after="70" w:line="290" w:lineRule="auto"/>
      </w:pPr>
      <w:r>
        <w:rPr>
          <w:color w:val="222222"/>
        </w:rPr>
        <w:t>Deliver actionable recommendations to improve on-time delivery and profitability.</w:t>
      </w:r>
    </w:p>
    <w:p w14:paraId="4824DEA8" w14:textId="77777777" w:rsidR="00F50A8E" w:rsidRDefault="00000000">
      <w:pPr>
        <w:pStyle w:val="Heading1"/>
      </w:pPr>
      <w:bookmarkStart w:id="4" w:name="_Toc241851696"/>
      <w:r>
        <w:lastRenderedPageBreak/>
        <w:t>3. Data Preparation &amp; Key Performance Indicators</w:t>
      </w:r>
      <w:bookmarkEnd w:id="4"/>
    </w:p>
    <w:p w14:paraId="497EBC28" w14:textId="77777777" w:rsidR="00F50A8E" w:rsidRDefault="00000000">
      <w:pPr>
        <w:pStyle w:val="Heading2"/>
      </w:pPr>
      <w:bookmarkStart w:id="5" w:name="_Toc241851697"/>
      <w:r>
        <w:t>3.1 Dataset and cleaning</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238"/>
      </w:tblGrid>
      <w:tr w:rsidR="00F50A8E" w14:paraId="4D51BD52" w14:textId="77777777">
        <w:tblPrEx>
          <w:tblCellMar>
            <w:top w:w="0" w:type="dxa"/>
            <w:bottom w:w="0" w:type="dxa"/>
          </w:tblCellMar>
        </w:tblPrEx>
        <w:trPr>
          <w:tblHeader/>
        </w:trPr>
        <w:tc>
          <w:tcPr>
            <w:tcW w:w="54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1E051E4E" w14:textId="77777777" w:rsidR="00F50A8E" w:rsidRDefault="00000000">
            <w:r>
              <w:rPr>
                <w:b/>
                <w:bCs/>
                <w:color w:val="FFFFFF"/>
                <w:sz w:val="19"/>
                <w:szCs w:val="19"/>
              </w:rPr>
              <w:t>Item</w:t>
            </w:r>
          </w:p>
        </w:tc>
        <w:tc>
          <w:tcPr>
            <w:tcW w:w="4238"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45684CA9" w14:textId="77777777" w:rsidR="00F50A8E" w:rsidRDefault="00000000">
            <w:pPr>
              <w:jc w:val="right"/>
            </w:pPr>
            <w:r>
              <w:rPr>
                <w:b/>
                <w:bCs/>
                <w:color w:val="FFFFFF"/>
                <w:sz w:val="19"/>
                <w:szCs w:val="19"/>
              </w:rPr>
              <w:t>Value</w:t>
            </w:r>
          </w:p>
        </w:tc>
      </w:tr>
      <w:tr w:rsidR="00F50A8E" w14:paraId="5E0B3988" w14:textId="77777777">
        <w:tblPrEx>
          <w:tblCellMar>
            <w:top w:w="0" w:type="dxa"/>
            <w:bottom w:w="0" w:type="dxa"/>
          </w:tblCellMar>
        </w:tblPrEx>
        <w:trPr>
          <w:cantSplit/>
        </w:trPr>
        <w:tc>
          <w:tcPr>
            <w:tcW w:w="54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53D8C908" w14:textId="77777777" w:rsidR="00F50A8E" w:rsidRDefault="00000000">
            <w:r>
              <w:rPr>
                <w:color w:val="222222"/>
                <w:sz w:val="19"/>
                <w:szCs w:val="19"/>
              </w:rPr>
              <w:t>Original records / columns</w:t>
            </w:r>
          </w:p>
        </w:tc>
        <w:tc>
          <w:tcPr>
            <w:tcW w:w="4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3EA5145E" w14:textId="77777777" w:rsidR="00F50A8E" w:rsidRDefault="00000000">
            <w:pPr>
              <w:jc w:val="right"/>
            </w:pPr>
            <w:r>
              <w:rPr>
                <w:color w:val="222222"/>
                <w:sz w:val="19"/>
                <w:szCs w:val="19"/>
              </w:rPr>
              <w:t>180,519 / 53</w:t>
            </w:r>
          </w:p>
        </w:tc>
      </w:tr>
      <w:tr w:rsidR="00F50A8E" w14:paraId="169916A0" w14:textId="77777777">
        <w:tblPrEx>
          <w:tblCellMar>
            <w:top w:w="0" w:type="dxa"/>
            <w:bottom w:w="0" w:type="dxa"/>
          </w:tblCellMar>
        </w:tblPrEx>
        <w:trPr>
          <w:cantSplit/>
        </w:trPr>
        <w:tc>
          <w:tcPr>
            <w:tcW w:w="54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6FAAF902" w14:textId="77777777" w:rsidR="00F50A8E" w:rsidRDefault="00000000">
            <w:r>
              <w:rPr>
                <w:color w:val="222222"/>
                <w:sz w:val="19"/>
                <w:szCs w:val="19"/>
              </w:rPr>
              <w:t>Duplicate records</w:t>
            </w:r>
          </w:p>
        </w:tc>
        <w:tc>
          <w:tcPr>
            <w:tcW w:w="42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0D1FC36E" w14:textId="77777777" w:rsidR="00F50A8E" w:rsidRDefault="00000000">
            <w:pPr>
              <w:jc w:val="right"/>
            </w:pPr>
            <w:r>
              <w:rPr>
                <w:color w:val="222222"/>
                <w:sz w:val="19"/>
                <w:szCs w:val="19"/>
              </w:rPr>
              <w:t>0</w:t>
            </w:r>
          </w:p>
        </w:tc>
      </w:tr>
      <w:tr w:rsidR="00F50A8E" w14:paraId="2AE58796" w14:textId="77777777">
        <w:tblPrEx>
          <w:tblCellMar>
            <w:top w:w="0" w:type="dxa"/>
            <w:bottom w:w="0" w:type="dxa"/>
          </w:tblCellMar>
        </w:tblPrEx>
        <w:trPr>
          <w:cantSplit/>
        </w:trPr>
        <w:tc>
          <w:tcPr>
            <w:tcW w:w="54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0A05AC6E" w14:textId="77777777" w:rsidR="00F50A8E" w:rsidRDefault="00000000">
            <w:r>
              <w:rPr>
                <w:color w:val="222222"/>
                <w:sz w:val="19"/>
                <w:szCs w:val="19"/>
              </w:rPr>
              <w:t>Records after cleaning</w:t>
            </w:r>
          </w:p>
        </w:tc>
        <w:tc>
          <w:tcPr>
            <w:tcW w:w="4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16B4A333" w14:textId="77777777" w:rsidR="00F50A8E" w:rsidRDefault="00000000">
            <w:pPr>
              <w:jc w:val="right"/>
            </w:pPr>
            <w:r>
              <w:rPr>
                <w:color w:val="222222"/>
                <w:sz w:val="19"/>
                <w:szCs w:val="19"/>
              </w:rPr>
              <w:t>172,765</w:t>
            </w:r>
          </w:p>
        </w:tc>
      </w:tr>
      <w:tr w:rsidR="00F50A8E" w14:paraId="27B1CA8C" w14:textId="77777777">
        <w:tblPrEx>
          <w:tblCellMar>
            <w:top w:w="0" w:type="dxa"/>
            <w:bottom w:w="0" w:type="dxa"/>
          </w:tblCellMar>
        </w:tblPrEx>
        <w:trPr>
          <w:cantSplit/>
        </w:trPr>
        <w:tc>
          <w:tcPr>
            <w:tcW w:w="54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428F57D7" w14:textId="77777777" w:rsidR="00F50A8E" w:rsidRDefault="00000000">
            <w:r>
              <w:rPr>
                <w:color w:val="222222"/>
                <w:sz w:val="19"/>
                <w:szCs w:val="19"/>
              </w:rPr>
              <w:t>Columns after cleaning</w:t>
            </w:r>
          </w:p>
        </w:tc>
        <w:tc>
          <w:tcPr>
            <w:tcW w:w="42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10299E7D" w14:textId="77777777" w:rsidR="00F50A8E" w:rsidRDefault="00000000">
            <w:pPr>
              <w:jc w:val="right"/>
            </w:pPr>
            <w:r>
              <w:rPr>
                <w:color w:val="222222"/>
                <w:sz w:val="19"/>
                <w:szCs w:val="19"/>
              </w:rPr>
              <w:t>20 (plus derived fields)</w:t>
            </w:r>
          </w:p>
        </w:tc>
      </w:tr>
      <w:tr w:rsidR="00F50A8E" w14:paraId="5EED800D" w14:textId="77777777">
        <w:tblPrEx>
          <w:tblCellMar>
            <w:top w:w="0" w:type="dxa"/>
            <w:bottom w:w="0" w:type="dxa"/>
          </w:tblCellMar>
        </w:tblPrEx>
        <w:trPr>
          <w:cantSplit/>
        </w:trPr>
        <w:tc>
          <w:tcPr>
            <w:tcW w:w="54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6AB42BFB" w14:textId="77777777" w:rsidR="00F50A8E" w:rsidRDefault="00000000">
            <w:r>
              <w:rPr>
                <w:color w:val="222222"/>
                <w:sz w:val="19"/>
                <w:szCs w:val="19"/>
              </w:rPr>
              <w:t>Analysis period</w:t>
            </w:r>
          </w:p>
        </w:tc>
        <w:tc>
          <w:tcPr>
            <w:tcW w:w="4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1D083532" w14:textId="77777777" w:rsidR="00F50A8E" w:rsidRDefault="00000000">
            <w:pPr>
              <w:jc w:val="right"/>
            </w:pPr>
            <w:r>
              <w:rPr>
                <w:color w:val="222222"/>
                <w:sz w:val="19"/>
                <w:szCs w:val="19"/>
              </w:rPr>
              <w:t>2015-01-01 to 2018-01-31</w:t>
            </w:r>
          </w:p>
        </w:tc>
      </w:tr>
    </w:tbl>
    <w:p w14:paraId="58565819" w14:textId="77777777" w:rsidR="00F50A8E" w:rsidRDefault="00F50A8E">
      <w:pPr>
        <w:spacing w:after="100"/>
      </w:pPr>
    </w:p>
    <w:p w14:paraId="037EAE12" w14:textId="77777777" w:rsidR="00F50A8E" w:rsidRDefault="00000000">
      <w:pPr>
        <w:pStyle w:val="ListParagraph"/>
        <w:numPr>
          <w:ilvl w:val="0"/>
          <w:numId w:val="2"/>
        </w:numPr>
        <w:spacing w:after="70" w:line="290" w:lineRule="auto"/>
      </w:pPr>
      <w:r>
        <w:rPr>
          <w:color w:val="222222"/>
        </w:rPr>
        <w:t>Dropped identifying, redundant, fully missing and single-value columns (for example Product Description, which was entirely missing).</w:t>
      </w:r>
    </w:p>
    <w:p w14:paraId="2DE8AD1A" w14:textId="77777777" w:rsidR="00F50A8E" w:rsidRDefault="00000000">
      <w:pPr>
        <w:pStyle w:val="ListParagraph"/>
        <w:numPr>
          <w:ilvl w:val="0"/>
          <w:numId w:val="2"/>
        </w:numPr>
        <w:spacing w:after="70" w:line="290" w:lineRule="auto"/>
      </w:pPr>
      <w:r>
        <w:rPr>
          <w:color w:val="222222"/>
        </w:rPr>
        <w:t xml:space="preserve">Removed orders with Delivery Status “Shipping </w:t>
      </w:r>
      <w:proofErr w:type="spellStart"/>
      <w:r>
        <w:rPr>
          <w:color w:val="222222"/>
        </w:rPr>
        <w:t>canceled</w:t>
      </w:r>
      <w:proofErr w:type="spellEnd"/>
      <w:r>
        <w:rPr>
          <w:color w:val="222222"/>
        </w:rPr>
        <w:t>”, since they do not reflect delivery performance.</w:t>
      </w:r>
    </w:p>
    <w:p w14:paraId="524579A3" w14:textId="77777777" w:rsidR="00F50A8E" w:rsidRDefault="00000000">
      <w:pPr>
        <w:pStyle w:val="ListParagraph"/>
        <w:numPr>
          <w:ilvl w:val="0"/>
          <w:numId w:val="2"/>
        </w:numPr>
        <w:spacing w:after="70" w:line="290" w:lineRule="auto"/>
      </w:pPr>
      <w:r>
        <w:rPr>
          <w:color w:val="222222"/>
        </w:rPr>
        <w:t xml:space="preserve">Created Order Processing Time (shipping date − order date), Delay (processing time − scheduled days), </w:t>
      </w:r>
      <w:proofErr w:type="spellStart"/>
      <w:r>
        <w:rPr>
          <w:color w:val="222222"/>
        </w:rPr>
        <w:t>Is_Delayed</w:t>
      </w:r>
      <w:proofErr w:type="spellEnd"/>
      <w:r>
        <w:rPr>
          <w:color w:val="222222"/>
        </w:rPr>
        <w:t xml:space="preserve"> (Delay &gt; 0), and month, day and hour fields.</w:t>
      </w:r>
    </w:p>
    <w:p w14:paraId="4E584F16" w14:textId="77777777" w:rsidR="00F50A8E" w:rsidRDefault="00000000">
      <w:pPr>
        <w:pStyle w:val="ListParagraph"/>
        <w:numPr>
          <w:ilvl w:val="0"/>
          <w:numId w:val="2"/>
        </w:numPr>
        <w:spacing w:after="70" w:line="290" w:lineRule="auto"/>
      </w:pPr>
      <w:r>
        <w:rPr>
          <w:color w:val="222222"/>
        </w:rPr>
        <w:t xml:space="preserve">Created a Profitability Flag (Profit, Loss, </w:t>
      </w:r>
      <w:proofErr w:type="spellStart"/>
      <w:r>
        <w:rPr>
          <w:color w:val="222222"/>
        </w:rPr>
        <w:t>Break even</w:t>
      </w:r>
      <w:proofErr w:type="spellEnd"/>
      <w:r>
        <w:rPr>
          <w:color w:val="222222"/>
        </w:rPr>
        <w:t>) from Order Profit Per Order.</w:t>
      </w:r>
    </w:p>
    <w:p w14:paraId="2CDED5E9" w14:textId="77777777" w:rsidR="00F50A8E" w:rsidRDefault="00000000">
      <w:pPr>
        <w:pStyle w:val="Heading2"/>
      </w:pPr>
      <w:bookmarkStart w:id="6" w:name="_Toc241851698"/>
      <w:r>
        <w:t>3.2 Key performance indicators</w:t>
      </w:r>
      <w:bookmarkEnd w:id="6"/>
    </w:p>
    <w:p w14:paraId="7BC11A17" w14:textId="77777777" w:rsidR="00F50A8E" w:rsidRDefault="00000000">
      <w:pPr>
        <w:spacing w:after="120" w:line="300" w:lineRule="auto"/>
      </w:pPr>
      <w:r>
        <w:rPr>
          <w:color w:val="222222"/>
        </w:rPr>
        <w:t>The following KPIs were computed directly from the cleaned dataset to establish a performance baseline.</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09"/>
      </w:tblGrid>
      <w:tr w:rsidR="00F50A8E" w14:paraId="5D865A08" w14:textId="77777777">
        <w:tblPrEx>
          <w:tblCellMar>
            <w:top w:w="0" w:type="dxa"/>
            <w:bottom w:w="0" w:type="dxa"/>
          </w:tblCellMar>
        </w:tblPrEx>
        <w:tc>
          <w:tcPr>
            <w:tcW w:w="2409" w:type="dxa"/>
            <w:tcBorders>
              <w:top w:val="single" w:sz="4" w:space="0" w:color="C9D1DC"/>
              <w:left w:val="single" w:sz="4" w:space="0" w:color="C9D1DC"/>
              <w:bottom w:val="single" w:sz="4" w:space="0" w:color="C9D1DC"/>
              <w:right w:val="single" w:sz="4" w:space="0" w:color="C9D1DC"/>
            </w:tcBorders>
            <w:shd w:val="clear" w:color="auto" w:fill="F2F5F9"/>
            <w:tcMar>
              <w:top w:w="150" w:type="dxa"/>
              <w:left w:w="80" w:type="dxa"/>
              <w:bottom w:w="150" w:type="dxa"/>
              <w:right w:w="80" w:type="dxa"/>
            </w:tcMar>
          </w:tcPr>
          <w:p w14:paraId="3A12EB60" w14:textId="77777777" w:rsidR="00F50A8E" w:rsidRDefault="00000000">
            <w:pPr>
              <w:jc w:val="center"/>
            </w:pPr>
            <w:r>
              <w:rPr>
                <w:b/>
                <w:bCs/>
                <w:color w:val="1F2A44"/>
                <w:sz w:val="36"/>
                <w:szCs w:val="36"/>
              </w:rPr>
              <w:t>172,765</w:t>
            </w:r>
          </w:p>
          <w:p w14:paraId="02DCA802" w14:textId="77777777" w:rsidR="00F50A8E" w:rsidRDefault="00000000">
            <w:pPr>
              <w:jc w:val="center"/>
            </w:pPr>
            <w:r>
              <w:rPr>
                <w:color w:val="5B6577"/>
                <w:sz w:val="16"/>
                <w:szCs w:val="16"/>
              </w:rPr>
              <w:t>Total Orders</w:t>
            </w:r>
          </w:p>
        </w:tc>
        <w:tc>
          <w:tcPr>
            <w:tcW w:w="2409" w:type="dxa"/>
            <w:tcBorders>
              <w:top w:val="single" w:sz="4" w:space="0" w:color="C9D1DC"/>
              <w:left w:val="single" w:sz="4" w:space="0" w:color="C9D1DC"/>
              <w:bottom w:val="single" w:sz="4" w:space="0" w:color="C9D1DC"/>
              <w:right w:val="single" w:sz="4" w:space="0" w:color="C9D1DC"/>
            </w:tcBorders>
            <w:shd w:val="clear" w:color="auto" w:fill="F2F5F9"/>
            <w:tcMar>
              <w:top w:w="150" w:type="dxa"/>
              <w:left w:w="80" w:type="dxa"/>
              <w:bottom w:w="150" w:type="dxa"/>
              <w:right w:w="80" w:type="dxa"/>
            </w:tcMar>
          </w:tcPr>
          <w:p w14:paraId="6625F7F1" w14:textId="77777777" w:rsidR="00F50A8E" w:rsidRDefault="00000000">
            <w:pPr>
              <w:jc w:val="center"/>
            </w:pPr>
            <w:r>
              <w:rPr>
                <w:b/>
                <w:bCs/>
                <w:color w:val="7A0000"/>
                <w:sz w:val="36"/>
                <w:szCs w:val="36"/>
              </w:rPr>
              <w:t>94,523</w:t>
            </w:r>
          </w:p>
          <w:p w14:paraId="59A5C0A1" w14:textId="77777777" w:rsidR="00F50A8E" w:rsidRDefault="00000000">
            <w:pPr>
              <w:jc w:val="center"/>
            </w:pPr>
            <w:r>
              <w:rPr>
                <w:color w:val="5B6577"/>
                <w:sz w:val="16"/>
                <w:szCs w:val="16"/>
              </w:rPr>
              <w:t>Late Deliveries</w:t>
            </w:r>
          </w:p>
        </w:tc>
        <w:tc>
          <w:tcPr>
            <w:tcW w:w="2409" w:type="dxa"/>
            <w:tcBorders>
              <w:top w:val="single" w:sz="4" w:space="0" w:color="C9D1DC"/>
              <w:left w:val="single" w:sz="4" w:space="0" w:color="C9D1DC"/>
              <w:bottom w:val="single" w:sz="4" w:space="0" w:color="C9D1DC"/>
              <w:right w:val="single" w:sz="4" w:space="0" w:color="C9D1DC"/>
            </w:tcBorders>
            <w:shd w:val="clear" w:color="auto" w:fill="F2F5F9"/>
            <w:tcMar>
              <w:top w:w="150" w:type="dxa"/>
              <w:left w:w="80" w:type="dxa"/>
              <w:bottom w:w="150" w:type="dxa"/>
              <w:right w:w="80" w:type="dxa"/>
            </w:tcMar>
          </w:tcPr>
          <w:p w14:paraId="46DBB66E" w14:textId="77777777" w:rsidR="00F50A8E" w:rsidRDefault="00000000">
            <w:pPr>
              <w:jc w:val="center"/>
            </w:pPr>
            <w:r>
              <w:rPr>
                <w:b/>
                <w:bCs/>
                <w:color w:val="7A0000"/>
                <w:sz w:val="36"/>
                <w:szCs w:val="36"/>
              </w:rPr>
              <w:t>54.71%</w:t>
            </w:r>
          </w:p>
          <w:p w14:paraId="75F280E9" w14:textId="77777777" w:rsidR="00F50A8E" w:rsidRDefault="00000000">
            <w:pPr>
              <w:jc w:val="center"/>
            </w:pPr>
            <w:r>
              <w:rPr>
                <w:color w:val="5B6577"/>
                <w:sz w:val="16"/>
                <w:szCs w:val="16"/>
              </w:rPr>
              <w:t>Late Delivery %</w:t>
            </w:r>
          </w:p>
        </w:tc>
        <w:tc>
          <w:tcPr>
            <w:tcW w:w="2409" w:type="dxa"/>
            <w:tcBorders>
              <w:top w:val="single" w:sz="4" w:space="0" w:color="C9D1DC"/>
              <w:left w:val="single" w:sz="4" w:space="0" w:color="C9D1DC"/>
              <w:bottom w:val="single" w:sz="4" w:space="0" w:color="C9D1DC"/>
              <w:right w:val="single" w:sz="4" w:space="0" w:color="C9D1DC"/>
            </w:tcBorders>
            <w:shd w:val="clear" w:color="auto" w:fill="F2F5F9"/>
            <w:tcMar>
              <w:top w:w="150" w:type="dxa"/>
              <w:left w:w="80" w:type="dxa"/>
              <w:bottom w:w="150" w:type="dxa"/>
              <w:right w:w="80" w:type="dxa"/>
            </w:tcMar>
          </w:tcPr>
          <w:p w14:paraId="73485A82" w14:textId="77777777" w:rsidR="00F50A8E" w:rsidRDefault="00000000">
            <w:pPr>
              <w:jc w:val="center"/>
            </w:pPr>
            <w:r>
              <w:rPr>
                <w:b/>
                <w:bCs/>
                <w:color w:val="2A9D8F"/>
                <w:sz w:val="36"/>
                <w:szCs w:val="36"/>
              </w:rPr>
              <w:t>45.29%</w:t>
            </w:r>
          </w:p>
          <w:p w14:paraId="39C534C6" w14:textId="77777777" w:rsidR="00F50A8E" w:rsidRDefault="00000000">
            <w:pPr>
              <w:jc w:val="center"/>
            </w:pPr>
            <w:r>
              <w:rPr>
                <w:color w:val="5B6577"/>
                <w:sz w:val="16"/>
                <w:szCs w:val="16"/>
              </w:rPr>
              <w:t>On-Time Delivery %</w:t>
            </w:r>
          </w:p>
        </w:tc>
      </w:tr>
    </w:tbl>
    <w:p w14:paraId="0638D767" w14:textId="77777777" w:rsidR="00F50A8E" w:rsidRDefault="00F50A8E">
      <w:pPr>
        <w:spacing w:after="80"/>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09"/>
      </w:tblGrid>
      <w:tr w:rsidR="00F50A8E" w14:paraId="23907C22" w14:textId="77777777">
        <w:tblPrEx>
          <w:tblCellMar>
            <w:top w:w="0" w:type="dxa"/>
            <w:bottom w:w="0" w:type="dxa"/>
          </w:tblCellMar>
        </w:tblPrEx>
        <w:tc>
          <w:tcPr>
            <w:tcW w:w="2409" w:type="dxa"/>
            <w:tcBorders>
              <w:top w:val="single" w:sz="4" w:space="0" w:color="C9D1DC"/>
              <w:left w:val="single" w:sz="4" w:space="0" w:color="C9D1DC"/>
              <w:bottom w:val="single" w:sz="4" w:space="0" w:color="C9D1DC"/>
              <w:right w:val="single" w:sz="4" w:space="0" w:color="C9D1DC"/>
            </w:tcBorders>
            <w:shd w:val="clear" w:color="auto" w:fill="F2F5F9"/>
            <w:tcMar>
              <w:top w:w="150" w:type="dxa"/>
              <w:left w:w="80" w:type="dxa"/>
              <w:bottom w:w="150" w:type="dxa"/>
              <w:right w:w="80" w:type="dxa"/>
            </w:tcMar>
          </w:tcPr>
          <w:p w14:paraId="4DAC2C83" w14:textId="77777777" w:rsidR="00F50A8E" w:rsidRDefault="00000000">
            <w:pPr>
              <w:jc w:val="center"/>
            </w:pPr>
            <w:r>
              <w:rPr>
                <w:b/>
                <w:bCs/>
                <w:color w:val="1F2A44"/>
                <w:sz w:val="36"/>
                <w:szCs w:val="36"/>
              </w:rPr>
              <w:t>$7.5M</w:t>
            </w:r>
          </w:p>
          <w:p w14:paraId="613469DD" w14:textId="77777777" w:rsidR="00F50A8E" w:rsidRDefault="00000000">
            <w:pPr>
              <w:jc w:val="center"/>
            </w:pPr>
            <w:r>
              <w:rPr>
                <w:color w:val="5B6577"/>
                <w:sz w:val="16"/>
                <w:szCs w:val="16"/>
              </w:rPr>
              <w:t>Total Profit (profitable orders)</w:t>
            </w:r>
          </w:p>
        </w:tc>
        <w:tc>
          <w:tcPr>
            <w:tcW w:w="2409" w:type="dxa"/>
            <w:tcBorders>
              <w:top w:val="single" w:sz="4" w:space="0" w:color="C9D1DC"/>
              <w:left w:val="single" w:sz="4" w:space="0" w:color="C9D1DC"/>
              <w:bottom w:val="single" w:sz="4" w:space="0" w:color="C9D1DC"/>
              <w:right w:val="single" w:sz="4" w:space="0" w:color="C9D1DC"/>
            </w:tcBorders>
            <w:shd w:val="clear" w:color="auto" w:fill="F2F5F9"/>
            <w:tcMar>
              <w:top w:w="150" w:type="dxa"/>
              <w:left w:w="80" w:type="dxa"/>
              <w:bottom w:w="150" w:type="dxa"/>
              <w:right w:w="80" w:type="dxa"/>
            </w:tcMar>
          </w:tcPr>
          <w:p w14:paraId="32CE400B" w14:textId="77777777" w:rsidR="00F50A8E" w:rsidRDefault="00000000">
            <w:pPr>
              <w:jc w:val="center"/>
            </w:pPr>
            <w:r>
              <w:rPr>
                <w:b/>
                <w:bCs/>
                <w:color w:val="7A0000"/>
                <w:sz w:val="36"/>
                <w:szCs w:val="36"/>
              </w:rPr>
              <w:t>$2.1M</w:t>
            </w:r>
          </w:p>
          <w:p w14:paraId="2D7BAA08" w14:textId="77777777" w:rsidR="00F50A8E" w:rsidRDefault="00000000">
            <w:pPr>
              <w:jc w:val="center"/>
            </w:pPr>
            <w:r>
              <w:rPr>
                <w:color w:val="5B6577"/>
                <w:sz w:val="16"/>
                <w:szCs w:val="16"/>
              </w:rPr>
              <w:t>Profit at Risk (delayed orders)</w:t>
            </w:r>
          </w:p>
        </w:tc>
        <w:tc>
          <w:tcPr>
            <w:tcW w:w="2409" w:type="dxa"/>
            <w:tcBorders>
              <w:top w:val="single" w:sz="4" w:space="0" w:color="C9D1DC"/>
              <w:left w:val="single" w:sz="4" w:space="0" w:color="C9D1DC"/>
              <w:bottom w:val="single" w:sz="4" w:space="0" w:color="C9D1DC"/>
              <w:right w:val="single" w:sz="4" w:space="0" w:color="C9D1DC"/>
            </w:tcBorders>
            <w:shd w:val="clear" w:color="auto" w:fill="F2F5F9"/>
            <w:tcMar>
              <w:top w:w="150" w:type="dxa"/>
              <w:left w:w="80" w:type="dxa"/>
              <w:bottom w:w="150" w:type="dxa"/>
              <w:right w:w="80" w:type="dxa"/>
            </w:tcMar>
          </w:tcPr>
          <w:p w14:paraId="7C36CC0B" w14:textId="77777777" w:rsidR="00F50A8E" w:rsidRDefault="00000000">
            <w:pPr>
              <w:jc w:val="center"/>
            </w:pPr>
            <w:r>
              <w:rPr>
                <w:b/>
                <w:bCs/>
                <w:color w:val="1F2A44"/>
                <w:sz w:val="36"/>
                <w:szCs w:val="36"/>
              </w:rPr>
              <w:t>3 days</w:t>
            </w:r>
          </w:p>
          <w:p w14:paraId="5D3ECBB6" w14:textId="77777777" w:rsidR="00F50A8E" w:rsidRDefault="00000000">
            <w:pPr>
              <w:jc w:val="center"/>
            </w:pPr>
            <w:r>
              <w:rPr>
                <w:color w:val="5B6577"/>
                <w:sz w:val="16"/>
                <w:szCs w:val="16"/>
              </w:rPr>
              <w:t>90th Percentile Delay</w:t>
            </w:r>
          </w:p>
        </w:tc>
        <w:tc>
          <w:tcPr>
            <w:tcW w:w="2409" w:type="dxa"/>
            <w:tcBorders>
              <w:top w:val="single" w:sz="4" w:space="0" w:color="C9D1DC"/>
              <w:left w:val="single" w:sz="4" w:space="0" w:color="C9D1DC"/>
              <w:bottom w:val="single" w:sz="4" w:space="0" w:color="C9D1DC"/>
              <w:right w:val="single" w:sz="4" w:space="0" w:color="C9D1DC"/>
            </w:tcBorders>
            <w:shd w:val="clear" w:color="auto" w:fill="F2F5F9"/>
            <w:tcMar>
              <w:top w:w="150" w:type="dxa"/>
              <w:left w:w="80" w:type="dxa"/>
              <w:bottom w:w="150" w:type="dxa"/>
              <w:right w:w="80" w:type="dxa"/>
            </w:tcMar>
          </w:tcPr>
          <w:p w14:paraId="4D19FFED" w14:textId="77777777" w:rsidR="00F50A8E" w:rsidRDefault="00000000">
            <w:pPr>
              <w:jc w:val="center"/>
            </w:pPr>
            <w:r>
              <w:rPr>
                <w:b/>
                <w:bCs/>
                <w:color w:val="2A9D8F"/>
                <w:sz w:val="36"/>
                <w:szCs w:val="36"/>
              </w:rPr>
              <w:t>$22.03</w:t>
            </w:r>
          </w:p>
          <w:p w14:paraId="797BF5C5" w14:textId="77777777" w:rsidR="00F50A8E" w:rsidRDefault="00000000">
            <w:pPr>
              <w:jc w:val="center"/>
            </w:pPr>
            <w:proofErr w:type="spellStart"/>
            <w:r>
              <w:rPr>
                <w:color w:val="5B6577"/>
                <w:sz w:val="16"/>
                <w:szCs w:val="16"/>
              </w:rPr>
              <w:t>Avg</w:t>
            </w:r>
            <w:proofErr w:type="spellEnd"/>
            <w:r>
              <w:rPr>
                <w:color w:val="5B6577"/>
                <w:sz w:val="16"/>
                <w:szCs w:val="16"/>
              </w:rPr>
              <w:t xml:space="preserve"> Order Profit</w:t>
            </w:r>
          </w:p>
        </w:tc>
      </w:tr>
    </w:tbl>
    <w:p w14:paraId="78F6D7AD" w14:textId="77777777" w:rsidR="00F50A8E" w:rsidRDefault="00F50A8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F50A8E" w14:paraId="58C07256" w14:textId="77777777">
        <w:tblPrEx>
          <w:tblCellMar>
            <w:top w:w="0" w:type="dxa"/>
            <w:bottom w:w="0" w:type="dxa"/>
          </w:tblCellMar>
        </w:tblPrEx>
        <w:trPr>
          <w:cantSplit/>
        </w:trPr>
        <w:tc>
          <w:tcPr>
            <w:tcW w:w="2700" w:type="dxa"/>
            <w:tcBorders>
              <w:top w:val="single" w:sz="4" w:space="0" w:color="C9D1DC"/>
              <w:left w:val="single" w:sz="24" w:space="0" w:color="2A9D8F"/>
              <w:bottom w:val="single" w:sz="4" w:space="0" w:color="C9D1DC"/>
              <w:right w:val="single" w:sz="4" w:space="0" w:color="C9D1DC"/>
            </w:tcBorders>
            <w:shd w:val="clear" w:color="auto" w:fill="F2F5F9"/>
            <w:tcMar>
              <w:top w:w="100" w:type="dxa"/>
              <w:left w:w="140" w:type="dxa"/>
              <w:bottom w:w="100" w:type="dxa"/>
              <w:right w:w="100" w:type="dxa"/>
            </w:tcMar>
            <w:vAlign w:val="center"/>
          </w:tcPr>
          <w:p w14:paraId="30BCF1F3" w14:textId="77777777" w:rsidR="00F50A8E" w:rsidRDefault="00000000">
            <w:r>
              <w:rPr>
                <w:b/>
                <w:bCs/>
                <w:sz w:val="19"/>
                <w:szCs w:val="19"/>
              </w:rPr>
              <w:t>Late Delivery Rate at 54.71%</w:t>
            </w:r>
          </w:p>
        </w:tc>
        <w:tc>
          <w:tcPr>
            <w:tcW w:w="6938" w:type="dxa"/>
            <w:tcBorders>
              <w:top w:val="single" w:sz="4" w:space="0" w:color="C9D1DC"/>
              <w:left w:val="single" w:sz="4" w:space="0" w:color="C9D1DC"/>
              <w:bottom w:val="single" w:sz="4" w:space="0" w:color="C9D1DC"/>
              <w:right w:val="single" w:sz="4" w:space="0" w:color="C9D1DC"/>
            </w:tcBorders>
            <w:shd w:val="clear" w:color="auto" w:fill="F2F5F9"/>
            <w:tcMar>
              <w:top w:w="100" w:type="dxa"/>
              <w:left w:w="140" w:type="dxa"/>
              <w:bottom w:w="100" w:type="dxa"/>
              <w:right w:w="140" w:type="dxa"/>
            </w:tcMar>
            <w:vAlign w:val="center"/>
          </w:tcPr>
          <w:p w14:paraId="5B9AB28B" w14:textId="77777777" w:rsidR="00F50A8E" w:rsidRDefault="00000000">
            <w:r>
              <w:rPr>
                <w:sz w:val="19"/>
                <w:szCs w:val="19"/>
              </w:rPr>
              <w:t>More than half of all orders arrive late. This is not an edge-case problem; it is the default experience for the majority of orders.</w:t>
            </w:r>
          </w:p>
        </w:tc>
      </w:tr>
      <w:tr w:rsidR="00F50A8E" w14:paraId="2644DBA4" w14:textId="77777777">
        <w:tblPrEx>
          <w:tblCellMar>
            <w:top w:w="0" w:type="dxa"/>
            <w:bottom w:w="0" w:type="dxa"/>
          </w:tblCellMar>
        </w:tblPrEx>
        <w:trPr>
          <w:cantSplit/>
        </w:trPr>
        <w:tc>
          <w:tcPr>
            <w:tcW w:w="2700" w:type="dxa"/>
            <w:tcBorders>
              <w:top w:val="single" w:sz="4" w:space="0" w:color="C9D1DC"/>
              <w:left w:val="single" w:sz="24" w:space="0" w:color="2A9D8F"/>
              <w:bottom w:val="single" w:sz="4" w:space="0" w:color="C9D1DC"/>
              <w:right w:val="single" w:sz="4" w:space="0" w:color="C9D1DC"/>
            </w:tcBorders>
            <w:shd w:val="clear" w:color="auto" w:fill="F2F5F9"/>
            <w:tcMar>
              <w:top w:w="100" w:type="dxa"/>
              <w:left w:w="140" w:type="dxa"/>
              <w:bottom w:w="100" w:type="dxa"/>
              <w:right w:w="100" w:type="dxa"/>
            </w:tcMar>
            <w:vAlign w:val="center"/>
          </w:tcPr>
          <w:p w14:paraId="69EF2009" w14:textId="77777777" w:rsidR="00F50A8E" w:rsidRDefault="00000000">
            <w:r>
              <w:rPr>
                <w:b/>
                <w:bCs/>
                <w:sz w:val="19"/>
                <w:szCs w:val="19"/>
              </w:rPr>
              <w:t>$2.1M Profit at Risk</w:t>
            </w:r>
          </w:p>
        </w:tc>
        <w:tc>
          <w:tcPr>
            <w:tcW w:w="6938" w:type="dxa"/>
            <w:tcBorders>
              <w:top w:val="single" w:sz="4" w:space="0" w:color="C9D1DC"/>
              <w:left w:val="single" w:sz="4" w:space="0" w:color="C9D1DC"/>
              <w:bottom w:val="single" w:sz="4" w:space="0" w:color="C9D1DC"/>
              <w:right w:val="single" w:sz="4" w:space="0" w:color="C9D1DC"/>
            </w:tcBorders>
            <w:shd w:val="clear" w:color="auto" w:fill="F2F5F9"/>
            <w:tcMar>
              <w:top w:w="100" w:type="dxa"/>
              <w:left w:w="140" w:type="dxa"/>
              <w:bottom w:w="100" w:type="dxa"/>
              <w:right w:w="140" w:type="dxa"/>
            </w:tcMar>
            <w:vAlign w:val="center"/>
          </w:tcPr>
          <w:p w14:paraId="15ACEE76" w14:textId="77777777" w:rsidR="00F50A8E" w:rsidRDefault="00000000">
            <w:r>
              <w:rPr>
                <w:sz w:val="19"/>
                <w:szCs w:val="19"/>
              </w:rPr>
              <w:t>Orders that experienced delays account for $2.1M of profit (the sum of Order Profit Per Order for delayed orders). This is a proxy for exposed volume, not a causal estimate of loss.</w:t>
            </w:r>
          </w:p>
        </w:tc>
      </w:tr>
      <w:tr w:rsidR="00F50A8E" w14:paraId="602FFE3D" w14:textId="77777777">
        <w:tblPrEx>
          <w:tblCellMar>
            <w:top w:w="0" w:type="dxa"/>
            <w:bottom w:w="0" w:type="dxa"/>
          </w:tblCellMar>
        </w:tblPrEx>
        <w:trPr>
          <w:cantSplit/>
        </w:trPr>
        <w:tc>
          <w:tcPr>
            <w:tcW w:w="2700" w:type="dxa"/>
            <w:tcBorders>
              <w:top w:val="single" w:sz="4" w:space="0" w:color="C9D1DC"/>
              <w:left w:val="single" w:sz="24" w:space="0" w:color="2A9D8F"/>
              <w:bottom w:val="single" w:sz="4" w:space="0" w:color="C9D1DC"/>
              <w:right w:val="single" w:sz="4" w:space="0" w:color="C9D1DC"/>
            </w:tcBorders>
            <w:shd w:val="clear" w:color="auto" w:fill="F2F5F9"/>
            <w:tcMar>
              <w:top w:w="100" w:type="dxa"/>
              <w:left w:w="140" w:type="dxa"/>
              <w:bottom w:w="100" w:type="dxa"/>
              <w:right w:w="100" w:type="dxa"/>
            </w:tcMar>
            <w:vAlign w:val="center"/>
          </w:tcPr>
          <w:p w14:paraId="3AAAF3F3" w14:textId="77777777" w:rsidR="00F50A8E" w:rsidRDefault="00000000">
            <w:r>
              <w:rPr>
                <w:b/>
                <w:bCs/>
                <w:sz w:val="19"/>
                <w:szCs w:val="19"/>
              </w:rPr>
              <w:t>90th Percentile Delay = 3 Days</w:t>
            </w:r>
          </w:p>
        </w:tc>
        <w:tc>
          <w:tcPr>
            <w:tcW w:w="6938" w:type="dxa"/>
            <w:tcBorders>
              <w:top w:val="single" w:sz="4" w:space="0" w:color="C9D1DC"/>
              <w:left w:val="single" w:sz="4" w:space="0" w:color="C9D1DC"/>
              <w:bottom w:val="single" w:sz="4" w:space="0" w:color="C9D1DC"/>
              <w:right w:val="single" w:sz="4" w:space="0" w:color="C9D1DC"/>
            </w:tcBorders>
            <w:shd w:val="clear" w:color="auto" w:fill="F2F5F9"/>
            <w:tcMar>
              <w:top w:w="100" w:type="dxa"/>
              <w:left w:w="140" w:type="dxa"/>
              <w:bottom w:w="100" w:type="dxa"/>
              <w:right w:w="140" w:type="dxa"/>
            </w:tcMar>
            <w:vAlign w:val="center"/>
          </w:tcPr>
          <w:p w14:paraId="4B5D9528" w14:textId="77777777" w:rsidR="00F50A8E" w:rsidRDefault="00000000">
            <w:r>
              <w:rPr>
                <w:sz w:val="19"/>
                <w:szCs w:val="19"/>
              </w:rPr>
              <w:t>Even the more extreme cases are contained within 3 days of lateness, which suggests the problem is systemic and process-driven rather than catastrophic.</w:t>
            </w:r>
          </w:p>
        </w:tc>
      </w:tr>
    </w:tbl>
    <w:p w14:paraId="2C395AC7" w14:textId="77777777" w:rsidR="00F50A8E" w:rsidRDefault="00F50A8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0A8E" w14:paraId="670ACD3D" w14:textId="77777777">
        <w:tblPrEx>
          <w:tblCellMar>
            <w:top w:w="0" w:type="dxa"/>
            <w:bottom w:w="0" w:type="dxa"/>
          </w:tblCellMar>
        </w:tblPrEx>
        <w:trPr>
          <w:cantSplit/>
        </w:trPr>
        <w:tc>
          <w:tcPr>
            <w:tcW w:w="9638" w:type="dxa"/>
            <w:tcBorders>
              <w:top w:val="none" w:sz="0" w:space="0" w:color="FFFFFF"/>
              <w:left w:val="single" w:sz="24" w:space="0" w:color="E9A000"/>
              <w:bottom w:val="none" w:sz="0" w:space="0" w:color="FFFFFF"/>
              <w:right w:val="none" w:sz="0" w:space="0" w:color="FFFFFF"/>
            </w:tcBorders>
            <w:shd w:val="clear" w:color="auto" w:fill="FDF3E1"/>
            <w:tcMar>
              <w:top w:w="120" w:type="dxa"/>
              <w:left w:w="200" w:type="dxa"/>
              <w:bottom w:w="120" w:type="dxa"/>
              <w:right w:w="200" w:type="dxa"/>
            </w:tcMar>
          </w:tcPr>
          <w:p w14:paraId="2F5C5E5C" w14:textId="77777777" w:rsidR="00F50A8E" w:rsidRDefault="00000000">
            <w:pPr>
              <w:spacing w:after="60"/>
            </w:pPr>
            <w:r>
              <w:rPr>
                <w:b/>
                <w:bCs/>
                <w:color w:val="E9A000"/>
                <w:sz w:val="18"/>
                <w:szCs w:val="18"/>
              </w:rPr>
              <w:t>IMPORTANT DEFINITION</w:t>
            </w:r>
          </w:p>
          <w:p w14:paraId="059CAFA4" w14:textId="77777777" w:rsidR="00F50A8E" w:rsidRDefault="00000000">
            <w:r>
              <w:rPr>
                <w:sz w:val="20"/>
                <w:szCs w:val="20"/>
              </w:rPr>
              <w:t xml:space="preserve">The dataset also contains a source field, </w:t>
            </w:r>
            <w:proofErr w:type="spellStart"/>
            <w:proofErr w:type="gramStart"/>
            <w:r>
              <w:rPr>
                <w:sz w:val="20"/>
                <w:szCs w:val="20"/>
              </w:rPr>
              <w:t>Late</w:t>
            </w:r>
            <w:proofErr w:type="gramEnd"/>
            <w:r>
              <w:rPr>
                <w:sz w:val="20"/>
                <w:szCs w:val="20"/>
              </w:rPr>
              <w:t>_delivery_risk</w:t>
            </w:r>
            <w:proofErr w:type="spellEnd"/>
            <w:r>
              <w:rPr>
                <w:sz w:val="20"/>
                <w:szCs w:val="20"/>
              </w:rPr>
              <w:t xml:space="preserve"> (98,977 late vs 73,788 on time). The 54.71% KPI uses the derived </w:t>
            </w:r>
            <w:proofErr w:type="spellStart"/>
            <w:r>
              <w:rPr>
                <w:sz w:val="20"/>
                <w:szCs w:val="20"/>
              </w:rPr>
              <w:t>Is_Delayed</w:t>
            </w:r>
            <w:proofErr w:type="spellEnd"/>
            <w:r>
              <w:rPr>
                <w:sz w:val="20"/>
                <w:szCs w:val="20"/>
              </w:rPr>
              <w:t xml:space="preserve"> measure, while the model predicts </w:t>
            </w:r>
            <w:proofErr w:type="spellStart"/>
            <w:r>
              <w:rPr>
                <w:sz w:val="20"/>
                <w:szCs w:val="20"/>
              </w:rPr>
              <w:t>Late_delivery_risk</w:t>
            </w:r>
            <w:proofErr w:type="spellEnd"/>
            <w:r>
              <w:rPr>
                <w:sz w:val="20"/>
                <w:szCs w:val="20"/>
              </w:rPr>
              <w:t>. The two are related but not identical, and should be reconciled before production use.</w:t>
            </w:r>
          </w:p>
        </w:tc>
      </w:tr>
    </w:tbl>
    <w:p w14:paraId="247092E0" w14:textId="77777777" w:rsidR="00F50A8E" w:rsidRDefault="00000000">
      <w:pPr>
        <w:pStyle w:val="Heading1"/>
      </w:pPr>
      <w:bookmarkStart w:id="7" w:name="_Toc241851699"/>
      <w:r>
        <w:lastRenderedPageBreak/>
        <w:t>4. Profitability Analysis</w:t>
      </w:r>
      <w:bookmarkEnd w:id="7"/>
    </w:p>
    <w:p w14:paraId="0DBF5C91" w14:textId="77777777" w:rsidR="00F50A8E" w:rsidRDefault="00000000">
      <w:pPr>
        <w:pStyle w:val="Heading2"/>
      </w:pPr>
      <w:bookmarkStart w:id="8" w:name="_Toc241851700"/>
      <w:r>
        <w:t>4.1 Profitability Distribution</w:t>
      </w:r>
      <w:bookmarkEnd w:id="8"/>
    </w:p>
    <w:p w14:paraId="014EDB34" w14:textId="77777777" w:rsidR="00F50A8E" w:rsidRDefault="00000000">
      <w:pPr>
        <w:spacing w:after="120" w:line="300" w:lineRule="auto"/>
      </w:pPr>
      <w:r>
        <w:rPr>
          <w:color w:val="222222"/>
        </w:rPr>
        <w:t>Order-level profitability was classified into three tiers based on Order Profit Per Order. While 80.66% of orders are profitable, the 18.69% loss-making share is a meaningful drag and justifies a separate pricing and discount review.</w:t>
      </w:r>
    </w:p>
    <w:p w14:paraId="493C1A07" w14:textId="77777777" w:rsidR="00F50A8E" w:rsidRDefault="00000000">
      <w:pPr>
        <w:keepNext/>
        <w:spacing w:before="120" w:after="60"/>
        <w:jc w:val="center"/>
      </w:pPr>
      <w:r>
        <w:rPr>
          <w:noProof/>
        </w:rPr>
        <w:drawing>
          <wp:inline distT="0" distB="0" distL="0" distR="0" wp14:anchorId="0D9F9702" wp14:editId="3E70D5F5">
            <wp:extent cx="2924175" cy="2724150"/>
            <wp:effectExtent l="0" t="0" r="0" b="0"/>
            <wp:docPr id="1" name="01_profitability_distribution.png" descr="Figure 1. Profitability distribution (%)." title="Figure 1. Profitability distribu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24175" cy="2724150"/>
                    </a:xfrm>
                    <a:prstGeom prst="rect">
                      <a:avLst/>
                    </a:prstGeom>
                  </pic:spPr>
                </pic:pic>
              </a:graphicData>
            </a:graphic>
          </wp:inline>
        </w:drawing>
      </w:r>
    </w:p>
    <w:p w14:paraId="21BF6AF8" w14:textId="77777777" w:rsidR="00F50A8E" w:rsidRDefault="00000000">
      <w:pPr>
        <w:spacing w:after="200"/>
        <w:jc w:val="center"/>
      </w:pPr>
      <w:r>
        <w:rPr>
          <w:i/>
          <w:iCs/>
          <w:color w:val="5B6577"/>
          <w:sz w:val="18"/>
          <w:szCs w:val="18"/>
        </w:rPr>
        <w:t>Figure 1. Profitability distribution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119"/>
        <w:gridCol w:w="3119"/>
      </w:tblGrid>
      <w:tr w:rsidR="00F50A8E" w14:paraId="7BC7773D" w14:textId="77777777">
        <w:tblPrEx>
          <w:tblCellMar>
            <w:top w:w="0" w:type="dxa"/>
            <w:bottom w:w="0" w:type="dxa"/>
          </w:tblCellMar>
        </w:tblPrEx>
        <w:trPr>
          <w:tblHeader/>
        </w:trPr>
        <w:tc>
          <w:tcPr>
            <w:tcW w:w="34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477764AA" w14:textId="77777777" w:rsidR="00F50A8E" w:rsidRDefault="00000000">
            <w:r>
              <w:rPr>
                <w:b/>
                <w:bCs/>
                <w:color w:val="FFFFFF"/>
                <w:sz w:val="19"/>
                <w:szCs w:val="19"/>
              </w:rPr>
              <w:t>Profitability class</w:t>
            </w:r>
          </w:p>
        </w:tc>
        <w:tc>
          <w:tcPr>
            <w:tcW w:w="3119"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4A5DACEB" w14:textId="77777777" w:rsidR="00F50A8E" w:rsidRDefault="00000000">
            <w:pPr>
              <w:jc w:val="right"/>
            </w:pPr>
            <w:r>
              <w:rPr>
                <w:b/>
                <w:bCs/>
                <w:color w:val="FFFFFF"/>
                <w:sz w:val="19"/>
                <w:szCs w:val="19"/>
              </w:rPr>
              <w:t>Orders</w:t>
            </w:r>
          </w:p>
        </w:tc>
        <w:tc>
          <w:tcPr>
            <w:tcW w:w="3119"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06BF8113" w14:textId="77777777" w:rsidR="00F50A8E" w:rsidRDefault="00000000">
            <w:pPr>
              <w:jc w:val="right"/>
            </w:pPr>
            <w:r>
              <w:rPr>
                <w:b/>
                <w:bCs/>
                <w:color w:val="FFFFFF"/>
                <w:sz w:val="19"/>
                <w:szCs w:val="19"/>
              </w:rPr>
              <w:t>Share</w:t>
            </w:r>
          </w:p>
        </w:tc>
      </w:tr>
      <w:tr w:rsidR="00F50A8E" w14:paraId="16A96B32" w14:textId="77777777">
        <w:tblPrEx>
          <w:tblCellMar>
            <w:top w:w="0" w:type="dxa"/>
            <w:bottom w:w="0" w:type="dxa"/>
          </w:tblCellMar>
        </w:tblPrEx>
        <w:trPr>
          <w:cantSplit/>
        </w:trPr>
        <w:tc>
          <w:tcPr>
            <w:tcW w:w="34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2E3647FC" w14:textId="77777777" w:rsidR="00F50A8E" w:rsidRDefault="00000000">
            <w:r>
              <w:rPr>
                <w:color w:val="222222"/>
                <w:sz w:val="19"/>
                <w:szCs w:val="19"/>
              </w:rPr>
              <w:t>Profit</w:t>
            </w:r>
          </w:p>
        </w:tc>
        <w:tc>
          <w:tcPr>
            <w:tcW w:w="3119"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73746CE1" w14:textId="77777777" w:rsidR="00F50A8E" w:rsidRDefault="00000000">
            <w:pPr>
              <w:jc w:val="right"/>
            </w:pPr>
            <w:r>
              <w:rPr>
                <w:color w:val="222222"/>
                <w:sz w:val="19"/>
                <w:szCs w:val="19"/>
              </w:rPr>
              <w:t>139,354</w:t>
            </w:r>
          </w:p>
        </w:tc>
        <w:tc>
          <w:tcPr>
            <w:tcW w:w="3119"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5481E7E0" w14:textId="77777777" w:rsidR="00F50A8E" w:rsidRDefault="00000000">
            <w:pPr>
              <w:jc w:val="right"/>
            </w:pPr>
            <w:r>
              <w:rPr>
                <w:color w:val="222222"/>
                <w:sz w:val="19"/>
                <w:szCs w:val="19"/>
              </w:rPr>
              <w:t>80.66%</w:t>
            </w:r>
          </w:p>
        </w:tc>
      </w:tr>
      <w:tr w:rsidR="00F50A8E" w14:paraId="0C9241CB" w14:textId="77777777">
        <w:tblPrEx>
          <w:tblCellMar>
            <w:top w:w="0" w:type="dxa"/>
            <w:bottom w:w="0" w:type="dxa"/>
          </w:tblCellMar>
        </w:tblPrEx>
        <w:trPr>
          <w:cantSplit/>
        </w:trPr>
        <w:tc>
          <w:tcPr>
            <w:tcW w:w="34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7C822970" w14:textId="77777777" w:rsidR="00F50A8E" w:rsidRDefault="00000000">
            <w:r>
              <w:rPr>
                <w:color w:val="222222"/>
                <w:sz w:val="19"/>
                <w:szCs w:val="19"/>
              </w:rPr>
              <w:t>Loss</w:t>
            </w:r>
          </w:p>
        </w:tc>
        <w:tc>
          <w:tcPr>
            <w:tcW w:w="3119"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287CAA72" w14:textId="77777777" w:rsidR="00F50A8E" w:rsidRDefault="00000000">
            <w:pPr>
              <w:jc w:val="right"/>
            </w:pPr>
            <w:r>
              <w:rPr>
                <w:color w:val="222222"/>
                <w:sz w:val="19"/>
                <w:szCs w:val="19"/>
              </w:rPr>
              <w:t>32,295</w:t>
            </w:r>
          </w:p>
        </w:tc>
        <w:tc>
          <w:tcPr>
            <w:tcW w:w="3119"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51A39B86" w14:textId="77777777" w:rsidR="00F50A8E" w:rsidRDefault="00000000">
            <w:pPr>
              <w:jc w:val="right"/>
            </w:pPr>
            <w:r>
              <w:rPr>
                <w:color w:val="222222"/>
                <w:sz w:val="19"/>
                <w:szCs w:val="19"/>
              </w:rPr>
              <w:t>18.69%</w:t>
            </w:r>
          </w:p>
        </w:tc>
      </w:tr>
      <w:tr w:rsidR="00F50A8E" w14:paraId="1F68FF51" w14:textId="77777777">
        <w:tblPrEx>
          <w:tblCellMar>
            <w:top w:w="0" w:type="dxa"/>
            <w:bottom w:w="0" w:type="dxa"/>
          </w:tblCellMar>
        </w:tblPrEx>
        <w:trPr>
          <w:cantSplit/>
        </w:trPr>
        <w:tc>
          <w:tcPr>
            <w:tcW w:w="34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61F2C19D" w14:textId="77777777" w:rsidR="00F50A8E" w:rsidRDefault="00000000">
            <w:r>
              <w:rPr>
                <w:color w:val="222222"/>
                <w:sz w:val="19"/>
                <w:szCs w:val="19"/>
              </w:rPr>
              <w:t>Break even</w:t>
            </w:r>
          </w:p>
        </w:tc>
        <w:tc>
          <w:tcPr>
            <w:tcW w:w="3119"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38FA9F11" w14:textId="77777777" w:rsidR="00F50A8E" w:rsidRDefault="00000000">
            <w:pPr>
              <w:jc w:val="right"/>
            </w:pPr>
            <w:r>
              <w:rPr>
                <w:color w:val="222222"/>
                <w:sz w:val="19"/>
                <w:szCs w:val="19"/>
              </w:rPr>
              <w:t>1,116</w:t>
            </w:r>
          </w:p>
        </w:tc>
        <w:tc>
          <w:tcPr>
            <w:tcW w:w="3119"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01B532C2" w14:textId="77777777" w:rsidR="00F50A8E" w:rsidRDefault="00000000">
            <w:pPr>
              <w:jc w:val="right"/>
            </w:pPr>
            <w:r>
              <w:rPr>
                <w:color w:val="222222"/>
                <w:sz w:val="19"/>
                <w:szCs w:val="19"/>
              </w:rPr>
              <w:t>0.65%</w:t>
            </w:r>
          </w:p>
        </w:tc>
      </w:tr>
    </w:tbl>
    <w:p w14:paraId="1A177ACE" w14:textId="77777777" w:rsidR="00F50A8E" w:rsidRDefault="00F50A8E">
      <w:pPr>
        <w:spacing w:after="60"/>
      </w:pPr>
    </w:p>
    <w:p w14:paraId="11CEFA0B" w14:textId="77777777" w:rsidR="00F50A8E" w:rsidRDefault="00000000">
      <w:pPr>
        <w:pStyle w:val="Heading2"/>
      </w:pPr>
      <w:bookmarkStart w:id="9" w:name="_Toc241851701"/>
      <w:r>
        <w:t>4.2 Delay Distribution &amp; Profit vs. Delay Days</w:t>
      </w:r>
      <w:bookmarkEnd w:id="9"/>
    </w:p>
    <w:p w14:paraId="4C5B3D3B" w14:textId="77777777" w:rsidR="00F50A8E" w:rsidRDefault="00000000">
      <w:pPr>
        <w:spacing w:after="120" w:line="300" w:lineRule="auto"/>
      </w:pPr>
      <w:r>
        <w:rPr>
          <w:color w:val="222222"/>
        </w:rPr>
        <w:t>The delay distribution shows that 31.0% of all orders arrive exactly 1 day late, the single largest cohort. Combined, orders delayed by 1 to 4 days account for 54.7% of all order volume, directly matching the overall late delivery rate.</w:t>
      </w:r>
    </w:p>
    <w:p w14:paraId="6348D3FA" w14:textId="77777777" w:rsidR="00F50A8E" w:rsidRDefault="00000000">
      <w:pPr>
        <w:keepNext/>
        <w:spacing w:before="120" w:after="60"/>
        <w:jc w:val="center"/>
      </w:pPr>
      <w:r>
        <w:rPr>
          <w:noProof/>
        </w:rPr>
        <w:drawing>
          <wp:inline distT="0" distB="0" distL="0" distR="0" wp14:anchorId="09CCF49E" wp14:editId="16D1185C">
            <wp:extent cx="5591175" cy="2076450"/>
            <wp:effectExtent l="0" t="0" r="0" b="0"/>
            <wp:docPr id="1920771484" name="02_delay_distribution_and_profit.png" descr="Figure 2. Delay distribution (left) and profit analysis by delay days (right)." title="Figure 2. Delay distribution (left) and profit analysis by delay day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91175" cy="2076450"/>
                    </a:xfrm>
                    <a:prstGeom prst="rect">
                      <a:avLst/>
                    </a:prstGeom>
                  </pic:spPr>
                </pic:pic>
              </a:graphicData>
            </a:graphic>
          </wp:inline>
        </w:drawing>
      </w:r>
    </w:p>
    <w:p w14:paraId="7BF90BF6" w14:textId="77777777" w:rsidR="00F50A8E" w:rsidRDefault="00000000">
      <w:pPr>
        <w:spacing w:after="200"/>
        <w:jc w:val="center"/>
      </w:pPr>
      <w:r>
        <w:rPr>
          <w:i/>
          <w:iCs/>
          <w:color w:val="5B6577"/>
          <w:sz w:val="18"/>
          <w:szCs w:val="18"/>
        </w:rPr>
        <w:t>Figure 2. Delay distribution (left) and profit analysis by delay days (right).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2600"/>
        <w:gridCol w:w="3238"/>
      </w:tblGrid>
      <w:tr w:rsidR="00F50A8E" w14:paraId="5E247C4F" w14:textId="77777777">
        <w:tblPrEx>
          <w:tblCellMar>
            <w:top w:w="0" w:type="dxa"/>
            <w:bottom w:w="0" w:type="dxa"/>
          </w:tblCellMar>
        </w:tblPrEx>
        <w:trPr>
          <w:tblHeader/>
        </w:trPr>
        <w:tc>
          <w:tcPr>
            <w:tcW w:w="15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1C4CDD06" w14:textId="77777777" w:rsidR="00F50A8E" w:rsidRDefault="00000000">
            <w:pPr>
              <w:jc w:val="center"/>
            </w:pPr>
            <w:r>
              <w:rPr>
                <w:b/>
                <w:bCs/>
                <w:color w:val="FFFFFF"/>
                <w:sz w:val="19"/>
                <w:szCs w:val="19"/>
              </w:rPr>
              <w:lastRenderedPageBreak/>
              <w:t>Delay (days)</w:t>
            </w:r>
          </w:p>
        </w:tc>
        <w:tc>
          <w:tcPr>
            <w:tcW w:w="23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4BC7DE02" w14:textId="77777777" w:rsidR="00F50A8E" w:rsidRDefault="00000000">
            <w:pPr>
              <w:jc w:val="right"/>
            </w:pPr>
            <w:r>
              <w:rPr>
                <w:b/>
                <w:bCs/>
                <w:color w:val="FFFFFF"/>
                <w:sz w:val="19"/>
                <w:szCs w:val="19"/>
              </w:rPr>
              <w:t>Share of orders</w:t>
            </w:r>
          </w:p>
        </w:tc>
        <w:tc>
          <w:tcPr>
            <w:tcW w:w="26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4D9CE0B9" w14:textId="77777777" w:rsidR="00F50A8E" w:rsidRDefault="00000000">
            <w:pPr>
              <w:jc w:val="right"/>
            </w:pPr>
            <w:r>
              <w:rPr>
                <w:b/>
                <w:bCs/>
                <w:color w:val="FFFFFF"/>
                <w:sz w:val="19"/>
                <w:szCs w:val="19"/>
              </w:rPr>
              <w:t>Mean profit / order</w:t>
            </w:r>
          </w:p>
        </w:tc>
        <w:tc>
          <w:tcPr>
            <w:tcW w:w="3238"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1665E590" w14:textId="77777777" w:rsidR="00F50A8E" w:rsidRDefault="00000000">
            <w:pPr>
              <w:jc w:val="right"/>
            </w:pPr>
            <w:r>
              <w:rPr>
                <w:b/>
                <w:bCs/>
                <w:color w:val="FFFFFF"/>
                <w:sz w:val="19"/>
                <w:szCs w:val="19"/>
              </w:rPr>
              <w:t>Total profit</w:t>
            </w:r>
          </w:p>
        </w:tc>
      </w:tr>
      <w:tr w:rsidR="00F50A8E" w14:paraId="7BE9487C" w14:textId="77777777">
        <w:tblPrEx>
          <w:tblCellMar>
            <w:top w:w="0" w:type="dxa"/>
            <w:bottom w:w="0" w:type="dxa"/>
          </w:tblCellMar>
        </w:tblPrEx>
        <w:trPr>
          <w:cantSplit/>
        </w:trPr>
        <w:tc>
          <w:tcPr>
            <w:tcW w:w="15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38C1C8FA" w14:textId="77777777" w:rsidR="00F50A8E" w:rsidRDefault="00000000">
            <w:pPr>
              <w:jc w:val="center"/>
            </w:pPr>
            <w:r>
              <w:rPr>
                <w:color w:val="222222"/>
                <w:sz w:val="19"/>
                <w:szCs w:val="19"/>
              </w:rPr>
              <w:t>−2</w:t>
            </w:r>
          </w:p>
        </w:tc>
        <w:tc>
          <w:tcPr>
            <w:tcW w:w="23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7D47F655" w14:textId="77777777" w:rsidR="00F50A8E" w:rsidRDefault="00000000">
            <w:pPr>
              <w:jc w:val="right"/>
            </w:pPr>
            <w:r>
              <w:rPr>
                <w:color w:val="222222"/>
                <w:sz w:val="19"/>
                <w:szCs w:val="19"/>
              </w:rPr>
              <w:t>12.08%</w:t>
            </w:r>
          </w:p>
        </w:tc>
        <w:tc>
          <w:tcPr>
            <w:tcW w:w="26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4CC22113" w14:textId="77777777" w:rsidR="00F50A8E" w:rsidRDefault="00000000">
            <w:pPr>
              <w:jc w:val="right"/>
            </w:pPr>
            <w:r>
              <w:rPr>
                <w:color w:val="222222"/>
                <w:sz w:val="19"/>
                <w:szCs w:val="19"/>
              </w:rPr>
              <w:t>$23.36</w:t>
            </w:r>
          </w:p>
        </w:tc>
        <w:tc>
          <w:tcPr>
            <w:tcW w:w="3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4E7BBC07" w14:textId="77777777" w:rsidR="00F50A8E" w:rsidRDefault="00000000">
            <w:pPr>
              <w:jc w:val="right"/>
            </w:pPr>
            <w:r>
              <w:rPr>
                <w:color w:val="222222"/>
                <w:sz w:val="19"/>
                <w:szCs w:val="19"/>
              </w:rPr>
              <w:t>$487.6K</w:t>
            </w:r>
          </w:p>
        </w:tc>
      </w:tr>
      <w:tr w:rsidR="00F50A8E" w14:paraId="66FEFB55" w14:textId="77777777">
        <w:tblPrEx>
          <w:tblCellMar>
            <w:top w:w="0" w:type="dxa"/>
            <w:bottom w:w="0" w:type="dxa"/>
          </w:tblCellMar>
        </w:tblPrEx>
        <w:trPr>
          <w:cantSplit/>
        </w:trPr>
        <w:tc>
          <w:tcPr>
            <w:tcW w:w="15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3F8EA51F" w14:textId="77777777" w:rsidR="00F50A8E" w:rsidRDefault="00000000">
            <w:pPr>
              <w:jc w:val="center"/>
            </w:pPr>
            <w:r>
              <w:rPr>
                <w:color w:val="222222"/>
                <w:sz w:val="19"/>
                <w:szCs w:val="19"/>
              </w:rPr>
              <w:t>−1</w:t>
            </w:r>
          </w:p>
        </w:tc>
        <w:tc>
          <w:tcPr>
            <w:tcW w:w="23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5E617BA3" w14:textId="77777777" w:rsidR="00F50A8E" w:rsidRDefault="00000000">
            <w:pPr>
              <w:jc w:val="right"/>
            </w:pPr>
            <w:r>
              <w:rPr>
                <w:color w:val="222222"/>
                <w:sz w:val="19"/>
                <w:szCs w:val="19"/>
              </w:rPr>
              <w:t>11.99%</w:t>
            </w:r>
          </w:p>
        </w:tc>
        <w:tc>
          <w:tcPr>
            <w:tcW w:w="26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5CD11333" w14:textId="77777777" w:rsidR="00F50A8E" w:rsidRDefault="00000000">
            <w:pPr>
              <w:jc w:val="right"/>
            </w:pPr>
            <w:r>
              <w:rPr>
                <w:color w:val="222222"/>
                <w:sz w:val="19"/>
                <w:szCs w:val="19"/>
              </w:rPr>
              <w:t>$21.60</w:t>
            </w:r>
          </w:p>
        </w:tc>
        <w:tc>
          <w:tcPr>
            <w:tcW w:w="32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5BDA7673" w14:textId="77777777" w:rsidR="00F50A8E" w:rsidRDefault="00000000">
            <w:pPr>
              <w:jc w:val="right"/>
            </w:pPr>
            <w:r>
              <w:rPr>
                <w:color w:val="222222"/>
                <w:sz w:val="19"/>
                <w:szCs w:val="19"/>
              </w:rPr>
              <w:t>$447.6K</w:t>
            </w:r>
          </w:p>
        </w:tc>
      </w:tr>
      <w:tr w:rsidR="00F50A8E" w14:paraId="46D471A4" w14:textId="77777777">
        <w:tblPrEx>
          <w:tblCellMar>
            <w:top w:w="0" w:type="dxa"/>
            <w:bottom w:w="0" w:type="dxa"/>
          </w:tblCellMar>
        </w:tblPrEx>
        <w:trPr>
          <w:cantSplit/>
        </w:trPr>
        <w:tc>
          <w:tcPr>
            <w:tcW w:w="15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5EFCD8C0" w14:textId="77777777" w:rsidR="00F50A8E" w:rsidRDefault="00000000">
            <w:pPr>
              <w:jc w:val="center"/>
            </w:pPr>
            <w:r>
              <w:rPr>
                <w:color w:val="222222"/>
                <w:sz w:val="19"/>
                <w:szCs w:val="19"/>
              </w:rPr>
              <w:t>0</w:t>
            </w:r>
          </w:p>
        </w:tc>
        <w:tc>
          <w:tcPr>
            <w:tcW w:w="23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251414AB" w14:textId="77777777" w:rsidR="00F50A8E" w:rsidRDefault="00000000">
            <w:pPr>
              <w:jc w:val="right"/>
            </w:pPr>
            <w:r>
              <w:rPr>
                <w:color w:val="222222"/>
                <w:sz w:val="19"/>
                <w:szCs w:val="19"/>
              </w:rPr>
              <w:t>21.21%</w:t>
            </w:r>
          </w:p>
        </w:tc>
        <w:tc>
          <w:tcPr>
            <w:tcW w:w="26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0E69B293" w14:textId="77777777" w:rsidR="00F50A8E" w:rsidRDefault="00000000">
            <w:pPr>
              <w:jc w:val="right"/>
            </w:pPr>
            <w:r>
              <w:rPr>
                <w:color w:val="222222"/>
                <w:sz w:val="19"/>
                <w:szCs w:val="19"/>
              </w:rPr>
              <w:t>$22.25</w:t>
            </w:r>
          </w:p>
        </w:tc>
        <w:tc>
          <w:tcPr>
            <w:tcW w:w="3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07F46BB3" w14:textId="77777777" w:rsidR="00F50A8E" w:rsidRDefault="00000000">
            <w:pPr>
              <w:jc w:val="right"/>
            </w:pPr>
            <w:r>
              <w:rPr>
                <w:color w:val="222222"/>
                <w:sz w:val="19"/>
                <w:szCs w:val="19"/>
              </w:rPr>
              <w:t>$815.4K</w:t>
            </w:r>
          </w:p>
        </w:tc>
      </w:tr>
      <w:tr w:rsidR="00F50A8E" w14:paraId="79ED0058" w14:textId="77777777">
        <w:tblPrEx>
          <w:tblCellMar>
            <w:top w:w="0" w:type="dxa"/>
            <w:bottom w:w="0" w:type="dxa"/>
          </w:tblCellMar>
        </w:tblPrEx>
        <w:trPr>
          <w:cantSplit/>
        </w:trPr>
        <w:tc>
          <w:tcPr>
            <w:tcW w:w="15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5F188295" w14:textId="77777777" w:rsidR="00F50A8E" w:rsidRDefault="00000000">
            <w:pPr>
              <w:jc w:val="center"/>
            </w:pPr>
            <w:r>
              <w:rPr>
                <w:color w:val="222222"/>
                <w:sz w:val="19"/>
                <w:szCs w:val="19"/>
              </w:rPr>
              <w:t>1</w:t>
            </w:r>
          </w:p>
        </w:tc>
        <w:tc>
          <w:tcPr>
            <w:tcW w:w="23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4A567E72" w14:textId="77777777" w:rsidR="00F50A8E" w:rsidRDefault="00000000">
            <w:pPr>
              <w:jc w:val="right"/>
            </w:pPr>
            <w:r>
              <w:rPr>
                <w:color w:val="222222"/>
                <w:sz w:val="19"/>
                <w:szCs w:val="19"/>
              </w:rPr>
              <w:t>30.97%</w:t>
            </w:r>
          </w:p>
        </w:tc>
        <w:tc>
          <w:tcPr>
            <w:tcW w:w="26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733DBFF7" w14:textId="77777777" w:rsidR="00F50A8E" w:rsidRDefault="00000000">
            <w:pPr>
              <w:jc w:val="right"/>
            </w:pPr>
            <w:r>
              <w:rPr>
                <w:color w:val="222222"/>
                <w:sz w:val="19"/>
                <w:szCs w:val="19"/>
              </w:rPr>
              <w:t>$22.33</w:t>
            </w:r>
          </w:p>
        </w:tc>
        <w:tc>
          <w:tcPr>
            <w:tcW w:w="32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22FA5DCB" w14:textId="77777777" w:rsidR="00F50A8E" w:rsidRDefault="00000000">
            <w:pPr>
              <w:jc w:val="right"/>
            </w:pPr>
            <w:r>
              <w:rPr>
                <w:color w:val="222222"/>
                <w:sz w:val="19"/>
                <w:szCs w:val="19"/>
              </w:rPr>
              <w:t>$1.195M</w:t>
            </w:r>
          </w:p>
        </w:tc>
      </w:tr>
      <w:tr w:rsidR="00F50A8E" w14:paraId="1896F5A7" w14:textId="77777777">
        <w:tblPrEx>
          <w:tblCellMar>
            <w:top w:w="0" w:type="dxa"/>
            <w:bottom w:w="0" w:type="dxa"/>
          </w:tblCellMar>
        </w:tblPrEx>
        <w:trPr>
          <w:cantSplit/>
        </w:trPr>
        <w:tc>
          <w:tcPr>
            <w:tcW w:w="15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14333ABD" w14:textId="77777777" w:rsidR="00F50A8E" w:rsidRDefault="00000000">
            <w:pPr>
              <w:jc w:val="center"/>
            </w:pPr>
            <w:r>
              <w:rPr>
                <w:color w:val="222222"/>
                <w:sz w:val="19"/>
                <w:szCs w:val="19"/>
              </w:rPr>
              <w:t>2</w:t>
            </w:r>
          </w:p>
        </w:tc>
        <w:tc>
          <w:tcPr>
            <w:tcW w:w="23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0C61276D" w14:textId="77777777" w:rsidR="00F50A8E" w:rsidRDefault="00000000">
            <w:pPr>
              <w:jc w:val="right"/>
            </w:pPr>
            <w:r>
              <w:rPr>
                <w:color w:val="222222"/>
                <w:sz w:val="19"/>
                <w:szCs w:val="19"/>
              </w:rPr>
              <w:t>15.95%</w:t>
            </w:r>
          </w:p>
        </w:tc>
        <w:tc>
          <w:tcPr>
            <w:tcW w:w="26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06322E02" w14:textId="77777777" w:rsidR="00F50A8E" w:rsidRDefault="00000000">
            <w:pPr>
              <w:jc w:val="right"/>
            </w:pPr>
            <w:r>
              <w:rPr>
                <w:color w:val="222222"/>
                <w:sz w:val="19"/>
                <w:szCs w:val="19"/>
              </w:rPr>
              <w:t>$21.13</w:t>
            </w:r>
          </w:p>
        </w:tc>
        <w:tc>
          <w:tcPr>
            <w:tcW w:w="3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4E1BB90D" w14:textId="77777777" w:rsidR="00F50A8E" w:rsidRDefault="00000000">
            <w:pPr>
              <w:jc w:val="right"/>
            </w:pPr>
            <w:r>
              <w:rPr>
                <w:color w:val="222222"/>
                <w:sz w:val="19"/>
                <w:szCs w:val="19"/>
              </w:rPr>
              <w:t>$582.1K</w:t>
            </w:r>
          </w:p>
        </w:tc>
      </w:tr>
      <w:tr w:rsidR="00F50A8E" w14:paraId="0B376CFA" w14:textId="77777777">
        <w:tblPrEx>
          <w:tblCellMar>
            <w:top w:w="0" w:type="dxa"/>
            <w:bottom w:w="0" w:type="dxa"/>
          </w:tblCellMar>
        </w:tblPrEx>
        <w:trPr>
          <w:cantSplit/>
        </w:trPr>
        <w:tc>
          <w:tcPr>
            <w:tcW w:w="15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725AB78B" w14:textId="77777777" w:rsidR="00F50A8E" w:rsidRDefault="00000000">
            <w:pPr>
              <w:jc w:val="center"/>
            </w:pPr>
            <w:r>
              <w:rPr>
                <w:color w:val="222222"/>
                <w:sz w:val="19"/>
                <w:szCs w:val="19"/>
              </w:rPr>
              <w:t>3</w:t>
            </w:r>
          </w:p>
        </w:tc>
        <w:tc>
          <w:tcPr>
            <w:tcW w:w="23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1D405253" w14:textId="77777777" w:rsidR="00F50A8E" w:rsidRDefault="00000000">
            <w:pPr>
              <w:jc w:val="right"/>
            </w:pPr>
            <w:r>
              <w:rPr>
                <w:color w:val="222222"/>
                <w:sz w:val="19"/>
                <w:szCs w:val="19"/>
              </w:rPr>
              <w:t>3.92%</w:t>
            </w:r>
          </w:p>
        </w:tc>
        <w:tc>
          <w:tcPr>
            <w:tcW w:w="26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47A2F353" w14:textId="77777777" w:rsidR="00F50A8E" w:rsidRDefault="00000000">
            <w:pPr>
              <w:jc w:val="right"/>
            </w:pPr>
            <w:r>
              <w:rPr>
                <w:color w:val="222222"/>
                <w:sz w:val="19"/>
                <w:szCs w:val="19"/>
              </w:rPr>
              <w:t>$20.03</w:t>
            </w:r>
          </w:p>
        </w:tc>
        <w:tc>
          <w:tcPr>
            <w:tcW w:w="32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515D8155" w14:textId="77777777" w:rsidR="00F50A8E" w:rsidRDefault="00000000">
            <w:pPr>
              <w:jc w:val="right"/>
            </w:pPr>
            <w:r>
              <w:rPr>
                <w:color w:val="222222"/>
                <w:sz w:val="19"/>
                <w:szCs w:val="19"/>
              </w:rPr>
              <w:t>$135.7K</w:t>
            </w:r>
          </w:p>
        </w:tc>
      </w:tr>
      <w:tr w:rsidR="00F50A8E" w14:paraId="63C9B0C4" w14:textId="77777777">
        <w:tblPrEx>
          <w:tblCellMar>
            <w:top w:w="0" w:type="dxa"/>
            <w:bottom w:w="0" w:type="dxa"/>
          </w:tblCellMar>
        </w:tblPrEx>
        <w:trPr>
          <w:cantSplit/>
        </w:trPr>
        <w:tc>
          <w:tcPr>
            <w:tcW w:w="15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685C7727" w14:textId="77777777" w:rsidR="00F50A8E" w:rsidRDefault="00000000">
            <w:pPr>
              <w:jc w:val="center"/>
            </w:pPr>
            <w:r>
              <w:rPr>
                <w:color w:val="222222"/>
                <w:sz w:val="19"/>
                <w:szCs w:val="19"/>
              </w:rPr>
              <w:t>4</w:t>
            </w:r>
          </w:p>
        </w:tc>
        <w:tc>
          <w:tcPr>
            <w:tcW w:w="23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3E54062F" w14:textId="77777777" w:rsidR="00F50A8E" w:rsidRDefault="00000000">
            <w:pPr>
              <w:jc w:val="right"/>
            </w:pPr>
            <w:r>
              <w:rPr>
                <w:color w:val="222222"/>
                <w:sz w:val="19"/>
                <w:szCs w:val="19"/>
              </w:rPr>
              <w:t>3.88%</w:t>
            </w:r>
          </w:p>
        </w:tc>
        <w:tc>
          <w:tcPr>
            <w:tcW w:w="26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387E0BF2" w14:textId="77777777" w:rsidR="00F50A8E" w:rsidRDefault="00000000">
            <w:pPr>
              <w:jc w:val="right"/>
            </w:pPr>
            <w:r>
              <w:rPr>
                <w:color w:val="222222"/>
                <w:sz w:val="19"/>
                <w:szCs w:val="19"/>
              </w:rPr>
              <w:t>$21.37</w:t>
            </w:r>
          </w:p>
        </w:tc>
        <w:tc>
          <w:tcPr>
            <w:tcW w:w="32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569D18B5" w14:textId="77777777" w:rsidR="00F50A8E" w:rsidRDefault="00000000">
            <w:pPr>
              <w:jc w:val="right"/>
            </w:pPr>
            <w:r>
              <w:rPr>
                <w:color w:val="222222"/>
                <w:sz w:val="19"/>
                <w:szCs w:val="19"/>
              </w:rPr>
              <w:t>$143.1K</w:t>
            </w:r>
          </w:p>
        </w:tc>
      </w:tr>
    </w:tbl>
    <w:p w14:paraId="4B8F4750" w14:textId="77777777" w:rsidR="00F50A8E" w:rsidRDefault="00F50A8E">
      <w:pPr>
        <w:spacing w:after="80"/>
      </w:pPr>
    </w:p>
    <w:p w14:paraId="52AFA86B" w14:textId="77777777" w:rsidR="00F50A8E" w:rsidRDefault="00000000">
      <w:pPr>
        <w:spacing w:after="120" w:line="300" w:lineRule="auto"/>
      </w:pPr>
      <w:r>
        <w:rPr>
          <w:b/>
          <w:bCs/>
          <w:color w:val="222222"/>
        </w:rPr>
        <w:t xml:space="preserve">A critical observation: </w:t>
      </w:r>
      <w:r>
        <w:rPr>
          <w:color w:val="222222"/>
        </w:rPr>
        <w:t>mean profit per order remains stable at roughly $20–$23 across all delay levels. The profitability exposure is therefore driven by the volume of delayed orders, not by individual order economics, which makes systemic throughput improvement the highest-leverage intervention.</w:t>
      </w:r>
    </w:p>
    <w:p w14:paraId="37DD0157" w14:textId="77777777" w:rsidR="00F50A8E" w:rsidRDefault="00000000">
      <w:pPr>
        <w:pStyle w:val="Heading1"/>
      </w:pPr>
      <w:bookmarkStart w:id="10" w:name="_Toc241851702"/>
      <w:r>
        <w:t>5. Bottleneck Detection</w:t>
      </w:r>
      <w:bookmarkEnd w:id="10"/>
    </w:p>
    <w:p w14:paraId="348932BC" w14:textId="77777777" w:rsidR="00F50A8E" w:rsidRDefault="00000000">
      <w:pPr>
        <w:spacing w:after="120" w:line="300" w:lineRule="auto"/>
      </w:pPr>
      <w:r>
        <w:rPr>
          <w:color w:val="222222"/>
        </w:rPr>
        <w:t>Delay percentage was computed across six key operational dimensions. The charts below show where the fulfilment process breaks down most severely.</w:t>
      </w:r>
    </w:p>
    <w:p w14:paraId="0E6C1EC2" w14:textId="77777777" w:rsidR="00F50A8E" w:rsidRDefault="00000000">
      <w:pPr>
        <w:keepNext/>
        <w:spacing w:before="120" w:after="60"/>
        <w:jc w:val="center"/>
      </w:pPr>
      <w:r>
        <w:rPr>
          <w:noProof/>
        </w:rPr>
        <w:drawing>
          <wp:inline distT="0" distB="0" distL="0" distR="0" wp14:anchorId="6EA0356B" wp14:editId="132E4C53">
            <wp:extent cx="5591175" cy="2457450"/>
            <wp:effectExtent l="0" t="0" r="0" b="0"/>
            <wp:docPr id="336494118" name="03_bottleneck_detection.png" descr="Figure 3. Bottleneck detection: delay % by category (top 10 categories per panel)." title="Figure 3. Bottleneck detection: delay % by category (top 10 categories per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91175" cy="2457450"/>
                    </a:xfrm>
                    <a:prstGeom prst="rect">
                      <a:avLst/>
                    </a:prstGeom>
                  </pic:spPr>
                </pic:pic>
              </a:graphicData>
            </a:graphic>
          </wp:inline>
        </w:drawing>
      </w:r>
    </w:p>
    <w:p w14:paraId="64E49E63" w14:textId="77777777" w:rsidR="00F50A8E" w:rsidRDefault="00000000">
      <w:pPr>
        <w:spacing w:after="200"/>
        <w:jc w:val="center"/>
      </w:pPr>
      <w:r>
        <w:rPr>
          <w:i/>
          <w:iCs/>
          <w:color w:val="5B6577"/>
          <w:sz w:val="18"/>
          <w:szCs w:val="18"/>
        </w:rPr>
        <w:t>Figure 3. Bottleneck detection: delay % by category (top 10 categories per panel).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F50A8E" w14:paraId="4A2282AA" w14:textId="77777777">
        <w:tblPrEx>
          <w:tblCellMar>
            <w:top w:w="0" w:type="dxa"/>
            <w:bottom w:w="0" w:type="dxa"/>
          </w:tblCellMar>
        </w:tblPrEx>
        <w:trPr>
          <w:cantSplit/>
        </w:trPr>
        <w:tc>
          <w:tcPr>
            <w:tcW w:w="2700" w:type="dxa"/>
            <w:tcBorders>
              <w:top w:val="single" w:sz="4" w:space="0" w:color="C9D1DC"/>
              <w:left w:val="single" w:sz="24" w:space="0" w:color="2A9D8F"/>
              <w:bottom w:val="single" w:sz="4" w:space="0" w:color="C9D1DC"/>
              <w:right w:val="single" w:sz="4" w:space="0" w:color="C9D1DC"/>
            </w:tcBorders>
            <w:shd w:val="clear" w:color="auto" w:fill="F2F5F9"/>
            <w:tcMar>
              <w:top w:w="100" w:type="dxa"/>
              <w:left w:w="140" w:type="dxa"/>
              <w:bottom w:w="100" w:type="dxa"/>
              <w:right w:w="100" w:type="dxa"/>
            </w:tcMar>
            <w:vAlign w:val="center"/>
          </w:tcPr>
          <w:p w14:paraId="319D38B9" w14:textId="77777777" w:rsidR="00F50A8E" w:rsidRDefault="00000000">
            <w:r>
              <w:rPr>
                <w:b/>
                <w:bCs/>
                <w:sz w:val="19"/>
                <w:szCs w:val="19"/>
              </w:rPr>
              <w:t>Shipping Mode is the #1 Lever</w:t>
            </w:r>
          </w:p>
        </w:tc>
        <w:tc>
          <w:tcPr>
            <w:tcW w:w="6938" w:type="dxa"/>
            <w:tcBorders>
              <w:top w:val="single" w:sz="4" w:space="0" w:color="C9D1DC"/>
              <w:left w:val="single" w:sz="4" w:space="0" w:color="C9D1DC"/>
              <w:bottom w:val="single" w:sz="4" w:space="0" w:color="C9D1DC"/>
              <w:right w:val="single" w:sz="4" w:space="0" w:color="C9D1DC"/>
            </w:tcBorders>
            <w:shd w:val="clear" w:color="auto" w:fill="F2F5F9"/>
            <w:tcMar>
              <w:top w:w="100" w:type="dxa"/>
              <w:left w:w="140" w:type="dxa"/>
              <w:bottom w:w="100" w:type="dxa"/>
              <w:right w:w="140" w:type="dxa"/>
            </w:tcMar>
            <w:vAlign w:val="center"/>
          </w:tcPr>
          <w:p w14:paraId="7795D53D" w14:textId="77777777" w:rsidR="00F50A8E" w:rsidRDefault="00000000">
            <w:r>
              <w:rPr>
                <w:sz w:val="19"/>
                <w:szCs w:val="19"/>
              </w:rPr>
              <w:t>First Class: 100% delay rate. Second Class: 79.8%. Standard Class: 39.8%. Same Day: 0%. Mode assignment logic is the most impactful single variable to examine.</w:t>
            </w:r>
          </w:p>
        </w:tc>
      </w:tr>
      <w:tr w:rsidR="00F50A8E" w14:paraId="003CA103" w14:textId="77777777">
        <w:tblPrEx>
          <w:tblCellMar>
            <w:top w:w="0" w:type="dxa"/>
            <w:bottom w:w="0" w:type="dxa"/>
          </w:tblCellMar>
        </w:tblPrEx>
        <w:trPr>
          <w:cantSplit/>
        </w:trPr>
        <w:tc>
          <w:tcPr>
            <w:tcW w:w="2700" w:type="dxa"/>
            <w:tcBorders>
              <w:top w:val="single" w:sz="4" w:space="0" w:color="C9D1DC"/>
              <w:left w:val="single" w:sz="24" w:space="0" w:color="2A9D8F"/>
              <w:bottom w:val="single" w:sz="4" w:space="0" w:color="C9D1DC"/>
              <w:right w:val="single" w:sz="4" w:space="0" w:color="C9D1DC"/>
            </w:tcBorders>
            <w:shd w:val="clear" w:color="auto" w:fill="F2F5F9"/>
            <w:tcMar>
              <w:top w:w="100" w:type="dxa"/>
              <w:left w:w="140" w:type="dxa"/>
              <w:bottom w:w="100" w:type="dxa"/>
              <w:right w:w="100" w:type="dxa"/>
            </w:tcMar>
            <w:vAlign w:val="center"/>
          </w:tcPr>
          <w:p w14:paraId="28FB9730" w14:textId="77777777" w:rsidR="00F50A8E" w:rsidRDefault="00000000">
            <w:r>
              <w:rPr>
                <w:b/>
                <w:bCs/>
                <w:sz w:val="19"/>
                <w:szCs w:val="19"/>
              </w:rPr>
              <w:t>Regional Spread is Narrow</w:t>
            </w:r>
          </w:p>
        </w:tc>
        <w:tc>
          <w:tcPr>
            <w:tcW w:w="6938" w:type="dxa"/>
            <w:tcBorders>
              <w:top w:val="single" w:sz="4" w:space="0" w:color="C9D1DC"/>
              <w:left w:val="single" w:sz="4" w:space="0" w:color="C9D1DC"/>
              <w:bottom w:val="single" w:sz="4" w:space="0" w:color="C9D1DC"/>
              <w:right w:val="single" w:sz="4" w:space="0" w:color="C9D1DC"/>
            </w:tcBorders>
            <w:shd w:val="clear" w:color="auto" w:fill="F2F5F9"/>
            <w:tcMar>
              <w:top w:w="100" w:type="dxa"/>
              <w:left w:w="140" w:type="dxa"/>
              <w:bottom w:w="100" w:type="dxa"/>
              <w:right w:w="140" w:type="dxa"/>
            </w:tcMar>
            <w:vAlign w:val="center"/>
          </w:tcPr>
          <w:p w14:paraId="56E3E7B3" w14:textId="77777777" w:rsidR="00F50A8E" w:rsidRDefault="00000000">
            <w:r>
              <w:rPr>
                <w:sz w:val="19"/>
                <w:szCs w:val="19"/>
              </w:rPr>
              <w:t>Central Africa leads at 58.7%, but regions cluster in a narrow mid-50% band. This points to a company-wide pattern rather than a localized logistics failure.</w:t>
            </w:r>
          </w:p>
        </w:tc>
      </w:tr>
      <w:tr w:rsidR="00F50A8E" w14:paraId="5459EA0F" w14:textId="77777777">
        <w:tblPrEx>
          <w:tblCellMar>
            <w:top w:w="0" w:type="dxa"/>
            <w:bottom w:w="0" w:type="dxa"/>
          </w:tblCellMar>
        </w:tblPrEx>
        <w:trPr>
          <w:cantSplit/>
        </w:trPr>
        <w:tc>
          <w:tcPr>
            <w:tcW w:w="2700" w:type="dxa"/>
            <w:tcBorders>
              <w:top w:val="single" w:sz="4" w:space="0" w:color="C9D1DC"/>
              <w:left w:val="single" w:sz="24" w:space="0" w:color="2A9D8F"/>
              <w:bottom w:val="single" w:sz="4" w:space="0" w:color="C9D1DC"/>
              <w:right w:val="single" w:sz="4" w:space="0" w:color="C9D1DC"/>
            </w:tcBorders>
            <w:shd w:val="clear" w:color="auto" w:fill="F2F5F9"/>
            <w:tcMar>
              <w:top w:w="100" w:type="dxa"/>
              <w:left w:w="140" w:type="dxa"/>
              <w:bottom w:w="100" w:type="dxa"/>
              <w:right w:w="100" w:type="dxa"/>
            </w:tcMar>
            <w:vAlign w:val="center"/>
          </w:tcPr>
          <w:p w14:paraId="30F9A18B" w14:textId="77777777" w:rsidR="00F50A8E" w:rsidRDefault="00000000">
            <w:r>
              <w:rPr>
                <w:b/>
                <w:bCs/>
                <w:sz w:val="19"/>
                <w:szCs w:val="19"/>
              </w:rPr>
              <w:t>Customer Segments Nearly Identical (54.5–55.4%)</w:t>
            </w:r>
          </w:p>
        </w:tc>
        <w:tc>
          <w:tcPr>
            <w:tcW w:w="6938" w:type="dxa"/>
            <w:tcBorders>
              <w:top w:val="single" w:sz="4" w:space="0" w:color="C9D1DC"/>
              <w:left w:val="single" w:sz="4" w:space="0" w:color="C9D1DC"/>
              <w:bottom w:val="single" w:sz="4" w:space="0" w:color="C9D1DC"/>
              <w:right w:val="single" w:sz="4" w:space="0" w:color="C9D1DC"/>
            </w:tcBorders>
            <w:shd w:val="clear" w:color="auto" w:fill="F2F5F9"/>
            <w:tcMar>
              <w:top w:w="100" w:type="dxa"/>
              <w:left w:w="140" w:type="dxa"/>
              <w:bottom w:w="100" w:type="dxa"/>
              <w:right w:w="140" w:type="dxa"/>
            </w:tcMar>
            <w:vAlign w:val="center"/>
          </w:tcPr>
          <w:p w14:paraId="73B726D7" w14:textId="77777777" w:rsidR="00F50A8E" w:rsidRDefault="00000000">
            <w:r>
              <w:rPr>
                <w:sz w:val="19"/>
                <w:szCs w:val="19"/>
              </w:rPr>
              <w:t>Consumer, Corporate and Home Office customers all experience similar delay rates (Home Office 55.36%, Consumer 54.64%, Corporate 54.46%).</w:t>
            </w:r>
          </w:p>
        </w:tc>
      </w:tr>
      <w:tr w:rsidR="00F50A8E" w14:paraId="3924CA7B" w14:textId="77777777">
        <w:tblPrEx>
          <w:tblCellMar>
            <w:top w:w="0" w:type="dxa"/>
            <w:bottom w:w="0" w:type="dxa"/>
          </w:tblCellMar>
        </w:tblPrEx>
        <w:trPr>
          <w:cantSplit/>
        </w:trPr>
        <w:tc>
          <w:tcPr>
            <w:tcW w:w="2700" w:type="dxa"/>
            <w:tcBorders>
              <w:top w:val="single" w:sz="4" w:space="0" w:color="C9D1DC"/>
              <w:left w:val="single" w:sz="24" w:space="0" w:color="2A9D8F"/>
              <w:bottom w:val="single" w:sz="4" w:space="0" w:color="C9D1DC"/>
              <w:right w:val="single" w:sz="4" w:space="0" w:color="C9D1DC"/>
            </w:tcBorders>
            <w:shd w:val="clear" w:color="auto" w:fill="F2F5F9"/>
            <w:tcMar>
              <w:top w:w="100" w:type="dxa"/>
              <w:left w:w="140" w:type="dxa"/>
              <w:bottom w:w="100" w:type="dxa"/>
              <w:right w:w="100" w:type="dxa"/>
            </w:tcMar>
            <w:vAlign w:val="center"/>
          </w:tcPr>
          <w:p w14:paraId="18752748" w14:textId="77777777" w:rsidR="00F50A8E" w:rsidRDefault="00000000">
            <w:r>
              <w:rPr>
                <w:b/>
                <w:bCs/>
                <w:sz w:val="19"/>
                <w:szCs w:val="19"/>
              </w:rPr>
              <w:t>Health &amp; Beauty (56.9%) and Pet Shop (56.6%) Lead by Department</w:t>
            </w:r>
          </w:p>
        </w:tc>
        <w:tc>
          <w:tcPr>
            <w:tcW w:w="6938" w:type="dxa"/>
            <w:tcBorders>
              <w:top w:val="single" w:sz="4" w:space="0" w:color="C9D1DC"/>
              <w:left w:val="single" w:sz="4" w:space="0" w:color="C9D1DC"/>
              <w:bottom w:val="single" w:sz="4" w:space="0" w:color="C9D1DC"/>
              <w:right w:val="single" w:sz="4" w:space="0" w:color="C9D1DC"/>
            </w:tcBorders>
            <w:shd w:val="clear" w:color="auto" w:fill="F2F5F9"/>
            <w:tcMar>
              <w:top w:w="100" w:type="dxa"/>
              <w:left w:w="140" w:type="dxa"/>
              <w:bottom w:w="100" w:type="dxa"/>
              <w:right w:w="140" w:type="dxa"/>
            </w:tcMar>
            <w:vAlign w:val="center"/>
          </w:tcPr>
          <w:p w14:paraId="6170A2DC" w14:textId="77777777" w:rsidR="00F50A8E" w:rsidRDefault="00000000">
            <w:r>
              <w:rPr>
                <w:sz w:val="19"/>
                <w:szCs w:val="19"/>
              </w:rPr>
              <w:t>These departments marginally outpace others in delay rate, warranting an inventory and carrier audit for these product categories.</w:t>
            </w:r>
          </w:p>
        </w:tc>
      </w:tr>
      <w:tr w:rsidR="00F50A8E" w14:paraId="1806618C" w14:textId="77777777">
        <w:tblPrEx>
          <w:tblCellMar>
            <w:top w:w="0" w:type="dxa"/>
            <w:bottom w:w="0" w:type="dxa"/>
          </w:tblCellMar>
        </w:tblPrEx>
        <w:trPr>
          <w:cantSplit/>
        </w:trPr>
        <w:tc>
          <w:tcPr>
            <w:tcW w:w="2700" w:type="dxa"/>
            <w:tcBorders>
              <w:top w:val="single" w:sz="4" w:space="0" w:color="C9D1DC"/>
              <w:left w:val="single" w:sz="24" w:space="0" w:color="2A9D8F"/>
              <w:bottom w:val="single" w:sz="4" w:space="0" w:color="C9D1DC"/>
              <w:right w:val="single" w:sz="4" w:space="0" w:color="C9D1DC"/>
            </w:tcBorders>
            <w:shd w:val="clear" w:color="auto" w:fill="F2F5F9"/>
            <w:tcMar>
              <w:top w:w="100" w:type="dxa"/>
              <w:left w:w="140" w:type="dxa"/>
              <w:bottom w:w="100" w:type="dxa"/>
              <w:right w:w="100" w:type="dxa"/>
            </w:tcMar>
            <w:vAlign w:val="center"/>
          </w:tcPr>
          <w:p w14:paraId="5378B47D" w14:textId="77777777" w:rsidR="00F50A8E" w:rsidRDefault="00000000">
            <w:r>
              <w:rPr>
                <w:b/>
                <w:bCs/>
                <w:sz w:val="19"/>
                <w:szCs w:val="19"/>
              </w:rPr>
              <w:t>Payment and Order Status Signals</w:t>
            </w:r>
          </w:p>
        </w:tc>
        <w:tc>
          <w:tcPr>
            <w:tcW w:w="6938" w:type="dxa"/>
            <w:tcBorders>
              <w:top w:val="single" w:sz="4" w:space="0" w:color="C9D1DC"/>
              <w:left w:val="single" w:sz="4" w:space="0" w:color="C9D1DC"/>
              <w:bottom w:val="single" w:sz="4" w:space="0" w:color="C9D1DC"/>
              <w:right w:val="single" w:sz="4" w:space="0" w:color="C9D1DC"/>
            </w:tcBorders>
            <w:shd w:val="clear" w:color="auto" w:fill="F2F5F9"/>
            <w:tcMar>
              <w:top w:w="100" w:type="dxa"/>
              <w:left w:w="140" w:type="dxa"/>
              <w:bottom w:w="100" w:type="dxa"/>
              <w:right w:w="140" w:type="dxa"/>
            </w:tcMar>
            <w:vAlign w:val="center"/>
          </w:tcPr>
          <w:p w14:paraId="58B0F726" w14:textId="77777777" w:rsidR="00F50A8E" w:rsidRDefault="00000000">
            <w:r>
              <w:rPr>
                <w:sz w:val="19"/>
                <w:szCs w:val="19"/>
              </w:rPr>
              <w:t>PENDING, PAYMENT_REVIEW and PENDING_PAYMENT are among the higher-delay order statuses, and PAYMENT and TRANSFER payment types are elevated relative to CASH.</w:t>
            </w:r>
          </w:p>
        </w:tc>
      </w:tr>
    </w:tbl>
    <w:p w14:paraId="47D8EB2F" w14:textId="77777777" w:rsidR="00F50A8E" w:rsidRDefault="00000000">
      <w:pPr>
        <w:pStyle w:val="Heading1"/>
      </w:pPr>
      <w:bookmarkStart w:id="11" w:name="_Toc241851703"/>
      <w:r>
        <w:lastRenderedPageBreak/>
        <w:t>6. Root Cause Analysis</w:t>
      </w:r>
      <w:bookmarkEnd w:id="11"/>
    </w:p>
    <w:p w14:paraId="67C3542C" w14:textId="77777777" w:rsidR="00F50A8E" w:rsidRDefault="00000000">
      <w:pPr>
        <w:spacing w:after="120" w:line="300" w:lineRule="auto"/>
      </w:pPr>
      <w:r>
        <w:rPr>
          <w:color w:val="222222"/>
        </w:rPr>
        <w:t>Central Africa was selected for deep-dive root-cause analysis as the highest-delay region (58.7%). The chart below ranks the top 10 driver factors by delay percentage within this region.</w:t>
      </w:r>
    </w:p>
    <w:p w14:paraId="4B80FD9E" w14:textId="77777777" w:rsidR="00F50A8E" w:rsidRDefault="00000000">
      <w:pPr>
        <w:keepNext/>
        <w:spacing w:before="120" w:after="60"/>
        <w:jc w:val="center"/>
      </w:pPr>
      <w:r>
        <w:rPr>
          <w:noProof/>
        </w:rPr>
        <w:drawing>
          <wp:inline distT="0" distB="0" distL="0" distR="0" wp14:anchorId="7232C8C4" wp14:editId="214D0562">
            <wp:extent cx="4829175" cy="2457450"/>
            <wp:effectExtent l="0" t="0" r="0" b="0"/>
            <wp:docPr id="1834572319" name="04_central_africa_drivers.png" descr="Figure 4. Top drivers of late delivery in Central Africa." title="Figure 4. Top drivers of late delivery in Central Af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29175" cy="2457450"/>
                    </a:xfrm>
                    <a:prstGeom prst="rect">
                      <a:avLst/>
                    </a:prstGeom>
                  </pic:spPr>
                </pic:pic>
              </a:graphicData>
            </a:graphic>
          </wp:inline>
        </w:drawing>
      </w:r>
    </w:p>
    <w:p w14:paraId="2E8E63E0" w14:textId="77777777" w:rsidR="00F50A8E" w:rsidRDefault="00000000">
      <w:pPr>
        <w:spacing w:after="200"/>
        <w:jc w:val="center"/>
      </w:pPr>
      <w:r>
        <w:rPr>
          <w:i/>
          <w:iCs/>
          <w:color w:val="5B6577"/>
          <w:sz w:val="18"/>
          <w:szCs w:val="18"/>
        </w:rPr>
        <w:t>Figure 4. Top drivers of late delivery in Central Africa.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3838"/>
      </w:tblGrid>
      <w:tr w:rsidR="00F50A8E" w14:paraId="44BC6356" w14:textId="77777777">
        <w:tblPrEx>
          <w:tblCellMar>
            <w:top w:w="0" w:type="dxa"/>
            <w:bottom w:w="0" w:type="dxa"/>
          </w:tblCellMar>
        </w:tblPrEx>
        <w:trPr>
          <w:tblHeader/>
        </w:trPr>
        <w:tc>
          <w:tcPr>
            <w:tcW w:w="58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279A5B2C" w14:textId="77777777" w:rsidR="00F50A8E" w:rsidRDefault="00000000">
            <w:r>
              <w:rPr>
                <w:b/>
                <w:bCs/>
                <w:color w:val="FFFFFF"/>
                <w:sz w:val="19"/>
                <w:szCs w:val="19"/>
              </w:rPr>
              <w:t>Driver level in Central Africa</w:t>
            </w:r>
          </w:p>
        </w:tc>
        <w:tc>
          <w:tcPr>
            <w:tcW w:w="3838"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67A875CF" w14:textId="77777777" w:rsidR="00F50A8E" w:rsidRDefault="00000000">
            <w:pPr>
              <w:jc w:val="right"/>
            </w:pPr>
            <w:r>
              <w:rPr>
                <w:b/>
                <w:bCs/>
                <w:color w:val="FFFFFF"/>
                <w:sz w:val="19"/>
                <w:szCs w:val="19"/>
              </w:rPr>
              <w:t>Delay rate</w:t>
            </w:r>
          </w:p>
        </w:tc>
      </w:tr>
      <w:tr w:rsidR="00F50A8E" w14:paraId="0A3EB4B9" w14:textId="77777777">
        <w:tblPrEx>
          <w:tblCellMar>
            <w:top w:w="0" w:type="dxa"/>
            <w:bottom w:w="0" w:type="dxa"/>
          </w:tblCellMar>
        </w:tblPrEx>
        <w:trPr>
          <w:cantSplit/>
        </w:trPr>
        <w:tc>
          <w:tcPr>
            <w:tcW w:w="58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0A3BAB9E" w14:textId="77777777" w:rsidR="00F50A8E" w:rsidRDefault="00000000">
            <w:r>
              <w:rPr>
                <w:color w:val="222222"/>
                <w:sz w:val="19"/>
                <w:szCs w:val="19"/>
              </w:rPr>
              <w:t>Shipping Mode: First Class</w:t>
            </w:r>
          </w:p>
        </w:tc>
        <w:tc>
          <w:tcPr>
            <w:tcW w:w="38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2E3389EA" w14:textId="77777777" w:rsidR="00F50A8E" w:rsidRDefault="00000000">
            <w:pPr>
              <w:jc w:val="right"/>
            </w:pPr>
            <w:r>
              <w:rPr>
                <w:color w:val="222222"/>
                <w:sz w:val="19"/>
                <w:szCs w:val="19"/>
              </w:rPr>
              <w:t>100.0%</w:t>
            </w:r>
          </w:p>
        </w:tc>
      </w:tr>
      <w:tr w:rsidR="00F50A8E" w14:paraId="75039004" w14:textId="77777777">
        <w:tblPrEx>
          <w:tblCellMar>
            <w:top w:w="0" w:type="dxa"/>
            <w:bottom w:w="0" w:type="dxa"/>
          </w:tblCellMar>
        </w:tblPrEx>
        <w:trPr>
          <w:cantSplit/>
        </w:trPr>
        <w:tc>
          <w:tcPr>
            <w:tcW w:w="58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22A7C11A" w14:textId="77777777" w:rsidR="00F50A8E" w:rsidRDefault="00000000">
            <w:r>
              <w:rPr>
                <w:color w:val="222222"/>
                <w:sz w:val="19"/>
                <w:szCs w:val="19"/>
              </w:rPr>
              <w:t>Shipping Mode: Second Class</w:t>
            </w:r>
          </w:p>
        </w:tc>
        <w:tc>
          <w:tcPr>
            <w:tcW w:w="38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18A7B626" w14:textId="77777777" w:rsidR="00F50A8E" w:rsidRDefault="00000000">
            <w:pPr>
              <w:jc w:val="right"/>
            </w:pPr>
            <w:r>
              <w:rPr>
                <w:color w:val="222222"/>
                <w:sz w:val="19"/>
                <w:szCs w:val="19"/>
              </w:rPr>
              <w:t>82.8%</w:t>
            </w:r>
          </w:p>
        </w:tc>
      </w:tr>
      <w:tr w:rsidR="00F50A8E" w14:paraId="22D44E7B" w14:textId="77777777">
        <w:tblPrEx>
          <w:tblCellMar>
            <w:top w:w="0" w:type="dxa"/>
            <w:bottom w:w="0" w:type="dxa"/>
          </w:tblCellMar>
        </w:tblPrEx>
        <w:trPr>
          <w:cantSplit/>
        </w:trPr>
        <w:tc>
          <w:tcPr>
            <w:tcW w:w="58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24B8DCD8" w14:textId="77777777" w:rsidR="00F50A8E" w:rsidRDefault="00000000">
            <w:r>
              <w:rPr>
                <w:color w:val="222222"/>
                <w:sz w:val="19"/>
                <w:szCs w:val="19"/>
              </w:rPr>
              <w:t>Order Status: PAYMENT_REVIEW</w:t>
            </w:r>
          </w:p>
        </w:tc>
        <w:tc>
          <w:tcPr>
            <w:tcW w:w="38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62FD19D1" w14:textId="77777777" w:rsidR="00F50A8E" w:rsidRDefault="00000000">
            <w:pPr>
              <w:jc w:val="right"/>
            </w:pPr>
            <w:r>
              <w:rPr>
                <w:color w:val="222222"/>
                <w:sz w:val="19"/>
                <w:szCs w:val="19"/>
              </w:rPr>
              <w:t>80.0%</w:t>
            </w:r>
          </w:p>
        </w:tc>
      </w:tr>
      <w:tr w:rsidR="00F50A8E" w14:paraId="4404F489" w14:textId="77777777">
        <w:tblPrEx>
          <w:tblCellMar>
            <w:top w:w="0" w:type="dxa"/>
            <w:bottom w:w="0" w:type="dxa"/>
          </w:tblCellMar>
        </w:tblPrEx>
        <w:trPr>
          <w:cantSplit/>
        </w:trPr>
        <w:tc>
          <w:tcPr>
            <w:tcW w:w="58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45D37935" w14:textId="77777777" w:rsidR="00F50A8E" w:rsidRDefault="00000000">
            <w:r>
              <w:rPr>
                <w:color w:val="222222"/>
                <w:sz w:val="19"/>
                <w:szCs w:val="19"/>
              </w:rPr>
              <w:t>Order Status: PENDING</w:t>
            </w:r>
          </w:p>
        </w:tc>
        <w:tc>
          <w:tcPr>
            <w:tcW w:w="38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5CDDCCC1" w14:textId="77777777" w:rsidR="00F50A8E" w:rsidRDefault="00000000">
            <w:pPr>
              <w:jc w:val="right"/>
            </w:pPr>
            <w:r>
              <w:rPr>
                <w:color w:val="222222"/>
                <w:sz w:val="19"/>
                <w:szCs w:val="19"/>
              </w:rPr>
              <w:t>69.1%</w:t>
            </w:r>
          </w:p>
        </w:tc>
      </w:tr>
      <w:tr w:rsidR="00F50A8E" w14:paraId="58D5F7A7" w14:textId="77777777">
        <w:tblPrEx>
          <w:tblCellMar>
            <w:top w:w="0" w:type="dxa"/>
            <w:bottom w:w="0" w:type="dxa"/>
          </w:tblCellMar>
        </w:tblPrEx>
        <w:trPr>
          <w:cantSplit/>
        </w:trPr>
        <w:tc>
          <w:tcPr>
            <w:tcW w:w="58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0D25FF3E" w14:textId="77777777" w:rsidR="00F50A8E" w:rsidRDefault="00000000">
            <w:r>
              <w:rPr>
                <w:color w:val="222222"/>
                <w:sz w:val="19"/>
                <w:szCs w:val="19"/>
              </w:rPr>
              <w:t>Type: PAYMENT</w:t>
            </w:r>
          </w:p>
        </w:tc>
        <w:tc>
          <w:tcPr>
            <w:tcW w:w="38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05BDAE57" w14:textId="77777777" w:rsidR="00F50A8E" w:rsidRDefault="00000000">
            <w:pPr>
              <w:jc w:val="right"/>
            </w:pPr>
            <w:r>
              <w:rPr>
                <w:color w:val="222222"/>
                <w:sz w:val="19"/>
                <w:szCs w:val="19"/>
              </w:rPr>
              <w:t>63.6%</w:t>
            </w:r>
          </w:p>
        </w:tc>
      </w:tr>
      <w:tr w:rsidR="00F50A8E" w14:paraId="57C17F61" w14:textId="77777777">
        <w:tblPrEx>
          <w:tblCellMar>
            <w:top w:w="0" w:type="dxa"/>
            <w:bottom w:w="0" w:type="dxa"/>
          </w:tblCellMar>
        </w:tblPrEx>
        <w:trPr>
          <w:cantSplit/>
        </w:trPr>
        <w:tc>
          <w:tcPr>
            <w:tcW w:w="58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238A966A" w14:textId="77777777" w:rsidR="00F50A8E" w:rsidRDefault="00000000">
            <w:r>
              <w:rPr>
                <w:color w:val="222222"/>
                <w:sz w:val="19"/>
                <w:szCs w:val="19"/>
              </w:rPr>
              <w:t>Type: TRANSFER</w:t>
            </w:r>
          </w:p>
        </w:tc>
        <w:tc>
          <w:tcPr>
            <w:tcW w:w="38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16B924B2" w14:textId="77777777" w:rsidR="00F50A8E" w:rsidRDefault="00000000">
            <w:pPr>
              <w:jc w:val="right"/>
            </w:pPr>
            <w:r>
              <w:rPr>
                <w:color w:val="222222"/>
                <w:sz w:val="19"/>
                <w:szCs w:val="19"/>
              </w:rPr>
              <w:t>63.3%</w:t>
            </w:r>
          </w:p>
        </w:tc>
      </w:tr>
      <w:tr w:rsidR="00F50A8E" w14:paraId="08139EB9" w14:textId="77777777">
        <w:tblPrEx>
          <w:tblCellMar>
            <w:top w:w="0" w:type="dxa"/>
            <w:bottom w:w="0" w:type="dxa"/>
          </w:tblCellMar>
        </w:tblPrEx>
        <w:trPr>
          <w:cantSplit/>
        </w:trPr>
        <w:tc>
          <w:tcPr>
            <w:tcW w:w="58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3540875A" w14:textId="77777777" w:rsidR="00F50A8E" w:rsidRDefault="00000000">
            <w:r>
              <w:rPr>
                <w:color w:val="222222"/>
                <w:sz w:val="19"/>
                <w:szCs w:val="19"/>
              </w:rPr>
              <w:t>Order Status: PENDING_PAYMENT</w:t>
            </w:r>
          </w:p>
        </w:tc>
        <w:tc>
          <w:tcPr>
            <w:tcW w:w="38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07955CBE" w14:textId="77777777" w:rsidR="00F50A8E" w:rsidRDefault="00000000">
            <w:pPr>
              <w:jc w:val="right"/>
            </w:pPr>
            <w:r>
              <w:rPr>
                <w:color w:val="222222"/>
                <w:sz w:val="19"/>
                <w:szCs w:val="19"/>
              </w:rPr>
              <w:t>62.6%</w:t>
            </w:r>
          </w:p>
        </w:tc>
      </w:tr>
      <w:tr w:rsidR="00F50A8E" w14:paraId="10F136EF" w14:textId="77777777">
        <w:tblPrEx>
          <w:tblCellMar>
            <w:top w:w="0" w:type="dxa"/>
            <w:bottom w:w="0" w:type="dxa"/>
          </w:tblCellMar>
        </w:tblPrEx>
        <w:trPr>
          <w:cantSplit/>
        </w:trPr>
        <w:tc>
          <w:tcPr>
            <w:tcW w:w="58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73BCCD6F" w14:textId="77777777" w:rsidR="00F50A8E" w:rsidRDefault="00000000">
            <w:r>
              <w:rPr>
                <w:color w:val="222222"/>
                <w:sz w:val="19"/>
                <w:szCs w:val="19"/>
              </w:rPr>
              <w:t>Department: Outdoors</w:t>
            </w:r>
          </w:p>
        </w:tc>
        <w:tc>
          <w:tcPr>
            <w:tcW w:w="38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2D221E4D" w14:textId="77777777" w:rsidR="00F50A8E" w:rsidRDefault="00000000">
            <w:pPr>
              <w:jc w:val="right"/>
            </w:pPr>
            <w:r>
              <w:rPr>
                <w:color w:val="222222"/>
                <w:sz w:val="19"/>
                <w:szCs w:val="19"/>
              </w:rPr>
              <w:t>61.3%</w:t>
            </w:r>
          </w:p>
        </w:tc>
      </w:tr>
      <w:tr w:rsidR="00F50A8E" w14:paraId="03DF3992" w14:textId="77777777">
        <w:tblPrEx>
          <w:tblCellMar>
            <w:top w:w="0" w:type="dxa"/>
            <w:bottom w:w="0" w:type="dxa"/>
          </w:tblCellMar>
        </w:tblPrEx>
        <w:trPr>
          <w:cantSplit/>
        </w:trPr>
        <w:tc>
          <w:tcPr>
            <w:tcW w:w="58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10D522D4" w14:textId="77777777" w:rsidR="00F50A8E" w:rsidRDefault="00000000">
            <w:r>
              <w:rPr>
                <w:color w:val="222222"/>
                <w:sz w:val="19"/>
                <w:szCs w:val="19"/>
              </w:rPr>
              <w:t>Department: Golf</w:t>
            </w:r>
          </w:p>
        </w:tc>
        <w:tc>
          <w:tcPr>
            <w:tcW w:w="38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5BA5D4BD" w14:textId="77777777" w:rsidR="00F50A8E" w:rsidRDefault="00000000">
            <w:pPr>
              <w:jc w:val="right"/>
            </w:pPr>
            <w:r>
              <w:rPr>
                <w:color w:val="222222"/>
                <w:sz w:val="19"/>
                <w:szCs w:val="19"/>
              </w:rPr>
              <w:t>60.8%</w:t>
            </w:r>
          </w:p>
        </w:tc>
      </w:tr>
      <w:tr w:rsidR="00F50A8E" w14:paraId="4FFF16A2" w14:textId="77777777">
        <w:tblPrEx>
          <w:tblCellMar>
            <w:top w:w="0" w:type="dxa"/>
            <w:bottom w:w="0" w:type="dxa"/>
          </w:tblCellMar>
        </w:tblPrEx>
        <w:trPr>
          <w:cantSplit/>
        </w:trPr>
        <w:tc>
          <w:tcPr>
            <w:tcW w:w="58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25B04086" w14:textId="77777777" w:rsidR="00F50A8E" w:rsidRDefault="00000000">
            <w:r>
              <w:rPr>
                <w:color w:val="222222"/>
                <w:sz w:val="19"/>
                <w:szCs w:val="19"/>
              </w:rPr>
              <w:t>Customer Segment: Consumer</w:t>
            </w:r>
          </w:p>
        </w:tc>
        <w:tc>
          <w:tcPr>
            <w:tcW w:w="38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75A82E24" w14:textId="77777777" w:rsidR="00F50A8E" w:rsidRDefault="00000000">
            <w:pPr>
              <w:jc w:val="right"/>
            </w:pPr>
            <w:r>
              <w:rPr>
                <w:color w:val="222222"/>
                <w:sz w:val="19"/>
                <w:szCs w:val="19"/>
              </w:rPr>
              <w:t>60.2%</w:t>
            </w:r>
          </w:p>
        </w:tc>
      </w:tr>
    </w:tbl>
    <w:p w14:paraId="081432ED" w14:textId="77777777" w:rsidR="00F50A8E" w:rsidRDefault="00F50A8E">
      <w:pPr>
        <w:spacing w:after="80"/>
      </w:pPr>
    </w:p>
    <w:p w14:paraId="09F25B0F" w14:textId="77777777" w:rsidR="00F50A8E" w:rsidRDefault="00000000">
      <w:pPr>
        <w:spacing w:after="120" w:line="300" w:lineRule="auto"/>
      </w:pPr>
      <w:r>
        <w:rPr>
          <w:color w:val="222222"/>
        </w:rPr>
        <w:t>Shipping mode remains the strongest single separator, while payment and order-status states and selected departments also show high delay rates. These are diagnostic associations, not proof of causality.</w:t>
      </w:r>
    </w:p>
    <w:p w14:paraId="580EFBE2" w14:textId="77777777" w:rsidR="00017DB6" w:rsidRDefault="00017DB6">
      <w:pPr>
        <w:rPr>
          <w:b/>
          <w:bCs/>
          <w:color w:val="1F2A44"/>
          <w:sz w:val="32"/>
          <w:szCs w:val="32"/>
        </w:rPr>
      </w:pPr>
      <w:bookmarkStart w:id="12" w:name="_Toc241851704"/>
      <w:r>
        <w:br w:type="page"/>
      </w:r>
    </w:p>
    <w:p w14:paraId="319C0154" w14:textId="70ADD69B" w:rsidR="00F50A8E" w:rsidRDefault="00000000">
      <w:pPr>
        <w:pStyle w:val="Heading1"/>
      </w:pPr>
      <w:r>
        <w:lastRenderedPageBreak/>
        <w:t>7. Time-Based Delay Patterns</w:t>
      </w:r>
      <w:bookmarkEnd w:id="12"/>
    </w:p>
    <w:p w14:paraId="48EBB3CE" w14:textId="77777777" w:rsidR="00F50A8E" w:rsidRDefault="00000000">
      <w:pPr>
        <w:spacing w:after="120" w:line="300" w:lineRule="auto"/>
      </w:pPr>
      <w:r>
        <w:rPr>
          <w:color w:val="222222"/>
        </w:rPr>
        <w:t xml:space="preserve">Three temporal dimensions were </w:t>
      </w:r>
      <w:proofErr w:type="spellStart"/>
      <w:r>
        <w:rPr>
          <w:color w:val="222222"/>
        </w:rPr>
        <w:t>analyzed</w:t>
      </w:r>
      <w:proofErr w:type="spellEnd"/>
      <w:r>
        <w:rPr>
          <w:color w:val="222222"/>
        </w:rPr>
        <w:t>: month of year, day of week and hour of day. While delay rates are relatively stable across all dimensions (roughly 52–57%), specific peaks highlight opportunities for targeted capacity planning.</w:t>
      </w:r>
    </w:p>
    <w:p w14:paraId="155DB9D5" w14:textId="77777777" w:rsidR="00F50A8E" w:rsidRDefault="00000000">
      <w:pPr>
        <w:keepNext/>
        <w:spacing w:before="120" w:after="60"/>
        <w:jc w:val="center"/>
      </w:pPr>
      <w:r>
        <w:rPr>
          <w:noProof/>
        </w:rPr>
        <w:drawing>
          <wp:inline distT="0" distB="0" distL="0" distR="0" wp14:anchorId="22D455F2" wp14:editId="46F1FA7B">
            <wp:extent cx="5591175" cy="1838325"/>
            <wp:effectExtent l="0" t="0" r="0" b="0"/>
            <wp:docPr id="1863458464" name="05_time_patterns.png" descr="Figure 5. Delay % by month, day of week and hour of day." title="Figure 5. Delay % by month, day of week and hour of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91175" cy="1838325"/>
                    </a:xfrm>
                    <a:prstGeom prst="rect">
                      <a:avLst/>
                    </a:prstGeom>
                  </pic:spPr>
                </pic:pic>
              </a:graphicData>
            </a:graphic>
          </wp:inline>
        </w:drawing>
      </w:r>
    </w:p>
    <w:p w14:paraId="47AEEB9B" w14:textId="77777777" w:rsidR="00F50A8E" w:rsidRDefault="00000000">
      <w:pPr>
        <w:spacing w:after="200"/>
        <w:jc w:val="center"/>
      </w:pPr>
      <w:r>
        <w:rPr>
          <w:i/>
          <w:iCs/>
          <w:color w:val="5B6577"/>
          <w:sz w:val="18"/>
          <w:szCs w:val="18"/>
        </w:rPr>
        <w:t>Figure 5. Delay % by month, day of week and hour of day.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F50A8E" w14:paraId="491AC727" w14:textId="77777777">
        <w:tblPrEx>
          <w:tblCellMar>
            <w:top w:w="0" w:type="dxa"/>
            <w:bottom w:w="0" w:type="dxa"/>
          </w:tblCellMar>
        </w:tblPrEx>
        <w:trPr>
          <w:cantSplit/>
        </w:trPr>
        <w:tc>
          <w:tcPr>
            <w:tcW w:w="2700" w:type="dxa"/>
            <w:tcBorders>
              <w:top w:val="single" w:sz="4" w:space="0" w:color="C9D1DC"/>
              <w:left w:val="single" w:sz="24" w:space="0" w:color="2A9D8F"/>
              <w:bottom w:val="single" w:sz="4" w:space="0" w:color="C9D1DC"/>
              <w:right w:val="single" w:sz="4" w:space="0" w:color="C9D1DC"/>
            </w:tcBorders>
            <w:shd w:val="clear" w:color="auto" w:fill="F2F5F9"/>
            <w:tcMar>
              <w:top w:w="100" w:type="dxa"/>
              <w:left w:w="140" w:type="dxa"/>
              <w:bottom w:w="100" w:type="dxa"/>
              <w:right w:w="100" w:type="dxa"/>
            </w:tcMar>
            <w:vAlign w:val="center"/>
          </w:tcPr>
          <w:p w14:paraId="1C91813D" w14:textId="77777777" w:rsidR="00F50A8E" w:rsidRDefault="00000000">
            <w:r>
              <w:rPr>
                <w:b/>
                <w:bCs/>
                <w:sz w:val="19"/>
                <w:szCs w:val="19"/>
              </w:rPr>
              <w:t>Peak Delay Months: Aug &amp; Sep (55.4%) and Dec (55.2%)</w:t>
            </w:r>
          </w:p>
        </w:tc>
        <w:tc>
          <w:tcPr>
            <w:tcW w:w="6938" w:type="dxa"/>
            <w:tcBorders>
              <w:top w:val="single" w:sz="4" w:space="0" w:color="C9D1DC"/>
              <w:left w:val="single" w:sz="4" w:space="0" w:color="C9D1DC"/>
              <w:bottom w:val="single" w:sz="4" w:space="0" w:color="C9D1DC"/>
              <w:right w:val="single" w:sz="4" w:space="0" w:color="C9D1DC"/>
            </w:tcBorders>
            <w:shd w:val="clear" w:color="auto" w:fill="F2F5F9"/>
            <w:tcMar>
              <w:top w:w="100" w:type="dxa"/>
              <w:left w:w="140" w:type="dxa"/>
              <w:bottom w:w="100" w:type="dxa"/>
              <w:right w:w="140" w:type="dxa"/>
            </w:tcMar>
            <w:vAlign w:val="center"/>
          </w:tcPr>
          <w:p w14:paraId="1517B22B" w14:textId="77777777" w:rsidR="00F50A8E" w:rsidRDefault="00000000">
            <w:r>
              <w:rPr>
                <w:sz w:val="19"/>
                <w:szCs w:val="19"/>
              </w:rPr>
              <w:t>August and September are the highest months, with December close behind. July is a notable low point (about 53.7%), confirming that seasonal variation is plannable.</w:t>
            </w:r>
          </w:p>
        </w:tc>
      </w:tr>
      <w:tr w:rsidR="00F50A8E" w14:paraId="35809999" w14:textId="77777777">
        <w:tblPrEx>
          <w:tblCellMar>
            <w:top w:w="0" w:type="dxa"/>
            <w:bottom w:w="0" w:type="dxa"/>
          </w:tblCellMar>
        </w:tblPrEx>
        <w:trPr>
          <w:cantSplit/>
        </w:trPr>
        <w:tc>
          <w:tcPr>
            <w:tcW w:w="2700" w:type="dxa"/>
            <w:tcBorders>
              <w:top w:val="single" w:sz="4" w:space="0" w:color="C9D1DC"/>
              <w:left w:val="single" w:sz="24" w:space="0" w:color="2A9D8F"/>
              <w:bottom w:val="single" w:sz="4" w:space="0" w:color="C9D1DC"/>
              <w:right w:val="single" w:sz="4" w:space="0" w:color="C9D1DC"/>
            </w:tcBorders>
            <w:shd w:val="clear" w:color="auto" w:fill="F2F5F9"/>
            <w:tcMar>
              <w:top w:w="100" w:type="dxa"/>
              <w:left w:w="140" w:type="dxa"/>
              <w:bottom w:w="100" w:type="dxa"/>
              <w:right w:w="100" w:type="dxa"/>
            </w:tcMar>
            <w:vAlign w:val="center"/>
          </w:tcPr>
          <w:p w14:paraId="23571177" w14:textId="77777777" w:rsidR="00F50A8E" w:rsidRDefault="00000000">
            <w:r>
              <w:rPr>
                <w:b/>
                <w:bCs/>
                <w:sz w:val="19"/>
                <w:szCs w:val="19"/>
              </w:rPr>
              <w:t>Day-of-Week Variance is Minimal</w:t>
            </w:r>
          </w:p>
        </w:tc>
        <w:tc>
          <w:tcPr>
            <w:tcW w:w="6938" w:type="dxa"/>
            <w:tcBorders>
              <w:top w:val="single" w:sz="4" w:space="0" w:color="C9D1DC"/>
              <w:left w:val="single" w:sz="4" w:space="0" w:color="C9D1DC"/>
              <w:bottom w:val="single" w:sz="4" w:space="0" w:color="C9D1DC"/>
              <w:right w:val="single" w:sz="4" w:space="0" w:color="C9D1DC"/>
            </w:tcBorders>
            <w:shd w:val="clear" w:color="auto" w:fill="F2F5F9"/>
            <w:tcMar>
              <w:top w:w="100" w:type="dxa"/>
              <w:left w:w="140" w:type="dxa"/>
              <w:bottom w:w="100" w:type="dxa"/>
              <w:right w:w="140" w:type="dxa"/>
            </w:tcMar>
            <w:vAlign w:val="center"/>
          </w:tcPr>
          <w:p w14:paraId="5E45C417" w14:textId="77777777" w:rsidR="00F50A8E" w:rsidRDefault="00000000">
            <w:r>
              <w:rPr>
                <w:sz w:val="19"/>
                <w:szCs w:val="19"/>
              </w:rPr>
              <w:t>Monday (55.5%) and Sunday (55.2%) are the peak days, but the spread across the week is less than 1 percentage point. Day of week is not a meaningful lever for intervention.</w:t>
            </w:r>
          </w:p>
        </w:tc>
      </w:tr>
      <w:tr w:rsidR="00F50A8E" w14:paraId="251B0151" w14:textId="77777777">
        <w:tblPrEx>
          <w:tblCellMar>
            <w:top w:w="0" w:type="dxa"/>
            <w:bottom w:w="0" w:type="dxa"/>
          </w:tblCellMar>
        </w:tblPrEx>
        <w:trPr>
          <w:cantSplit/>
        </w:trPr>
        <w:tc>
          <w:tcPr>
            <w:tcW w:w="2700" w:type="dxa"/>
            <w:tcBorders>
              <w:top w:val="single" w:sz="4" w:space="0" w:color="C9D1DC"/>
              <w:left w:val="single" w:sz="24" w:space="0" w:color="2A9D8F"/>
              <w:bottom w:val="single" w:sz="4" w:space="0" w:color="C9D1DC"/>
              <w:right w:val="single" w:sz="4" w:space="0" w:color="C9D1DC"/>
            </w:tcBorders>
            <w:shd w:val="clear" w:color="auto" w:fill="F2F5F9"/>
            <w:tcMar>
              <w:top w:w="100" w:type="dxa"/>
              <w:left w:w="140" w:type="dxa"/>
              <w:bottom w:w="100" w:type="dxa"/>
              <w:right w:w="100" w:type="dxa"/>
            </w:tcMar>
            <w:vAlign w:val="center"/>
          </w:tcPr>
          <w:p w14:paraId="219143FF" w14:textId="77777777" w:rsidR="00F50A8E" w:rsidRDefault="00000000">
            <w:r>
              <w:rPr>
                <w:b/>
                <w:bCs/>
                <w:sz w:val="19"/>
                <w:szCs w:val="19"/>
              </w:rPr>
              <w:t>Intra-Day Peaks: Hour 20 (57.1%), Hour 12 (56.7%), Hour 14 (56.0%)</w:t>
            </w:r>
          </w:p>
        </w:tc>
        <w:tc>
          <w:tcPr>
            <w:tcW w:w="6938" w:type="dxa"/>
            <w:tcBorders>
              <w:top w:val="single" w:sz="4" w:space="0" w:color="C9D1DC"/>
              <w:left w:val="single" w:sz="4" w:space="0" w:color="C9D1DC"/>
              <w:bottom w:val="single" w:sz="4" w:space="0" w:color="C9D1DC"/>
              <w:right w:val="single" w:sz="4" w:space="0" w:color="C9D1DC"/>
            </w:tcBorders>
            <w:shd w:val="clear" w:color="auto" w:fill="F2F5F9"/>
            <w:tcMar>
              <w:top w:w="100" w:type="dxa"/>
              <w:left w:w="140" w:type="dxa"/>
              <w:bottom w:w="100" w:type="dxa"/>
              <w:right w:w="140" w:type="dxa"/>
            </w:tcMar>
            <w:vAlign w:val="center"/>
          </w:tcPr>
          <w:p w14:paraId="5CEA5711" w14:textId="77777777" w:rsidR="00F50A8E" w:rsidRDefault="00000000">
            <w:r>
              <w:rPr>
                <w:sz w:val="19"/>
                <w:szCs w:val="19"/>
              </w:rPr>
              <w:t>Evening orders at hour 20 have the highest delay rate, possibly reflecting processing cut-off windows. Midday peaks may point to bottlenecks during high-volume hours.</w:t>
            </w:r>
          </w:p>
        </w:tc>
      </w:tr>
    </w:tbl>
    <w:p w14:paraId="180E479C" w14:textId="77777777" w:rsidR="00F50A8E" w:rsidRDefault="00000000">
      <w:pPr>
        <w:pStyle w:val="Heading1"/>
      </w:pPr>
      <w:bookmarkStart w:id="13" w:name="_Toc241851705"/>
      <w:r>
        <w:t>8. Machine Learning Model Results</w:t>
      </w:r>
      <w:bookmarkEnd w:id="13"/>
    </w:p>
    <w:p w14:paraId="76DDF493" w14:textId="77777777" w:rsidR="00F50A8E" w:rsidRDefault="00000000">
      <w:pPr>
        <w:spacing w:after="120" w:line="300" w:lineRule="auto"/>
      </w:pPr>
      <w:r>
        <w:rPr>
          <w:color w:val="222222"/>
        </w:rPr>
        <w:t>A supervised classification model was built to predict whether an individual order will be delivered late (</w:t>
      </w:r>
      <w:proofErr w:type="spellStart"/>
      <w:r>
        <w:rPr>
          <w:color w:val="222222"/>
        </w:rPr>
        <w:t>Late_delivery_risk</w:t>
      </w:r>
      <w:proofErr w:type="spellEnd"/>
      <w:r>
        <w:rPr>
          <w:color w:val="222222"/>
        </w:rPr>
        <w:t xml:space="preserve"> = 1). Inputs were Type, scheduled shipment days, Category Name, Customer Segment, Department Name, Order Region, Shipping Mode, order month and order hour. The pipeline used frequency encoding of categorical variables, a stratified train/test split (138,212 / 34,553), SMOTE oversampling to address class imbalance, and a Random Forest classifier.</w:t>
      </w:r>
    </w:p>
    <w:p w14:paraId="3BFCA17D" w14:textId="77777777" w:rsidR="00F50A8E" w:rsidRDefault="00000000">
      <w:pPr>
        <w:pStyle w:val="Heading2"/>
      </w:pPr>
      <w:bookmarkStart w:id="14" w:name="_Toc241851706"/>
      <w:r>
        <w:t>Class Imbalance Handling (SMOTE)</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119"/>
        <w:gridCol w:w="3119"/>
      </w:tblGrid>
      <w:tr w:rsidR="00F50A8E" w14:paraId="0CB6326E" w14:textId="77777777">
        <w:tblPrEx>
          <w:tblCellMar>
            <w:top w:w="0" w:type="dxa"/>
            <w:bottom w:w="0" w:type="dxa"/>
          </w:tblCellMar>
        </w:tblPrEx>
        <w:trPr>
          <w:tblHeader/>
        </w:trPr>
        <w:tc>
          <w:tcPr>
            <w:tcW w:w="34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65CC1C70" w14:textId="77777777" w:rsidR="00F50A8E" w:rsidRDefault="00000000">
            <w:r>
              <w:rPr>
                <w:b/>
                <w:bCs/>
                <w:color w:val="FFFFFF"/>
                <w:sz w:val="19"/>
                <w:szCs w:val="19"/>
              </w:rPr>
              <w:t>Split</w:t>
            </w:r>
          </w:p>
        </w:tc>
        <w:tc>
          <w:tcPr>
            <w:tcW w:w="3119"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626BE155" w14:textId="77777777" w:rsidR="00F50A8E" w:rsidRDefault="00000000">
            <w:pPr>
              <w:jc w:val="right"/>
            </w:pPr>
            <w:r>
              <w:rPr>
                <w:b/>
                <w:bCs/>
                <w:color w:val="FFFFFF"/>
                <w:sz w:val="19"/>
                <w:szCs w:val="19"/>
              </w:rPr>
              <w:t>Class 0 (On-time)</w:t>
            </w:r>
          </w:p>
        </w:tc>
        <w:tc>
          <w:tcPr>
            <w:tcW w:w="3119"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5FB06241" w14:textId="77777777" w:rsidR="00F50A8E" w:rsidRDefault="00000000">
            <w:pPr>
              <w:jc w:val="right"/>
            </w:pPr>
            <w:r>
              <w:rPr>
                <w:b/>
                <w:bCs/>
                <w:color w:val="FFFFFF"/>
                <w:sz w:val="19"/>
                <w:szCs w:val="19"/>
              </w:rPr>
              <w:t>Class 1 (Late)</w:t>
            </w:r>
          </w:p>
        </w:tc>
      </w:tr>
      <w:tr w:rsidR="00F50A8E" w14:paraId="6DA34A32" w14:textId="77777777">
        <w:tblPrEx>
          <w:tblCellMar>
            <w:top w:w="0" w:type="dxa"/>
            <w:bottom w:w="0" w:type="dxa"/>
          </w:tblCellMar>
        </w:tblPrEx>
        <w:trPr>
          <w:cantSplit/>
        </w:trPr>
        <w:tc>
          <w:tcPr>
            <w:tcW w:w="34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44B95F22" w14:textId="77777777" w:rsidR="00F50A8E" w:rsidRDefault="00000000">
            <w:r>
              <w:rPr>
                <w:color w:val="222222"/>
                <w:sz w:val="19"/>
                <w:szCs w:val="19"/>
              </w:rPr>
              <w:t>Before SMOTE (train)</w:t>
            </w:r>
          </w:p>
        </w:tc>
        <w:tc>
          <w:tcPr>
            <w:tcW w:w="3119"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16836589" w14:textId="77777777" w:rsidR="00F50A8E" w:rsidRDefault="00000000">
            <w:pPr>
              <w:jc w:val="right"/>
            </w:pPr>
            <w:r>
              <w:rPr>
                <w:color w:val="222222"/>
                <w:sz w:val="19"/>
                <w:szCs w:val="19"/>
              </w:rPr>
              <w:t>59,030</w:t>
            </w:r>
          </w:p>
        </w:tc>
        <w:tc>
          <w:tcPr>
            <w:tcW w:w="3119"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49DAE580" w14:textId="77777777" w:rsidR="00F50A8E" w:rsidRDefault="00000000">
            <w:pPr>
              <w:jc w:val="right"/>
            </w:pPr>
            <w:r>
              <w:rPr>
                <w:color w:val="222222"/>
                <w:sz w:val="19"/>
                <w:szCs w:val="19"/>
              </w:rPr>
              <w:t>79,182</w:t>
            </w:r>
          </w:p>
        </w:tc>
      </w:tr>
      <w:tr w:rsidR="00F50A8E" w14:paraId="0EABD3A5" w14:textId="77777777">
        <w:tblPrEx>
          <w:tblCellMar>
            <w:top w:w="0" w:type="dxa"/>
            <w:bottom w:w="0" w:type="dxa"/>
          </w:tblCellMar>
        </w:tblPrEx>
        <w:trPr>
          <w:cantSplit/>
        </w:trPr>
        <w:tc>
          <w:tcPr>
            <w:tcW w:w="34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2C62532E" w14:textId="77777777" w:rsidR="00F50A8E" w:rsidRDefault="00000000">
            <w:r>
              <w:rPr>
                <w:color w:val="222222"/>
                <w:sz w:val="19"/>
                <w:szCs w:val="19"/>
              </w:rPr>
              <w:t>After SMOTE (train)</w:t>
            </w:r>
          </w:p>
        </w:tc>
        <w:tc>
          <w:tcPr>
            <w:tcW w:w="3119"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531DDEA8" w14:textId="77777777" w:rsidR="00F50A8E" w:rsidRDefault="00000000">
            <w:pPr>
              <w:jc w:val="right"/>
            </w:pPr>
            <w:r>
              <w:rPr>
                <w:color w:val="222222"/>
                <w:sz w:val="19"/>
                <w:szCs w:val="19"/>
              </w:rPr>
              <w:t>79,182</w:t>
            </w:r>
          </w:p>
        </w:tc>
        <w:tc>
          <w:tcPr>
            <w:tcW w:w="3119"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3BF3AFCB" w14:textId="77777777" w:rsidR="00F50A8E" w:rsidRDefault="00000000">
            <w:pPr>
              <w:jc w:val="right"/>
            </w:pPr>
            <w:r>
              <w:rPr>
                <w:color w:val="222222"/>
                <w:sz w:val="19"/>
                <w:szCs w:val="19"/>
              </w:rPr>
              <w:t>79,182</w:t>
            </w:r>
          </w:p>
        </w:tc>
      </w:tr>
    </w:tbl>
    <w:p w14:paraId="70E30CB2" w14:textId="77777777" w:rsidR="00F50A8E" w:rsidRDefault="00F50A8E">
      <w:pPr>
        <w:spacing w:after="100"/>
      </w:pPr>
    </w:p>
    <w:p w14:paraId="622BFFCF" w14:textId="77777777" w:rsidR="00017DB6" w:rsidRDefault="00017DB6">
      <w:pPr>
        <w:rPr>
          <w:b/>
          <w:bCs/>
          <w:color w:val="2A9D8F"/>
          <w:sz w:val="25"/>
          <w:szCs w:val="25"/>
        </w:rPr>
      </w:pPr>
      <w:bookmarkStart w:id="15" w:name="_Toc241851707"/>
      <w:r>
        <w:br w:type="page"/>
      </w:r>
    </w:p>
    <w:p w14:paraId="516B0BDD" w14:textId="51E1E571" w:rsidR="00F50A8E" w:rsidRDefault="00000000">
      <w:pPr>
        <w:pStyle w:val="Heading2"/>
      </w:pPr>
      <w:r>
        <w:lastRenderedPageBreak/>
        <w:t>Random Forest Classifier – Test Set Performance (34,553 records)</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438"/>
      </w:tblGrid>
      <w:tr w:rsidR="00F50A8E" w14:paraId="13785E07" w14:textId="77777777">
        <w:tblPrEx>
          <w:tblCellMar>
            <w:top w:w="0" w:type="dxa"/>
            <w:bottom w:w="0" w:type="dxa"/>
          </w:tblCellMar>
        </w:tblPrEx>
        <w:trPr>
          <w:tblHeader/>
        </w:trPr>
        <w:tc>
          <w:tcPr>
            <w:tcW w:w="28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12B2F93A" w14:textId="77777777" w:rsidR="00F50A8E" w:rsidRDefault="00000000">
            <w:r>
              <w:rPr>
                <w:b/>
                <w:bCs/>
                <w:color w:val="FFFFFF"/>
                <w:sz w:val="19"/>
                <w:szCs w:val="19"/>
              </w:rPr>
              <w:t>Metric</w:t>
            </w:r>
          </w:p>
        </w:tc>
        <w:tc>
          <w:tcPr>
            <w:tcW w:w="22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770FD4AC" w14:textId="77777777" w:rsidR="00F50A8E" w:rsidRDefault="00000000">
            <w:pPr>
              <w:jc w:val="right"/>
            </w:pPr>
            <w:r>
              <w:rPr>
                <w:b/>
                <w:bCs/>
                <w:color w:val="FFFFFF"/>
                <w:sz w:val="19"/>
                <w:szCs w:val="19"/>
              </w:rPr>
              <w:t>Class 0 (On-time)</w:t>
            </w:r>
          </w:p>
        </w:tc>
        <w:tc>
          <w:tcPr>
            <w:tcW w:w="22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355EC9F0" w14:textId="77777777" w:rsidR="00F50A8E" w:rsidRDefault="00000000">
            <w:pPr>
              <w:jc w:val="right"/>
            </w:pPr>
            <w:r>
              <w:rPr>
                <w:b/>
                <w:bCs/>
                <w:color w:val="FFFFFF"/>
                <w:sz w:val="19"/>
                <w:szCs w:val="19"/>
              </w:rPr>
              <w:t>Class 1 (Late)</w:t>
            </w:r>
          </w:p>
        </w:tc>
        <w:tc>
          <w:tcPr>
            <w:tcW w:w="2438"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1075D4FB" w14:textId="77777777" w:rsidR="00F50A8E" w:rsidRDefault="00000000">
            <w:pPr>
              <w:jc w:val="right"/>
            </w:pPr>
            <w:r>
              <w:rPr>
                <w:b/>
                <w:bCs/>
                <w:color w:val="FFFFFF"/>
                <w:sz w:val="19"/>
                <w:szCs w:val="19"/>
              </w:rPr>
              <w:t>Overall (Weighted)</w:t>
            </w:r>
          </w:p>
        </w:tc>
      </w:tr>
      <w:tr w:rsidR="00F50A8E" w14:paraId="0FBB1CC5" w14:textId="77777777">
        <w:tblPrEx>
          <w:tblCellMar>
            <w:top w:w="0" w:type="dxa"/>
            <w:bottom w:w="0" w:type="dxa"/>
          </w:tblCellMar>
        </w:tblPrEx>
        <w:trPr>
          <w:cantSplit/>
        </w:trPr>
        <w:tc>
          <w:tcPr>
            <w:tcW w:w="28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0BBBF8E7" w14:textId="77777777" w:rsidR="00F50A8E" w:rsidRDefault="00000000">
            <w:r>
              <w:rPr>
                <w:color w:val="222222"/>
                <w:sz w:val="19"/>
                <w:szCs w:val="19"/>
              </w:rPr>
              <w:t>Precision</w:t>
            </w:r>
          </w:p>
        </w:tc>
        <w:tc>
          <w:tcPr>
            <w:tcW w:w="22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45487EE6" w14:textId="77777777" w:rsidR="00F50A8E" w:rsidRDefault="00000000">
            <w:pPr>
              <w:jc w:val="right"/>
            </w:pPr>
            <w:r>
              <w:rPr>
                <w:color w:val="222222"/>
                <w:sz w:val="19"/>
                <w:szCs w:val="19"/>
              </w:rPr>
              <w:t>0.68</w:t>
            </w:r>
          </w:p>
        </w:tc>
        <w:tc>
          <w:tcPr>
            <w:tcW w:w="22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09391440" w14:textId="77777777" w:rsidR="00F50A8E" w:rsidRDefault="00000000">
            <w:pPr>
              <w:jc w:val="right"/>
            </w:pPr>
            <w:r>
              <w:rPr>
                <w:color w:val="222222"/>
                <w:sz w:val="19"/>
                <w:szCs w:val="19"/>
              </w:rPr>
              <w:t>0.79</w:t>
            </w:r>
          </w:p>
        </w:tc>
        <w:tc>
          <w:tcPr>
            <w:tcW w:w="24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6DCA94CB" w14:textId="77777777" w:rsidR="00F50A8E" w:rsidRDefault="00000000">
            <w:pPr>
              <w:jc w:val="right"/>
            </w:pPr>
            <w:r>
              <w:rPr>
                <w:b/>
                <w:bCs/>
                <w:color w:val="2A9D8F"/>
                <w:sz w:val="19"/>
                <w:szCs w:val="19"/>
              </w:rPr>
              <w:t>0.74</w:t>
            </w:r>
          </w:p>
        </w:tc>
      </w:tr>
      <w:tr w:rsidR="00F50A8E" w14:paraId="4F65BC4A" w14:textId="77777777">
        <w:tblPrEx>
          <w:tblCellMar>
            <w:top w:w="0" w:type="dxa"/>
            <w:bottom w:w="0" w:type="dxa"/>
          </w:tblCellMar>
        </w:tblPrEx>
        <w:trPr>
          <w:cantSplit/>
        </w:trPr>
        <w:tc>
          <w:tcPr>
            <w:tcW w:w="28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184B7022" w14:textId="77777777" w:rsidR="00F50A8E" w:rsidRDefault="00000000">
            <w:r>
              <w:rPr>
                <w:color w:val="222222"/>
                <w:sz w:val="19"/>
                <w:szCs w:val="19"/>
              </w:rPr>
              <w:t>Recall</w:t>
            </w:r>
          </w:p>
        </w:tc>
        <w:tc>
          <w:tcPr>
            <w:tcW w:w="22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21199588" w14:textId="77777777" w:rsidR="00F50A8E" w:rsidRDefault="00000000">
            <w:pPr>
              <w:jc w:val="right"/>
            </w:pPr>
            <w:r>
              <w:rPr>
                <w:color w:val="222222"/>
                <w:sz w:val="19"/>
                <w:szCs w:val="19"/>
              </w:rPr>
              <w:t>0.73</w:t>
            </w:r>
          </w:p>
        </w:tc>
        <w:tc>
          <w:tcPr>
            <w:tcW w:w="22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6D8A3954" w14:textId="77777777" w:rsidR="00F50A8E" w:rsidRDefault="00000000">
            <w:pPr>
              <w:jc w:val="right"/>
            </w:pPr>
            <w:r>
              <w:rPr>
                <w:color w:val="222222"/>
                <w:sz w:val="19"/>
                <w:szCs w:val="19"/>
              </w:rPr>
              <w:t>0.75</w:t>
            </w:r>
          </w:p>
        </w:tc>
        <w:tc>
          <w:tcPr>
            <w:tcW w:w="24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6AC62AD2" w14:textId="77777777" w:rsidR="00F50A8E" w:rsidRDefault="00000000">
            <w:pPr>
              <w:jc w:val="right"/>
            </w:pPr>
            <w:r>
              <w:rPr>
                <w:b/>
                <w:bCs/>
                <w:color w:val="2A9D8F"/>
                <w:sz w:val="19"/>
                <w:szCs w:val="19"/>
              </w:rPr>
              <w:t>0.74</w:t>
            </w:r>
          </w:p>
        </w:tc>
      </w:tr>
      <w:tr w:rsidR="00F50A8E" w14:paraId="235940C7" w14:textId="77777777">
        <w:tblPrEx>
          <w:tblCellMar>
            <w:top w:w="0" w:type="dxa"/>
            <w:bottom w:w="0" w:type="dxa"/>
          </w:tblCellMar>
        </w:tblPrEx>
        <w:trPr>
          <w:cantSplit/>
        </w:trPr>
        <w:tc>
          <w:tcPr>
            <w:tcW w:w="28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0CF5426B" w14:textId="77777777" w:rsidR="00F50A8E" w:rsidRDefault="00000000">
            <w:r>
              <w:rPr>
                <w:color w:val="222222"/>
                <w:sz w:val="19"/>
                <w:szCs w:val="19"/>
              </w:rPr>
              <w:t>F1-score</w:t>
            </w:r>
          </w:p>
        </w:tc>
        <w:tc>
          <w:tcPr>
            <w:tcW w:w="22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3801CD0D" w14:textId="77777777" w:rsidR="00F50A8E" w:rsidRDefault="00000000">
            <w:pPr>
              <w:jc w:val="right"/>
            </w:pPr>
            <w:r>
              <w:rPr>
                <w:color w:val="222222"/>
                <w:sz w:val="19"/>
                <w:szCs w:val="19"/>
              </w:rPr>
              <w:t>0.70</w:t>
            </w:r>
          </w:p>
        </w:tc>
        <w:tc>
          <w:tcPr>
            <w:tcW w:w="22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38243ED2" w14:textId="77777777" w:rsidR="00F50A8E" w:rsidRDefault="00000000">
            <w:pPr>
              <w:jc w:val="right"/>
            </w:pPr>
            <w:r>
              <w:rPr>
                <w:color w:val="222222"/>
                <w:sz w:val="19"/>
                <w:szCs w:val="19"/>
              </w:rPr>
              <w:t>0.77</w:t>
            </w:r>
          </w:p>
        </w:tc>
        <w:tc>
          <w:tcPr>
            <w:tcW w:w="24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618AC29F" w14:textId="77777777" w:rsidR="00F50A8E" w:rsidRDefault="00000000">
            <w:pPr>
              <w:jc w:val="right"/>
            </w:pPr>
            <w:r>
              <w:rPr>
                <w:b/>
                <w:bCs/>
                <w:color w:val="2A9D8F"/>
                <w:sz w:val="19"/>
                <w:szCs w:val="19"/>
              </w:rPr>
              <w:t>0.74</w:t>
            </w:r>
          </w:p>
        </w:tc>
      </w:tr>
      <w:tr w:rsidR="00F50A8E" w14:paraId="1ADE8724" w14:textId="77777777">
        <w:tblPrEx>
          <w:tblCellMar>
            <w:top w:w="0" w:type="dxa"/>
            <w:bottom w:w="0" w:type="dxa"/>
          </w:tblCellMar>
        </w:tblPrEx>
        <w:trPr>
          <w:cantSplit/>
        </w:trPr>
        <w:tc>
          <w:tcPr>
            <w:tcW w:w="28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3216E52A" w14:textId="77777777" w:rsidR="00F50A8E" w:rsidRDefault="00000000">
            <w:r>
              <w:rPr>
                <w:color w:val="222222"/>
                <w:sz w:val="19"/>
                <w:szCs w:val="19"/>
              </w:rPr>
              <w:t>Support</w:t>
            </w:r>
          </w:p>
        </w:tc>
        <w:tc>
          <w:tcPr>
            <w:tcW w:w="22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3362520D" w14:textId="77777777" w:rsidR="00F50A8E" w:rsidRDefault="00000000">
            <w:pPr>
              <w:jc w:val="right"/>
            </w:pPr>
            <w:r>
              <w:rPr>
                <w:color w:val="222222"/>
                <w:sz w:val="19"/>
                <w:szCs w:val="19"/>
              </w:rPr>
              <w:t>14,758</w:t>
            </w:r>
          </w:p>
        </w:tc>
        <w:tc>
          <w:tcPr>
            <w:tcW w:w="22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5DF295BC" w14:textId="77777777" w:rsidR="00F50A8E" w:rsidRDefault="00000000">
            <w:pPr>
              <w:jc w:val="right"/>
            </w:pPr>
            <w:r>
              <w:rPr>
                <w:color w:val="222222"/>
                <w:sz w:val="19"/>
                <w:szCs w:val="19"/>
              </w:rPr>
              <w:t>19,795</w:t>
            </w:r>
          </w:p>
        </w:tc>
        <w:tc>
          <w:tcPr>
            <w:tcW w:w="24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3E674568" w14:textId="77777777" w:rsidR="00F50A8E" w:rsidRDefault="00000000">
            <w:pPr>
              <w:jc w:val="right"/>
            </w:pPr>
            <w:r>
              <w:rPr>
                <w:b/>
                <w:bCs/>
                <w:color w:val="2A9D8F"/>
                <w:sz w:val="19"/>
                <w:szCs w:val="19"/>
              </w:rPr>
              <w:t>34,553</w:t>
            </w:r>
          </w:p>
        </w:tc>
      </w:tr>
    </w:tbl>
    <w:p w14:paraId="65F33A2E" w14:textId="77777777" w:rsidR="00F50A8E" w:rsidRDefault="00F50A8E">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938"/>
      </w:tblGrid>
      <w:tr w:rsidR="00F50A8E" w14:paraId="21C47A9C" w14:textId="77777777">
        <w:tblPrEx>
          <w:tblCellMar>
            <w:top w:w="0" w:type="dxa"/>
            <w:bottom w:w="0" w:type="dxa"/>
          </w:tblCellMar>
        </w:tblPrEx>
        <w:trPr>
          <w:cantSplit/>
        </w:trPr>
        <w:tc>
          <w:tcPr>
            <w:tcW w:w="2700" w:type="dxa"/>
            <w:tcBorders>
              <w:top w:val="single" w:sz="4" w:space="0" w:color="C9D1DC"/>
              <w:left w:val="single" w:sz="24" w:space="0" w:color="2A9D8F"/>
              <w:bottom w:val="single" w:sz="4" w:space="0" w:color="C9D1DC"/>
              <w:right w:val="single" w:sz="4" w:space="0" w:color="C9D1DC"/>
            </w:tcBorders>
            <w:shd w:val="clear" w:color="auto" w:fill="F2F5F9"/>
            <w:tcMar>
              <w:top w:w="100" w:type="dxa"/>
              <w:left w:w="140" w:type="dxa"/>
              <w:bottom w:w="100" w:type="dxa"/>
              <w:right w:w="100" w:type="dxa"/>
            </w:tcMar>
            <w:vAlign w:val="center"/>
          </w:tcPr>
          <w:p w14:paraId="3F0BE934" w14:textId="77777777" w:rsidR="00F50A8E" w:rsidRDefault="00000000">
            <w:r>
              <w:rPr>
                <w:b/>
                <w:bCs/>
                <w:sz w:val="19"/>
                <w:szCs w:val="19"/>
              </w:rPr>
              <w:t>74% Overall Accuracy</w:t>
            </w:r>
          </w:p>
        </w:tc>
        <w:tc>
          <w:tcPr>
            <w:tcW w:w="6938" w:type="dxa"/>
            <w:tcBorders>
              <w:top w:val="single" w:sz="4" w:space="0" w:color="C9D1DC"/>
              <w:left w:val="single" w:sz="4" w:space="0" w:color="C9D1DC"/>
              <w:bottom w:val="single" w:sz="4" w:space="0" w:color="C9D1DC"/>
              <w:right w:val="single" w:sz="4" w:space="0" w:color="C9D1DC"/>
            </w:tcBorders>
            <w:shd w:val="clear" w:color="auto" w:fill="F2F5F9"/>
            <w:tcMar>
              <w:top w:w="100" w:type="dxa"/>
              <w:left w:w="140" w:type="dxa"/>
              <w:bottom w:w="100" w:type="dxa"/>
              <w:right w:w="140" w:type="dxa"/>
            </w:tcMar>
            <w:vAlign w:val="center"/>
          </w:tcPr>
          <w:p w14:paraId="46FE3859" w14:textId="77777777" w:rsidR="00F50A8E" w:rsidRDefault="00000000">
            <w:r>
              <w:rPr>
                <w:sz w:val="19"/>
                <w:szCs w:val="19"/>
              </w:rPr>
              <w:t>The model correctly classifies nearly 3 in 4 orders, a useful foundation for an order-level late-delivery alert system.</w:t>
            </w:r>
          </w:p>
        </w:tc>
      </w:tr>
      <w:tr w:rsidR="00F50A8E" w14:paraId="00B58FC3" w14:textId="77777777">
        <w:tblPrEx>
          <w:tblCellMar>
            <w:top w:w="0" w:type="dxa"/>
            <w:bottom w:w="0" w:type="dxa"/>
          </w:tblCellMar>
        </w:tblPrEx>
        <w:trPr>
          <w:cantSplit/>
        </w:trPr>
        <w:tc>
          <w:tcPr>
            <w:tcW w:w="2700" w:type="dxa"/>
            <w:tcBorders>
              <w:top w:val="single" w:sz="4" w:space="0" w:color="C9D1DC"/>
              <w:left w:val="single" w:sz="24" w:space="0" w:color="2A9D8F"/>
              <w:bottom w:val="single" w:sz="4" w:space="0" w:color="C9D1DC"/>
              <w:right w:val="single" w:sz="4" w:space="0" w:color="C9D1DC"/>
            </w:tcBorders>
            <w:shd w:val="clear" w:color="auto" w:fill="F2F5F9"/>
            <w:tcMar>
              <w:top w:w="100" w:type="dxa"/>
              <w:left w:w="140" w:type="dxa"/>
              <w:bottom w:w="100" w:type="dxa"/>
              <w:right w:w="100" w:type="dxa"/>
            </w:tcMar>
            <w:vAlign w:val="center"/>
          </w:tcPr>
          <w:p w14:paraId="09A08911" w14:textId="77777777" w:rsidR="00F50A8E" w:rsidRDefault="00000000">
            <w:r>
              <w:rPr>
                <w:b/>
                <w:bCs/>
                <w:sz w:val="19"/>
                <w:szCs w:val="19"/>
              </w:rPr>
              <w:t>Higher Precision on Late Orders (0.79)</w:t>
            </w:r>
          </w:p>
        </w:tc>
        <w:tc>
          <w:tcPr>
            <w:tcW w:w="6938" w:type="dxa"/>
            <w:tcBorders>
              <w:top w:val="single" w:sz="4" w:space="0" w:color="C9D1DC"/>
              <w:left w:val="single" w:sz="4" w:space="0" w:color="C9D1DC"/>
              <w:bottom w:val="single" w:sz="4" w:space="0" w:color="C9D1DC"/>
              <w:right w:val="single" w:sz="4" w:space="0" w:color="C9D1DC"/>
            </w:tcBorders>
            <w:shd w:val="clear" w:color="auto" w:fill="F2F5F9"/>
            <w:tcMar>
              <w:top w:w="100" w:type="dxa"/>
              <w:left w:w="140" w:type="dxa"/>
              <w:bottom w:w="100" w:type="dxa"/>
              <w:right w:w="140" w:type="dxa"/>
            </w:tcMar>
            <w:vAlign w:val="center"/>
          </w:tcPr>
          <w:p w14:paraId="6EB71535" w14:textId="77777777" w:rsidR="00F50A8E" w:rsidRDefault="00000000">
            <w:r>
              <w:rPr>
                <w:sz w:val="19"/>
                <w:szCs w:val="19"/>
              </w:rPr>
              <w:t>When the model predicts an order will be late, it is correct about 79% of the time, which is enough to trigger targeted interventions without excessive false alarms.</w:t>
            </w:r>
          </w:p>
        </w:tc>
      </w:tr>
      <w:tr w:rsidR="00F50A8E" w14:paraId="5E1EADF0" w14:textId="77777777">
        <w:tblPrEx>
          <w:tblCellMar>
            <w:top w:w="0" w:type="dxa"/>
            <w:bottom w:w="0" w:type="dxa"/>
          </w:tblCellMar>
        </w:tblPrEx>
        <w:trPr>
          <w:cantSplit/>
        </w:trPr>
        <w:tc>
          <w:tcPr>
            <w:tcW w:w="2700" w:type="dxa"/>
            <w:tcBorders>
              <w:top w:val="single" w:sz="4" w:space="0" w:color="C9D1DC"/>
              <w:left w:val="single" w:sz="24" w:space="0" w:color="2A9D8F"/>
              <w:bottom w:val="single" w:sz="4" w:space="0" w:color="C9D1DC"/>
              <w:right w:val="single" w:sz="4" w:space="0" w:color="C9D1DC"/>
            </w:tcBorders>
            <w:shd w:val="clear" w:color="auto" w:fill="F2F5F9"/>
            <w:tcMar>
              <w:top w:w="100" w:type="dxa"/>
              <w:left w:w="140" w:type="dxa"/>
              <w:bottom w:w="100" w:type="dxa"/>
              <w:right w:w="100" w:type="dxa"/>
            </w:tcMar>
            <w:vAlign w:val="center"/>
          </w:tcPr>
          <w:p w14:paraId="5058E8E8" w14:textId="77777777" w:rsidR="00F50A8E" w:rsidRDefault="00000000">
            <w:r>
              <w:rPr>
                <w:b/>
                <w:bCs/>
                <w:sz w:val="19"/>
                <w:szCs w:val="19"/>
              </w:rPr>
              <w:t>Recall for Late Orders at 0.75</w:t>
            </w:r>
          </w:p>
        </w:tc>
        <w:tc>
          <w:tcPr>
            <w:tcW w:w="6938" w:type="dxa"/>
            <w:tcBorders>
              <w:top w:val="single" w:sz="4" w:space="0" w:color="C9D1DC"/>
              <w:left w:val="single" w:sz="4" w:space="0" w:color="C9D1DC"/>
              <w:bottom w:val="single" w:sz="4" w:space="0" w:color="C9D1DC"/>
              <w:right w:val="single" w:sz="4" w:space="0" w:color="C9D1DC"/>
            </w:tcBorders>
            <w:shd w:val="clear" w:color="auto" w:fill="F2F5F9"/>
            <w:tcMar>
              <w:top w:w="100" w:type="dxa"/>
              <w:left w:w="140" w:type="dxa"/>
              <w:bottom w:w="100" w:type="dxa"/>
              <w:right w:w="140" w:type="dxa"/>
            </w:tcMar>
            <w:vAlign w:val="center"/>
          </w:tcPr>
          <w:p w14:paraId="7DEBE78B" w14:textId="77777777" w:rsidR="00F50A8E" w:rsidRDefault="00000000">
            <w:r>
              <w:rPr>
                <w:sz w:val="19"/>
                <w:szCs w:val="19"/>
              </w:rPr>
              <w:t>The model captures 75% of actual late orders. The remaining 25% miss rate is acceptable for a first-generation alert system, with clear room for improvement.</w:t>
            </w:r>
          </w:p>
        </w:tc>
      </w:tr>
      <w:tr w:rsidR="00F50A8E" w14:paraId="65FA65D2" w14:textId="77777777">
        <w:tblPrEx>
          <w:tblCellMar>
            <w:top w:w="0" w:type="dxa"/>
            <w:bottom w:w="0" w:type="dxa"/>
          </w:tblCellMar>
        </w:tblPrEx>
        <w:trPr>
          <w:cantSplit/>
        </w:trPr>
        <w:tc>
          <w:tcPr>
            <w:tcW w:w="2700" w:type="dxa"/>
            <w:tcBorders>
              <w:top w:val="single" w:sz="4" w:space="0" w:color="C9D1DC"/>
              <w:left w:val="single" w:sz="24" w:space="0" w:color="2A9D8F"/>
              <w:bottom w:val="single" w:sz="4" w:space="0" w:color="C9D1DC"/>
              <w:right w:val="single" w:sz="4" w:space="0" w:color="C9D1DC"/>
            </w:tcBorders>
            <w:shd w:val="clear" w:color="auto" w:fill="F2F5F9"/>
            <w:tcMar>
              <w:top w:w="100" w:type="dxa"/>
              <w:left w:w="140" w:type="dxa"/>
              <w:bottom w:w="100" w:type="dxa"/>
              <w:right w:w="100" w:type="dxa"/>
            </w:tcMar>
            <w:vAlign w:val="center"/>
          </w:tcPr>
          <w:p w14:paraId="5A03C67F" w14:textId="77777777" w:rsidR="00F50A8E" w:rsidRDefault="00000000">
            <w:r>
              <w:rPr>
                <w:b/>
                <w:bCs/>
                <w:sz w:val="19"/>
                <w:szCs w:val="19"/>
              </w:rPr>
              <w:t>Class 0 Harder to Predict (Precision 0.68)</w:t>
            </w:r>
          </w:p>
        </w:tc>
        <w:tc>
          <w:tcPr>
            <w:tcW w:w="6938" w:type="dxa"/>
            <w:tcBorders>
              <w:top w:val="single" w:sz="4" w:space="0" w:color="C9D1DC"/>
              <w:left w:val="single" w:sz="4" w:space="0" w:color="C9D1DC"/>
              <w:bottom w:val="single" w:sz="4" w:space="0" w:color="C9D1DC"/>
              <w:right w:val="single" w:sz="4" w:space="0" w:color="C9D1DC"/>
            </w:tcBorders>
            <w:shd w:val="clear" w:color="auto" w:fill="F2F5F9"/>
            <w:tcMar>
              <w:top w:w="100" w:type="dxa"/>
              <w:left w:w="140" w:type="dxa"/>
              <w:bottom w:w="100" w:type="dxa"/>
              <w:right w:w="140" w:type="dxa"/>
            </w:tcMar>
            <w:vAlign w:val="center"/>
          </w:tcPr>
          <w:p w14:paraId="5DE2EF12" w14:textId="77777777" w:rsidR="00F50A8E" w:rsidRDefault="00000000">
            <w:r>
              <w:rPr>
                <w:sz w:val="19"/>
                <w:szCs w:val="19"/>
              </w:rPr>
              <w:t>On-time deliveries share many characteristics with late ones given the systemic nature of delays, making them harder to distinguish.</w:t>
            </w:r>
          </w:p>
        </w:tc>
      </w:tr>
    </w:tbl>
    <w:p w14:paraId="522112CA" w14:textId="77777777" w:rsidR="00F50A8E" w:rsidRDefault="00000000">
      <w:pPr>
        <w:pStyle w:val="Heading1"/>
      </w:pPr>
      <w:bookmarkStart w:id="16" w:name="_Toc241851708"/>
      <w:r>
        <w:t>9. Strategic Recommendations</w:t>
      </w:r>
      <w:bookmarkEnd w:id="16"/>
    </w:p>
    <w:p w14:paraId="59DA9FA1" w14:textId="77777777" w:rsidR="00F50A8E" w:rsidRDefault="00000000">
      <w:pPr>
        <w:spacing w:after="120" w:line="300" w:lineRule="auto"/>
      </w:pPr>
      <w:r>
        <w:rPr>
          <w:color w:val="222222"/>
        </w:rPr>
        <w:t>Based on the findings across all analytical dimensions, the following prioritized actions are recommended. Priorities reflect the strength of the observed signal, not guaranteed causal impact.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F50A8E" w14:paraId="4122B600"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shd w:val="clear" w:color="auto" w:fill="E9A000"/>
            <w:tcMar>
              <w:top w:w="80" w:type="dxa"/>
              <w:left w:w="80" w:type="dxa"/>
              <w:bottom w:w="80" w:type="dxa"/>
              <w:right w:w="80" w:type="dxa"/>
            </w:tcMar>
            <w:vAlign w:val="center"/>
          </w:tcPr>
          <w:p w14:paraId="332AD1EF" w14:textId="77777777" w:rsidR="00F50A8E" w:rsidRDefault="00000000">
            <w:pPr>
              <w:jc w:val="center"/>
            </w:pPr>
            <w:r>
              <w:rPr>
                <w:b/>
                <w:bCs/>
                <w:color w:val="FFFFFF"/>
                <w:sz w:val="18"/>
                <w:szCs w:val="18"/>
              </w:rPr>
              <w:t>CRITICAL</w:t>
            </w:r>
          </w:p>
        </w:tc>
        <w:tc>
          <w:tcPr>
            <w:tcW w:w="8238" w:type="dxa"/>
            <w:tcBorders>
              <w:top w:val="single" w:sz="4" w:space="0" w:color="C9D1DC"/>
              <w:left w:val="none" w:sz="0" w:space="0" w:color="FFFFFF"/>
              <w:bottom w:val="single" w:sz="4" w:space="0" w:color="C9D1DC"/>
              <w:right w:val="single" w:sz="4" w:space="0" w:color="C9D1DC"/>
            </w:tcBorders>
            <w:shd w:val="clear" w:color="auto" w:fill="F2F5F9"/>
            <w:tcMar>
              <w:top w:w="110" w:type="dxa"/>
              <w:left w:w="160" w:type="dxa"/>
              <w:bottom w:w="110" w:type="dxa"/>
              <w:right w:w="160" w:type="dxa"/>
            </w:tcMar>
          </w:tcPr>
          <w:p w14:paraId="0CC48DA0" w14:textId="77777777" w:rsidR="00F50A8E" w:rsidRDefault="00000000">
            <w:pPr>
              <w:spacing w:after="50"/>
            </w:pPr>
            <w:r>
              <w:rPr>
                <w:b/>
                <w:bCs/>
                <w:color w:val="1F2A44"/>
              </w:rPr>
              <w:t xml:space="preserve">1. Immediately Audit First Class &amp; </w:t>
            </w:r>
            <w:proofErr w:type="gramStart"/>
            <w:r>
              <w:rPr>
                <w:b/>
                <w:bCs/>
                <w:color w:val="1F2A44"/>
              </w:rPr>
              <w:t>Second Class</w:t>
            </w:r>
            <w:proofErr w:type="gramEnd"/>
            <w:r>
              <w:rPr>
                <w:b/>
                <w:bCs/>
                <w:color w:val="1F2A44"/>
              </w:rPr>
              <w:t xml:space="preserve"> Shipping Capacity</w:t>
            </w:r>
          </w:p>
          <w:p w14:paraId="6B79F7C2" w14:textId="77777777" w:rsidR="00F50A8E" w:rsidRDefault="00000000">
            <w:r>
              <w:rPr>
                <w:sz w:val="19"/>
                <w:szCs w:val="19"/>
              </w:rPr>
              <w:t>First Class has a 100% delay rate and Second Class 79.8%, which contradicts what these modes promise. Conduct a carrier SLA audit. Until resolved, consider repricing or adjusting the delivery promise to reflect actual performance.</w:t>
            </w:r>
          </w:p>
        </w:tc>
      </w:tr>
    </w:tbl>
    <w:p w14:paraId="6BAD06D3" w14:textId="77777777" w:rsidR="00F50A8E" w:rsidRDefault="00F50A8E">
      <w:pPr>
        <w:spacing w:after="1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F50A8E" w14:paraId="38D73BCE"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shd w:val="clear" w:color="auto" w:fill="7A0000"/>
            <w:tcMar>
              <w:top w:w="80" w:type="dxa"/>
              <w:left w:w="80" w:type="dxa"/>
              <w:bottom w:w="80" w:type="dxa"/>
              <w:right w:w="80" w:type="dxa"/>
            </w:tcMar>
            <w:vAlign w:val="center"/>
          </w:tcPr>
          <w:p w14:paraId="67EBAAE9" w14:textId="77777777" w:rsidR="00F50A8E" w:rsidRDefault="00000000">
            <w:pPr>
              <w:jc w:val="center"/>
            </w:pPr>
            <w:r>
              <w:rPr>
                <w:b/>
                <w:bCs/>
                <w:color w:val="FFFFFF"/>
                <w:sz w:val="18"/>
                <w:szCs w:val="18"/>
              </w:rPr>
              <w:t>HIGH</w:t>
            </w:r>
          </w:p>
        </w:tc>
        <w:tc>
          <w:tcPr>
            <w:tcW w:w="8238" w:type="dxa"/>
            <w:tcBorders>
              <w:top w:val="single" w:sz="4" w:space="0" w:color="C9D1DC"/>
              <w:left w:val="none" w:sz="0" w:space="0" w:color="FFFFFF"/>
              <w:bottom w:val="single" w:sz="4" w:space="0" w:color="C9D1DC"/>
              <w:right w:val="single" w:sz="4" w:space="0" w:color="C9D1DC"/>
            </w:tcBorders>
            <w:shd w:val="clear" w:color="auto" w:fill="F2F5F9"/>
            <w:tcMar>
              <w:top w:w="110" w:type="dxa"/>
              <w:left w:w="160" w:type="dxa"/>
              <w:bottom w:w="110" w:type="dxa"/>
              <w:right w:w="160" w:type="dxa"/>
            </w:tcMar>
          </w:tcPr>
          <w:p w14:paraId="570899F7" w14:textId="77777777" w:rsidR="00F50A8E" w:rsidRDefault="00000000">
            <w:pPr>
              <w:spacing w:after="50"/>
            </w:pPr>
            <w:r>
              <w:rPr>
                <w:b/>
                <w:bCs/>
                <w:color w:val="1F2A44"/>
              </w:rPr>
              <w:t>2. Deploy the Predictive Alert System</w:t>
            </w:r>
          </w:p>
          <w:p w14:paraId="00077319" w14:textId="77777777" w:rsidR="00F50A8E" w:rsidRDefault="00000000">
            <w:r>
              <w:rPr>
                <w:sz w:val="19"/>
                <w:szCs w:val="19"/>
              </w:rPr>
              <w:t>The Random Forest model (74% accuracy, 79% precision on late orders) is suitable for a production pilot. Integrate it into order management to flag high-risk orders at confirmation and trigger proactive customer communication and priority handling.</w:t>
            </w:r>
          </w:p>
        </w:tc>
      </w:tr>
    </w:tbl>
    <w:p w14:paraId="341E30BE" w14:textId="77777777" w:rsidR="00F50A8E" w:rsidRDefault="00F50A8E">
      <w:pPr>
        <w:spacing w:after="1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F50A8E" w14:paraId="4D501E7D"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shd w:val="clear" w:color="auto" w:fill="7A0000"/>
            <w:tcMar>
              <w:top w:w="80" w:type="dxa"/>
              <w:left w:w="80" w:type="dxa"/>
              <w:bottom w:w="80" w:type="dxa"/>
              <w:right w:w="80" w:type="dxa"/>
            </w:tcMar>
            <w:vAlign w:val="center"/>
          </w:tcPr>
          <w:p w14:paraId="0540C783" w14:textId="77777777" w:rsidR="00F50A8E" w:rsidRDefault="00000000">
            <w:pPr>
              <w:jc w:val="center"/>
            </w:pPr>
            <w:r>
              <w:rPr>
                <w:b/>
                <w:bCs/>
                <w:color w:val="FFFFFF"/>
                <w:sz w:val="18"/>
                <w:szCs w:val="18"/>
              </w:rPr>
              <w:t>HIGH</w:t>
            </w:r>
          </w:p>
        </w:tc>
        <w:tc>
          <w:tcPr>
            <w:tcW w:w="8238" w:type="dxa"/>
            <w:tcBorders>
              <w:top w:val="single" w:sz="4" w:space="0" w:color="C9D1DC"/>
              <w:left w:val="none" w:sz="0" w:space="0" w:color="FFFFFF"/>
              <w:bottom w:val="single" w:sz="4" w:space="0" w:color="C9D1DC"/>
              <w:right w:val="single" w:sz="4" w:space="0" w:color="C9D1DC"/>
            </w:tcBorders>
            <w:shd w:val="clear" w:color="auto" w:fill="F2F5F9"/>
            <w:tcMar>
              <w:top w:w="110" w:type="dxa"/>
              <w:left w:w="160" w:type="dxa"/>
              <w:bottom w:w="110" w:type="dxa"/>
              <w:right w:w="160" w:type="dxa"/>
            </w:tcMar>
          </w:tcPr>
          <w:p w14:paraId="2132A1F1" w14:textId="77777777" w:rsidR="00F50A8E" w:rsidRDefault="00000000">
            <w:pPr>
              <w:spacing w:after="50"/>
            </w:pPr>
            <w:r>
              <w:rPr>
                <w:b/>
                <w:bCs/>
                <w:color w:val="1F2A44"/>
              </w:rPr>
              <w:t>3. Resolve Payment Processing Bottlenecks</w:t>
            </w:r>
          </w:p>
          <w:p w14:paraId="2E7B5A9E" w14:textId="77777777" w:rsidR="00F50A8E" w:rsidRDefault="00000000">
            <w:r>
              <w:rPr>
                <w:sz w:val="19"/>
                <w:szCs w:val="19"/>
              </w:rPr>
              <w:t>Orders in PAYMENT_REVIEW (80.0% in Central Africa) and PENDING_PAYMENT show elevated delay rates. Introduce automated escalation for stalled payment reviews and review order-release rules.</w:t>
            </w:r>
          </w:p>
        </w:tc>
      </w:tr>
    </w:tbl>
    <w:p w14:paraId="15AE7901" w14:textId="77777777" w:rsidR="00F50A8E" w:rsidRDefault="00F50A8E">
      <w:pPr>
        <w:spacing w:after="1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F50A8E" w14:paraId="48847107"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shd w:val="clear" w:color="auto" w:fill="2A9D8F"/>
            <w:tcMar>
              <w:top w:w="80" w:type="dxa"/>
              <w:left w:w="80" w:type="dxa"/>
              <w:bottom w:w="80" w:type="dxa"/>
              <w:right w:w="80" w:type="dxa"/>
            </w:tcMar>
            <w:vAlign w:val="center"/>
          </w:tcPr>
          <w:p w14:paraId="6164DBCD" w14:textId="77777777" w:rsidR="00F50A8E" w:rsidRDefault="00000000">
            <w:pPr>
              <w:jc w:val="center"/>
            </w:pPr>
            <w:r>
              <w:rPr>
                <w:b/>
                <w:bCs/>
                <w:color w:val="FFFFFF"/>
                <w:sz w:val="18"/>
                <w:szCs w:val="18"/>
              </w:rPr>
              <w:t>MEDIUM</w:t>
            </w:r>
          </w:p>
        </w:tc>
        <w:tc>
          <w:tcPr>
            <w:tcW w:w="8238" w:type="dxa"/>
            <w:tcBorders>
              <w:top w:val="single" w:sz="4" w:space="0" w:color="C9D1DC"/>
              <w:left w:val="none" w:sz="0" w:space="0" w:color="FFFFFF"/>
              <w:bottom w:val="single" w:sz="4" w:space="0" w:color="C9D1DC"/>
              <w:right w:val="single" w:sz="4" w:space="0" w:color="C9D1DC"/>
            </w:tcBorders>
            <w:shd w:val="clear" w:color="auto" w:fill="F2F5F9"/>
            <w:tcMar>
              <w:top w:w="110" w:type="dxa"/>
              <w:left w:w="160" w:type="dxa"/>
              <w:bottom w:w="110" w:type="dxa"/>
              <w:right w:w="160" w:type="dxa"/>
            </w:tcMar>
          </w:tcPr>
          <w:p w14:paraId="75512967" w14:textId="77777777" w:rsidR="00F50A8E" w:rsidRDefault="00000000">
            <w:pPr>
              <w:spacing w:after="50"/>
            </w:pPr>
            <w:r>
              <w:rPr>
                <w:b/>
                <w:bCs/>
                <w:color w:val="1F2A44"/>
              </w:rPr>
              <w:t>4. Develop Seasonal Surge Capacity Plans</w:t>
            </w:r>
          </w:p>
          <w:p w14:paraId="45AE3DC4" w14:textId="77777777" w:rsidR="00F50A8E" w:rsidRDefault="00000000">
            <w:r>
              <w:rPr>
                <w:sz w:val="19"/>
                <w:szCs w:val="19"/>
              </w:rPr>
              <w:t>August, September (55.4%) and December (55.2%) are peak delay months. Build pre-season capacity plans including temporary logistics partnerships, inventory pre-positioning and adjusted delivery promise windows.</w:t>
            </w:r>
          </w:p>
        </w:tc>
      </w:tr>
    </w:tbl>
    <w:p w14:paraId="1BF0F7CE" w14:textId="77777777" w:rsidR="00F50A8E" w:rsidRDefault="00F50A8E">
      <w:pPr>
        <w:spacing w:after="1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F50A8E" w14:paraId="3649127A"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shd w:val="clear" w:color="auto" w:fill="2A9D8F"/>
            <w:tcMar>
              <w:top w:w="80" w:type="dxa"/>
              <w:left w:w="80" w:type="dxa"/>
              <w:bottom w:w="80" w:type="dxa"/>
              <w:right w:w="80" w:type="dxa"/>
            </w:tcMar>
            <w:vAlign w:val="center"/>
          </w:tcPr>
          <w:p w14:paraId="065F60A6" w14:textId="77777777" w:rsidR="00F50A8E" w:rsidRDefault="00000000">
            <w:pPr>
              <w:jc w:val="center"/>
            </w:pPr>
            <w:r>
              <w:rPr>
                <w:b/>
                <w:bCs/>
                <w:color w:val="FFFFFF"/>
                <w:sz w:val="18"/>
                <w:szCs w:val="18"/>
              </w:rPr>
              <w:lastRenderedPageBreak/>
              <w:t>MEDIUM</w:t>
            </w:r>
          </w:p>
        </w:tc>
        <w:tc>
          <w:tcPr>
            <w:tcW w:w="8238" w:type="dxa"/>
            <w:tcBorders>
              <w:top w:val="single" w:sz="4" w:space="0" w:color="C9D1DC"/>
              <w:left w:val="none" w:sz="0" w:space="0" w:color="FFFFFF"/>
              <w:bottom w:val="single" w:sz="4" w:space="0" w:color="C9D1DC"/>
              <w:right w:val="single" w:sz="4" w:space="0" w:color="C9D1DC"/>
            </w:tcBorders>
            <w:shd w:val="clear" w:color="auto" w:fill="F2F5F9"/>
            <w:tcMar>
              <w:top w:w="110" w:type="dxa"/>
              <w:left w:w="160" w:type="dxa"/>
              <w:bottom w:w="110" w:type="dxa"/>
              <w:right w:w="160" w:type="dxa"/>
            </w:tcMar>
          </w:tcPr>
          <w:p w14:paraId="140B665F" w14:textId="77777777" w:rsidR="00F50A8E" w:rsidRDefault="00000000">
            <w:pPr>
              <w:spacing w:after="50"/>
            </w:pPr>
            <w:r>
              <w:rPr>
                <w:b/>
                <w:bCs/>
                <w:color w:val="1F2A44"/>
              </w:rPr>
              <w:t>5. Default to Standard Class for Eligible Orders</w:t>
            </w:r>
          </w:p>
          <w:p w14:paraId="1463087B" w14:textId="77777777" w:rsidR="00F50A8E" w:rsidRDefault="00000000">
            <w:r>
              <w:rPr>
                <w:sz w:val="19"/>
                <w:szCs w:val="19"/>
              </w:rPr>
              <w:t>Standard Class achieves a 39.8% delay rate, far lower than First and Second Class. Re-evaluate shipping-mode assignment logic, particularly in regions and departments with poor premium-mode performance.</w:t>
            </w:r>
          </w:p>
        </w:tc>
      </w:tr>
    </w:tbl>
    <w:p w14:paraId="2C56AA36" w14:textId="77777777" w:rsidR="00F50A8E" w:rsidRDefault="00F50A8E">
      <w:pPr>
        <w:spacing w:after="1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F50A8E" w14:paraId="77A57B93"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shd w:val="clear" w:color="auto" w:fill="2A9D8F"/>
            <w:tcMar>
              <w:top w:w="80" w:type="dxa"/>
              <w:left w:w="80" w:type="dxa"/>
              <w:bottom w:w="80" w:type="dxa"/>
              <w:right w:w="80" w:type="dxa"/>
            </w:tcMar>
            <w:vAlign w:val="center"/>
          </w:tcPr>
          <w:p w14:paraId="13CCB5EF" w14:textId="77777777" w:rsidR="00F50A8E" w:rsidRDefault="00000000">
            <w:pPr>
              <w:jc w:val="center"/>
            </w:pPr>
            <w:r>
              <w:rPr>
                <w:b/>
                <w:bCs/>
                <w:color w:val="FFFFFF"/>
                <w:sz w:val="18"/>
                <w:szCs w:val="18"/>
              </w:rPr>
              <w:t>MEDIUM</w:t>
            </w:r>
          </w:p>
        </w:tc>
        <w:tc>
          <w:tcPr>
            <w:tcW w:w="8238" w:type="dxa"/>
            <w:tcBorders>
              <w:top w:val="single" w:sz="4" w:space="0" w:color="C9D1DC"/>
              <w:left w:val="none" w:sz="0" w:space="0" w:color="FFFFFF"/>
              <w:bottom w:val="single" w:sz="4" w:space="0" w:color="C9D1DC"/>
              <w:right w:val="single" w:sz="4" w:space="0" w:color="C9D1DC"/>
            </w:tcBorders>
            <w:shd w:val="clear" w:color="auto" w:fill="F2F5F9"/>
            <w:tcMar>
              <w:top w:w="110" w:type="dxa"/>
              <w:left w:w="160" w:type="dxa"/>
              <w:bottom w:w="110" w:type="dxa"/>
              <w:right w:w="160" w:type="dxa"/>
            </w:tcMar>
          </w:tcPr>
          <w:p w14:paraId="2F6C3CE9" w14:textId="77777777" w:rsidR="00F50A8E" w:rsidRDefault="00000000">
            <w:pPr>
              <w:spacing w:after="50"/>
            </w:pPr>
            <w:r>
              <w:rPr>
                <w:b/>
                <w:bCs/>
                <w:color w:val="1F2A44"/>
              </w:rPr>
              <w:t>6. Investigate High-Delay Departments in Central Africa</w:t>
            </w:r>
          </w:p>
          <w:p w14:paraId="66697B21" w14:textId="77777777" w:rsidR="00F50A8E" w:rsidRDefault="00000000">
            <w:r>
              <w:rPr>
                <w:sz w:val="19"/>
                <w:szCs w:val="19"/>
              </w:rPr>
              <w:t>Outdoors (61.3%) and Golf (60.8%) show elevated delay rates in Central Africa. Conduct a warehouse-level audit of stock availability, pick-and-pack times and carrier assignment.</w:t>
            </w:r>
          </w:p>
        </w:tc>
      </w:tr>
    </w:tbl>
    <w:p w14:paraId="2282A765" w14:textId="77777777" w:rsidR="00F50A8E" w:rsidRDefault="00F50A8E">
      <w:pPr>
        <w:spacing w:after="1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F50A8E" w14:paraId="4BD8F856"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shd w:val="clear" w:color="auto" w:fill="1F2A44"/>
            <w:tcMar>
              <w:top w:w="80" w:type="dxa"/>
              <w:left w:w="80" w:type="dxa"/>
              <w:bottom w:w="80" w:type="dxa"/>
              <w:right w:w="80" w:type="dxa"/>
            </w:tcMar>
            <w:vAlign w:val="center"/>
          </w:tcPr>
          <w:p w14:paraId="095CA43D" w14:textId="77777777" w:rsidR="00F50A8E" w:rsidRDefault="00000000">
            <w:pPr>
              <w:jc w:val="center"/>
            </w:pPr>
            <w:r>
              <w:rPr>
                <w:b/>
                <w:bCs/>
                <w:color w:val="FFFFFF"/>
                <w:sz w:val="18"/>
                <w:szCs w:val="18"/>
              </w:rPr>
              <w:t>LOW</w:t>
            </w:r>
          </w:p>
        </w:tc>
        <w:tc>
          <w:tcPr>
            <w:tcW w:w="8238" w:type="dxa"/>
            <w:tcBorders>
              <w:top w:val="single" w:sz="4" w:space="0" w:color="C9D1DC"/>
              <w:left w:val="none" w:sz="0" w:space="0" w:color="FFFFFF"/>
              <w:bottom w:val="single" w:sz="4" w:space="0" w:color="C9D1DC"/>
              <w:right w:val="single" w:sz="4" w:space="0" w:color="C9D1DC"/>
            </w:tcBorders>
            <w:shd w:val="clear" w:color="auto" w:fill="F2F5F9"/>
            <w:tcMar>
              <w:top w:w="110" w:type="dxa"/>
              <w:left w:w="160" w:type="dxa"/>
              <w:bottom w:w="110" w:type="dxa"/>
              <w:right w:w="160" w:type="dxa"/>
            </w:tcMar>
          </w:tcPr>
          <w:p w14:paraId="421563C5" w14:textId="77777777" w:rsidR="00F50A8E" w:rsidRDefault="00000000">
            <w:pPr>
              <w:spacing w:after="50"/>
            </w:pPr>
            <w:r>
              <w:rPr>
                <w:b/>
                <w:bCs/>
                <w:color w:val="1F2A44"/>
              </w:rPr>
              <w:t>7. Reduce Loss-Making Order Share (18.7%)</w:t>
            </w:r>
          </w:p>
          <w:p w14:paraId="49A14B77" w14:textId="77777777" w:rsidR="00F50A8E" w:rsidRDefault="00000000">
            <w:r>
              <w:rPr>
                <w:sz w:val="19"/>
                <w:szCs w:val="19"/>
              </w:rPr>
              <w:t>The loss-making share warrants a separate pricing and discount review. Combine it with the delay analysis to see whether discounted orders are disproportionately late.</w:t>
            </w:r>
          </w:p>
        </w:tc>
      </w:tr>
    </w:tbl>
    <w:p w14:paraId="5DBBC87E" w14:textId="77777777" w:rsidR="00F50A8E" w:rsidRDefault="00F50A8E">
      <w:pPr>
        <w:spacing w:after="11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F50A8E" w14:paraId="04FB61DB" w14:textId="77777777">
        <w:tblPrEx>
          <w:tblCellMar>
            <w:top w:w="0" w:type="dxa"/>
            <w:bottom w:w="0" w:type="dxa"/>
          </w:tblCellMar>
        </w:tblPrEx>
        <w:trPr>
          <w:cantSplit/>
        </w:trPr>
        <w:tc>
          <w:tcPr>
            <w:tcW w:w="1400" w:type="dxa"/>
            <w:tcBorders>
              <w:top w:val="none" w:sz="0" w:space="0" w:color="FFFFFF"/>
              <w:left w:val="none" w:sz="0" w:space="0" w:color="FFFFFF"/>
              <w:bottom w:val="none" w:sz="0" w:space="0" w:color="FFFFFF"/>
              <w:right w:val="none" w:sz="0" w:space="0" w:color="FFFFFF"/>
            </w:tcBorders>
            <w:shd w:val="clear" w:color="auto" w:fill="1F2A44"/>
            <w:tcMar>
              <w:top w:w="80" w:type="dxa"/>
              <w:left w:w="80" w:type="dxa"/>
              <w:bottom w:w="80" w:type="dxa"/>
              <w:right w:w="80" w:type="dxa"/>
            </w:tcMar>
            <w:vAlign w:val="center"/>
          </w:tcPr>
          <w:p w14:paraId="08076E08" w14:textId="77777777" w:rsidR="00F50A8E" w:rsidRDefault="00000000">
            <w:pPr>
              <w:jc w:val="center"/>
            </w:pPr>
            <w:r>
              <w:rPr>
                <w:b/>
                <w:bCs/>
                <w:color w:val="FFFFFF"/>
                <w:sz w:val="18"/>
                <w:szCs w:val="18"/>
              </w:rPr>
              <w:t>LOW</w:t>
            </w:r>
          </w:p>
        </w:tc>
        <w:tc>
          <w:tcPr>
            <w:tcW w:w="8238" w:type="dxa"/>
            <w:tcBorders>
              <w:top w:val="single" w:sz="4" w:space="0" w:color="C9D1DC"/>
              <w:left w:val="none" w:sz="0" w:space="0" w:color="FFFFFF"/>
              <w:bottom w:val="single" w:sz="4" w:space="0" w:color="C9D1DC"/>
              <w:right w:val="single" w:sz="4" w:space="0" w:color="C9D1DC"/>
            </w:tcBorders>
            <w:shd w:val="clear" w:color="auto" w:fill="F2F5F9"/>
            <w:tcMar>
              <w:top w:w="110" w:type="dxa"/>
              <w:left w:w="160" w:type="dxa"/>
              <w:bottom w:w="110" w:type="dxa"/>
              <w:right w:w="160" w:type="dxa"/>
            </w:tcMar>
          </w:tcPr>
          <w:p w14:paraId="2014DDBC" w14:textId="77777777" w:rsidR="00F50A8E" w:rsidRDefault="00000000">
            <w:pPr>
              <w:spacing w:after="50"/>
            </w:pPr>
            <w:r>
              <w:rPr>
                <w:b/>
                <w:bCs/>
                <w:color w:val="1F2A44"/>
              </w:rPr>
              <w:t>8. Continuously Retrain the Predictive Model</w:t>
            </w:r>
          </w:p>
          <w:p w14:paraId="5B8B2AF2" w14:textId="77777777" w:rsidR="00F50A8E" w:rsidRDefault="00000000">
            <w:r>
              <w:rPr>
                <w:sz w:val="19"/>
                <w:szCs w:val="19"/>
              </w:rPr>
              <w:t>Retrain the model periodically. Explore adding carrier-level data and warehouse utilization features, and target a recall improvement above 80% on late orders.</w:t>
            </w:r>
          </w:p>
        </w:tc>
      </w:tr>
    </w:tbl>
    <w:p w14:paraId="3AE5BD2A" w14:textId="77777777" w:rsidR="00F50A8E" w:rsidRDefault="00F50A8E">
      <w:pPr>
        <w:spacing w:after="110"/>
      </w:pPr>
    </w:p>
    <w:p w14:paraId="1A96CD5A" w14:textId="77777777" w:rsidR="00F50A8E" w:rsidRDefault="00000000">
      <w:pPr>
        <w:pStyle w:val="Heading2"/>
      </w:pPr>
      <w:bookmarkStart w:id="17" w:name="_Toc241851709"/>
      <w:r>
        <w:t>9.1 Suggested KPI Targets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500"/>
        <w:gridCol w:w="3838"/>
      </w:tblGrid>
      <w:tr w:rsidR="00F50A8E" w14:paraId="67B63691" w14:textId="77777777">
        <w:tblPrEx>
          <w:tblCellMar>
            <w:top w:w="0" w:type="dxa"/>
            <w:bottom w:w="0" w:type="dxa"/>
          </w:tblCellMar>
        </w:tblPrEx>
        <w:trPr>
          <w:tblHeader/>
        </w:trPr>
        <w:tc>
          <w:tcPr>
            <w:tcW w:w="33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2650A80D" w14:textId="77777777" w:rsidR="00F50A8E" w:rsidRDefault="00000000">
            <w:r>
              <w:rPr>
                <w:b/>
                <w:bCs/>
                <w:color w:val="FFFFFF"/>
                <w:sz w:val="19"/>
                <w:szCs w:val="19"/>
              </w:rPr>
              <w:t>Priority Area</w:t>
            </w:r>
          </w:p>
        </w:tc>
        <w:tc>
          <w:tcPr>
            <w:tcW w:w="2500"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7F4BB098" w14:textId="77777777" w:rsidR="00F50A8E" w:rsidRDefault="00000000">
            <w:pPr>
              <w:jc w:val="right"/>
            </w:pPr>
            <w:r>
              <w:rPr>
                <w:b/>
                <w:bCs/>
                <w:color w:val="FFFFFF"/>
                <w:sz w:val="19"/>
                <w:szCs w:val="19"/>
              </w:rPr>
              <w:t>Current State</w:t>
            </w:r>
          </w:p>
        </w:tc>
        <w:tc>
          <w:tcPr>
            <w:tcW w:w="3838" w:type="dxa"/>
            <w:tcBorders>
              <w:top w:val="single" w:sz="4" w:space="0" w:color="C9D1DC"/>
              <w:left w:val="single" w:sz="4" w:space="0" w:color="C9D1DC"/>
              <w:bottom w:val="single" w:sz="4" w:space="0" w:color="C9D1DC"/>
              <w:right w:val="single" w:sz="4" w:space="0" w:color="C9D1DC"/>
            </w:tcBorders>
            <w:shd w:val="clear" w:color="auto" w:fill="1F2A44"/>
            <w:tcMar>
              <w:top w:w="70" w:type="dxa"/>
              <w:left w:w="110" w:type="dxa"/>
              <w:bottom w:w="70" w:type="dxa"/>
              <w:right w:w="110" w:type="dxa"/>
            </w:tcMar>
            <w:vAlign w:val="center"/>
          </w:tcPr>
          <w:p w14:paraId="15C2A810" w14:textId="77777777" w:rsidR="00F50A8E" w:rsidRDefault="00000000">
            <w:pPr>
              <w:jc w:val="right"/>
            </w:pPr>
            <w:r>
              <w:rPr>
                <w:b/>
                <w:bCs/>
                <w:color w:val="FFFFFF"/>
                <w:sz w:val="19"/>
                <w:szCs w:val="19"/>
              </w:rPr>
              <w:t>Target State</w:t>
            </w:r>
          </w:p>
        </w:tc>
      </w:tr>
      <w:tr w:rsidR="00F50A8E" w14:paraId="2C192EE8" w14:textId="77777777">
        <w:tblPrEx>
          <w:tblCellMar>
            <w:top w:w="0" w:type="dxa"/>
            <w:bottom w:w="0" w:type="dxa"/>
          </w:tblCellMar>
        </w:tblPrEx>
        <w:trPr>
          <w:cantSplit/>
        </w:trPr>
        <w:tc>
          <w:tcPr>
            <w:tcW w:w="33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545840D3" w14:textId="77777777" w:rsidR="00F50A8E" w:rsidRDefault="00000000">
            <w:r>
              <w:rPr>
                <w:color w:val="222222"/>
                <w:sz w:val="19"/>
                <w:szCs w:val="19"/>
              </w:rPr>
              <w:t>Late Delivery Rate</w:t>
            </w:r>
          </w:p>
        </w:tc>
        <w:tc>
          <w:tcPr>
            <w:tcW w:w="25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58BBCAEC" w14:textId="77777777" w:rsidR="00F50A8E" w:rsidRDefault="00000000">
            <w:pPr>
              <w:jc w:val="right"/>
            </w:pPr>
            <w:r>
              <w:rPr>
                <w:color w:val="222222"/>
                <w:sz w:val="19"/>
                <w:szCs w:val="19"/>
              </w:rPr>
              <w:t>54.71%</w:t>
            </w:r>
          </w:p>
        </w:tc>
        <w:tc>
          <w:tcPr>
            <w:tcW w:w="38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3764ABA2" w14:textId="77777777" w:rsidR="00F50A8E" w:rsidRDefault="00000000">
            <w:pPr>
              <w:jc w:val="right"/>
            </w:pPr>
            <w:r>
              <w:rPr>
                <w:b/>
                <w:bCs/>
                <w:color w:val="2A9D8F"/>
                <w:sz w:val="19"/>
                <w:szCs w:val="19"/>
              </w:rPr>
              <w:t>&lt; 30% within 12 months</w:t>
            </w:r>
          </w:p>
        </w:tc>
      </w:tr>
      <w:tr w:rsidR="00F50A8E" w14:paraId="6375128B" w14:textId="77777777">
        <w:tblPrEx>
          <w:tblCellMar>
            <w:top w:w="0" w:type="dxa"/>
            <w:bottom w:w="0" w:type="dxa"/>
          </w:tblCellMar>
        </w:tblPrEx>
        <w:trPr>
          <w:cantSplit/>
        </w:trPr>
        <w:tc>
          <w:tcPr>
            <w:tcW w:w="33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5D2957F1" w14:textId="77777777" w:rsidR="00F50A8E" w:rsidRDefault="00000000">
            <w:r>
              <w:rPr>
                <w:color w:val="222222"/>
                <w:sz w:val="19"/>
                <w:szCs w:val="19"/>
              </w:rPr>
              <w:t>First Class On-Time Rate</w:t>
            </w:r>
          </w:p>
        </w:tc>
        <w:tc>
          <w:tcPr>
            <w:tcW w:w="25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161F9457" w14:textId="77777777" w:rsidR="00F50A8E" w:rsidRDefault="00000000">
            <w:pPr>
              <w:jc w:val="right"/>
            </w:pPr>
            <w:r>
              <w:rPr>
                <w:color w:val="222222"/>
                <w:sz w:val="19"/>
                <w:szCs w:val="19"/>
              </w:rPr>
              <w:t>0%</w:t>
            </w:r>
          </w:p>
        </w:tc>
        <w:tc>
          <w:tcPr>
            <w:tcW w:w="38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548A94A3" w14:textId="77777777" w:rsidR="00F50A8E" w:rsidRDefault="00000000">
            <w:pPr>
              <w:jc w:val="right"/>
            </w:pPr>
            <w:r>
              <w:rPr>
                <w:b/>
                <w:bCs/>
                <w:color w:val="2A9D8F"/>
                <w:sz w:val="19"/>
                <w:szCs w:val="19"/>
              </w:rPr>
              <w:t>&gt; 80%</w:t>
            </w:r>
          </w:p>
        </w:tc>
      </w:tr>
      <w:tr w:rsidR="00F50A8E" w14:paraId="39E91807" w14:textId="77777777">
        <w:tblPrEx>
          <w:tblCellMar>
            <w:top w:w="0" w:type="dxa"/>
            <w:bottom w:w="0" w:type="dxa"/>
          </w:tblCellMar>
        </w:tblPrEx>
        <w:trPr>
          <w:cantSplit/>
        </w:trPr>
        <w:tc>
          <w:tcPr>
            <w:tcW w:w="33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1D555CD4" w14:textId="77777777" w:rsidR="00F50A8E" w:rsidRDefault="00000000">
            <w:r>
              <w:rPr>
                <w:color w:val="222222"/>
                <w:sz w:val="19"/>
                <w:szCs w:val="19"/>
              </w:rPr>
              <w:t>Second Class On-Time Rate</w:t>
            </w:r>
          </w:p>
        </w:tc>
        <w:tc>
          <w:tcPr>
            <w:tcW w:w="25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6ED6EDEE" w14:textId="77777777" w:rsidR="00F50A8E" w:rsidRDefault="00000000">
            <w:pPr>
              <w:jc w:val="right"/>
            </w:pPr>
            <w:r>
              <w:rPr>
                <w:color w:val="222222"/>
                <w:sz w:val="19"/>
                <w:szCs w:val="19"/>
              </w:rPr>
              <w:t>20.2%</w:t>
            </w:r>
          </w:p>
        </w:tc>
        <w:tc>
          <w:tcPr>
            <w:tcW w:w="38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4672B726" w14:textId="77777777" w:rsidR="00F50A8E" w:rsidRDefault="00000000">
            <w:pPr>
              <w:jc w:val="right"/>
            </w:pPr>
            <w:r>
              <w:rPr>
                <w:b/>
                <w:bCs/>
                <w:color w:val="2A9D8F"/>
                <w:sz w:val="19"/>
                <w:szCs w:val="19"/>
              </w:rPr>
              <w:t>&gt; 60%</w:t>
            </w:r>
          </w:p>
        </w:tc>
      </w:tr>
      <w:tr w:rsidR="00F50A8E" w14:paraId="4A224C03" w14:textId="77777777">
        <w:tblPrEx>
          <w:tblCellMar>
            <w:top w:w="0" w:type="dxa"/>
            <w:bottom w:w="0" w:type="dxa"/>
          </w:tblCellMar>
        </w:tblPrEx>
        <w:trPr>
          <w:cantSplit/>
        </w:trPr>
        <w:tc>
          <w:tcPr>
            <w:tcW w:w="33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3E4B9B9C" w14:textId="77777777" w:rsidR="00F50A8E" w:rsidRDefault="00000000">
            <w:r>
              <w:rPr>
                <w:color w:val="222222"/>
                <w:sz w:val="19"/>
                <w:szCs w:val="19"/>
              </w:rPr>
              <w:t>Predictive Model Accuracy</w:t>
            </w:r>
          </w:p>
        </w:tc>
        <w:tc>
          <w:tcPr>
            <w:tcW w:w="25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759D8C0E" w14:textId="77777777" w:rsidR="00F50A8E" w:rsidRDefault="00000000">
            <w:pPr>
              <w:jc w:val="right"/>
            </w:pPr>
            <w:r>
              <w:rPr>
                <w:color w:val="222222"/>
                <w:sz w:val="19"/>
                <w:szCs w:val="19"/>
              </w:rPr>
              <w:t>74%</w:t>
            </w:r>
          </w:p>
        </w:tc>
        <w:tc>
          <w:tcPr>
            <w:tcW w:w="38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3812F3DE" w14:textId="77777777" w:rsidR="00F50A8E" w:rsidRDefault="00000000">
            <w:pPr>
              <w:jc w:val="right"/>
            </w:pPr>
            <w:r>
              <w:rPr>
                <w:b/>
                <w:bCs/>
                <w:color w:val="2A9D8F"/>
                <w:sz w:val="19"/>
                <w:szCs w:val="19"/>
              </w:rPr>
              <w:t>&gt; 82% (enhanced model)</w:t>
            </w:r>
          </w:p>
        </w:tc>
      </w:tr>
      <w:tr w:rsidR="00F50A8E" w14:paraId="55C06B4A" w14:textId="77777777">
        <w:tblPrEx>
          <w:tblCellMar>
            <w:top w:w="0" w:type="dxa"/>
            <w:bottom w:w="0" w:type="dxa"/>
          </w:tblCellMar>
        </w:tblPrEx>
        <w:trPr>
          <w:cantSplit/>
        </w:trPr>
        <w:tc>
          <w:tcPr>
            <w:tcW w:w="33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20CAEA0E" w14:textId="77777777" w:rsidR="00F50A8E" w:rsidRDefault="00000000">
            <w:r>
              <w:rPr>
                <w:color w:val="222222"/>
                <w:sz w:val="19"/>
                <w:szCs w:val="19"/>
              </w:rPr>
              <w:t>Loss-Making Orders</w:t>
            </w:r>
          </w:p>
        </w:tc>
        <w:tc>
          <w:tcPr>
            <w:tcW w:w="2500"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2381E232" w14:textId="77777777" w:rsidR="00F50A8E" w:rsidRDefault="00000000">
            <w:pPr>
              <w:jc w:val="right"/>
            </w:pPr>
            <w:r>
              <w:rPr>
                <w:color w:val="222222"/>
                <w:sz w:val="19"/>
                <w:szCs w:val="19"/>
              </w:rPr>
              <w:t>18.7%</w:t>
            </w:r>
          </w:p>
        </w:tc>
        <w:tc>
          <w:tcPr>
            <w:tcW w:w="3838" w:type="dxa"/>
            <w:tcBorders>
              <w:top w:val="single" w:sz="4" w:space="0" w:color="C9D1DC"/>
              <w:left w:val="single" w:sz="4" w:space="0" w:color="C9D1DC"/>
              <w:bottom w:val="single" w:sz="4" w:space="0" w:color="C9D1DC"/>
              <w:right w:val="single" w:sz="4" w:space="0" w:color="C9D1DC"/>
            </w:tcBorders>
            <w:tcMar>
              <w:top w:w="70" w:type="dxa"/>
              <w:left w:w="110" w:type="dxa"/>
              <w:bottom w:w="70" w:type="dxa"/>
              <w:right w:w="110" w:type="dxa"/>
            </w:tcMar>
            <w:vAlign w:val="center"/>
          </w:tcPr>
          <w:p w14:paraId="48CF5A1A" w14:textId="77777777" w:rsidR="00F50A8E" w:rsidRDefault="00000000">
            <w:pPr>
              <w:jc w:val="right"/>
            </w:pPr>
            <w:r>
              <w:rPr>
                <w:b/>
                <w:bCs/>
                <w:color w:val="2A9D8F"/>
                <w:sz w:val="19"/>
                <w:szCs w:val="19"/>
              </w:rPr>
              <w:t>&lt; 12%</w:t>
            </w:r>
          </w:p>
        </w:tc>
      </w:tr>
      <w:tr w:rsidR="00F50A8E" w14:paraId="2361DCC7" w14:textId="77777777">
        <w:tblPrEx>
          <w:tblCellMar>
            <w:top w:w="0" w:type="dxa"/>
            <w:bottom w:w="0" w:type="dxa"/>
          </w:tblCellMar>
        </w:tblPrEx>
        <w:trPr>
          <w:cantSplit/>
        </w:trPr>
        <w:tc>
          <w:tcPr>
            <w:tcW w:w="33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51E0D989" w14:textId="77777777" w:rsidR="00F50A8E" w:rsidRDefault="00000000">
            <w:r>
              <w:rPr>
                <w:color w:val="222222"/>
                <w:sz w:val="19"/>
                <w:szCs w:val="19"/>
              </w:rPr>
              <w:t>Profit at Risk</w:t>
            </w:r>
          </w:p>
        </w:tc>
        <w:tc>
          <w:tcPr>
            <w:tcW w:w="2500"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3A064CF0" w14:textId="77777777" w:rsidR="00F50A8E" w:rsidRDefault="00000000">
            <w:pPr>
              <w:jc w:val="right"/>
            </w:pPr>
            <w:r>
              <w:rPr>
                <w:color w:val="222222"/>
                <w:sz w:val="19"/>
                <w:szCs w:val="19"/>
              </w:rPr>
              <w:t>$2.1M</w:t>
            </w:r>
          </w:p>
        </w:tc>
        <w:tc>
          <w:tcPr>
            <w:tcW w:w="3838" w:type="dxa"/>
            <w:tcBorders>
              <w:top w:val="single" w:sz="4" w:space="0" w:color="C9D1DC"/>
              <w:left w:val="single" w:sz="4" w:space="0" w:color="C9D1DC"/>
              <w:bottom w:val="single" w:sz="4" w:space="0" w:color="C9D1DC"/>
              <w:right w:val="single" w:sz="4" w:space="0" w:color="C9D1DC"/>
            </w:tcBorders>
            <w:shd w:val="clear" w:color="auto" w:fill="F2F5F9"/>
            <w:tcMar>
              <w:top w:w="70" w:type="dxa"/>
              <w:left w:w="110" w:type="dxa"/>
              <w:bottom w:w="70" w:type="dxa"/>
              <w:right w:w="110" w:type="dxa"/>
            </w:tcMar>
            <w:vAlign w:val="center"/>
          </w:tcPr>
          <w:p w14:paraId="1EC269CF" w14:textId="77777777" w:rsidR="00F50A8E" w:rsidRDefault="00000000">
            <w:pPr>
              <w:jc w:val="right"/>
            </w:pPr>
            <w:r>
              <w:rPr>
                <w:b/>
                <w:bCs/>
                <w:color w:val="2A9D8F"/>
                <w:sz w:val="19"/>
                <w:szCs w:val="19"/>
              </w:rPr>
              <w:t>Reduce by 40%</w:t>
            </w:r>
          </w:p>
        </w:tc>
      </w:tr>
    </w:tbl>
    <w:p w14:paraId="7C5F8911" w14:textId="77777777" w:rsidR="00F50A8E" w:rsidRDefault="00F50A8E">
      <w:pPr>
        <w:spacing w:after="60"/>
      </w:pPr>
    </w:p>
    <w:p w14:paraId="781A5C04" w14:textId="77777777" w:rsidR="00F50A8E" w:rsidRDefault="00000000">
      <w:pPr>
        <w:spacing w:after="120" w:line="300" w:lineRule="auto"/>
      </w:pPr>
      <w:r>
        <w:rPr>
          <w:color w:val="222222"/>
        </w:rPr>
        <w:t>These are management targets for planning purposes, not forecasts, and should be validated against operational feasibility and service-level commitments.</w:t>
      </w:r>
    </w:p>
    <w:p w14:paraId="2648F59F" w14:textId="77777777" w:rsidR="00F50A8E" w:rsidRDefault="00000000">
      <w:pPr>
        <w:pStyle w:val="Heading1"/>
      </w:pPr>
      <w:bookmarkStart w:id="18" w:name="_Toc241851710"/>
      <w:r>
        <w:t>10. Conclusion</w:t>
      </w:r>
      <w:bookmarkEnd w:id="18"/>
    </w:p>
    <w:p w14:paraId="5803AB74" w14:textId="77777777" w:rsidR="00F50A8E" w:rsidRDefault="00000000">
      <w:pPr>
        <w:spacing w:after="120" w:line="300" w:lineRule="auto"/>
      </w:pPr>
      <w:r>
        <w:rPr>
          <w:color w:val="222222"/>
        </w:rPr>
        <w:t>This analysis surfaces a clear picture: a global e-commerce operation where the majority of orders (54.71%) miss their scheduled delivery windows, with about $2.1M of profit tied to delayed orders.</w:t>
      </w:r>
    </w:p>
    <w:p w14:paraId="1FD5610D" w14:textId="77777777" w:rsidR="00F50A8E" w:rsidRDefault="00000000">
      <w:pPr>
        <w:spacing w:after="120" w:line="300" w:lineRule="auto"/>
      </w:pPr>
      <w:r>
        <w:rPr>
          <w:color w:val="222222"/>
        </w:rPr>
        <w:t>The drivers are identifiable and addressable. Shipping-mode performance (First Class at 100% late, Second Class at 79.8%) is the dominant operational signal. Payment and order-status friction forms a secondary bottleneck, seasonal volume spikes call for better planning, and geographic differences, while present, are secondary to the company-wide pattern.</w:t>
      </w:r>
    </w:p>
    <w:p w14:paraId="57F8F661" w14:textId="77777777" w:rsidR="00F50A8E" w:rsidRDefault="00000000">
      <w:pPr>
        <w:spacing w:after="120" w:line="300" w:lineRule="auto"/>
      </w:pPr>
      <w:r>
        <w:rPr>
          <w:color w:val="222222"/>
        </w:rPr>
        <w:t>A Random Forest model trained on readily available order features already achieves 74% accuracy in identifying at-risk orders, providing a practical baseline for an alerting pilot.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F50A8E" w14:paraId="72E2B780" w14:textId="77777777">
        <w:tblPrEx>
          <w:tblCellMar>
            <w:top w:w="0" w:type="dxa"/>
            <w:bottom w:w="0" w:type="dxa"/>
          </w:tblCellMar>
        </w:tblPrEx>
        <w:trPr>
          <w:cantSplit/>
        </w:trPr>
        <w:tc>
          <w:tcPr>
            <w:tcW w:w="9638" w:type="dxa"/>
            <w:tcBorders>
              <w:top w:val="none" w:sz="0" w:space="0" w:color="FFFFFF"/>
              <w:left w:val="single" w:sz="24" w:space="0" w:color="2A9D8F"/>
              <w:bottom w:val="none" w:sz="0" w:space="0" w:color="FFFFFF"/>
              <w:right w:val="none" w:sz="0" w:space="0" w:color="FFFFFF"/>
            </w:tcBorders>
            <w:shd w:val="clear" w:color="auto" w:fill="E6F4F1"/>
            <w:tcMar>
              <w:top w:w="120" w:type="dxa"/>
              <w:left w:w="200" w:type="dxa"/>
              <w:bottom w:w="120" w:type="dxa"/>
              <w:right w:w="200" w:type="dxa"/>
            </w:tcMar>
          </w:tcPr>
          <w:p w14:paraId="0510CC18" w14:textId="77777777" w:rsidR="00F50A8E" w:rsidRDefault="00000000">
            <w:pPr>
              <w:spacing w:after="60"/>
            </w:pPr>
            <w:r>
              <w:rPr>
                <w:b/>
                <w:bCs/>
                <w:color w:val="2A9D8F"/>
                <w:sz w:val="18"/>
                <w:szCs w:val="18"/>
              </w:rPr>
              <w:lastRenderedPageBreak/>
              <w:t>FINAL TAKEAWAY</w:t>
            </w:r>
          </w:p>
          <w:p w14:paraId="70727AED" w14:textId="77777777" w:rsidR="00F50A8E" w:rsidRDefault="00000000">
            <w:r>
              <w:rPr>
                <w:sz w:val="20"/>
                <w:szCs w:val="20"/>
              </w:rPr>
              <w:t>Establish the delivery baseline, act first on the strongest bottleneck signals, investigate the process states behind them, plan for seasonal peaks, and use predictive alerts to intervene before high-risk orders become late.</w:t>
            </w:r>
          </w:p>
        </w:tc>
      </w:tr>
    </w:tbl>
    <w:p w14:paraId="7EA6AECB" w14:textId="77777777" w:rsidR="00F50A8E" w:rsidRDefault="00000000">
      <w:pPr>
        <w:pStyle w:val="Heading1"/>
      </w:pPr>
      <w:bookmarkStart w:id="19" w:name="_Toc241851711"/>
      <w:r>
        <w:t>11. Methodological Notes &amp; Limitations</w:t>
      </w:r>
      <w:bookmarkEnd w:id="19"/>
    </w:p>
    <w:p w14:paraId="5B8CA758" w14:textId="77777777" w:rsidR="00F50A8E" w:rsidRDefault="00000000">
      <w:pPr>
        <w:pStyle w:val="ListParagraph"/>
        <w:numPr>
          <w:ilvl w:val="0"/>
          <w:numId w:val="2"/>
        </w:numPr>
        <w:spacing w:after="70" w:line="290" w:lineRule="auto"/>
      </w:pPr>
      <w:r>
        <w:rPr>
          <w:color w:val="222222"/>
        </w:rPr>
        <w:t xml:space="preserve">The business KPI uses </w:t>
      </w:r>
      <w:proofErr w:type="spellStart"/>
      <w:r>
        <w:rPr>
          <w:color w:val="222222"/>
        </w:rPr>
        <w:t>Is_Delayed</w:t>
      </w:r>
      <w:proofErr w:type="spellEnd"/>
      <w:r>
        <w:rPr>
          <w:color w:val="222222"/>
        </w:rPr>
        <w:t xml:space="preserve"> (Delay &gt; 0); the model target is the source field </w:t>
      </w:r>
      <w:proofErr w:type="spellStart"/>
      <w:r>
        <w:rPr>
          <w:color w:val="222222"/>
        </w:rPr>
        <w:t>Late_delivery_risk</w:t>
      </w:r>
      <w:proofErr w:type="spellEnd"/>
      <w:r>
        <w:rPr>
          <w:color w:val="222222"/>
        </w:rPr>
        <w:t>. Their late-order counts differ and should be reconciled.</w:t>
      </w:r>
    </w:p>
    <w:p w14:paraId="3DFCAFB7" w14:textId="77777777" w:rsidR="00F50A8E" w:rsidRDefault="00000000">
      <w:pPr>
        <w:pStyle w:val="ListParagraph"/>
        <w:numPr>
          <w:ilvl w:val="0"/>
          <w:numId w:val="2"/>
        </w:numPr>
        <w:spacing w:after="70" w:line="290" w:lineRule="auto"/>
      </w:pPr>
      <w:r>
        <w:rPr>
          <w:color w:val="222222"/>
        </w:rPr>
        <w:t>The $2.1M “profit at risk” is the sum of Order Profit Per Order for delayed orders. It is a proxy for exposure, not a causal estimate of profit lost to delay.</w:t>
      </w:r>
    </w:p>
    <w:p w14:paraId="21EDC3AB" w14:textId="77777777" w:rsidR="00F50A8E" w:rsidRDefault="00000000">
      <w:pPr>
        <w:pStyle w:val="ListParagraph"/>
        <w:numPr>
          <w:ilvl w:val="0"/>
          <w:numId w:val="2"/>
        </w:numPr>
        <w:spacing w:after="70" w:line="290" w:lineRule="auto"/>
      </w:pPr>
      <w:r>
        <w:rPr>
          <w:color w:val="222222"/>
        </w:rPr>
        <w:t>Bottleneck and root-cause results are observational; a high delay rate does not prove a category causes delay.</w:t>
      </w:r>
    </w:p>
    <w:p w14:paraId="397835D6" w14:textId="77777777" w:rsidR="00F50A8E" w:rsidRDefault="00000000">
      <w:pPr>
        <w:pStyle w:val="ListParagraph"/>
        <w:numPr>
          <w:ilvl w:val="0"/>
          <w:numId w:val="2"/>
        </w:numPr>
        <w:spacing w:after="70" w:line="290" w:lineRule="auto"/>
      </w:pPr>
      <w:r>
        <w:rPr>
          <w:color w:val="222222"/>
        </w:rPr>
        <w:t>Frequency encoding was computed before the train/test split, which can leak information. For production, fit encodings on training data only.</w:t>
      </w:r>
    </w:p>
    <w:p w14:paraId="53B62DDB" w14:textId="77777777" w:rsidR="00F50A8E" w:rsidRDefault="00000000">
      <w:pPr>
        <w:pStyle w:val="ListParagraph"/>
        <w:numPr>
          <w:ilvl w:val="0"/>
          <w:numId w:val="2"/>
        </w:numPr>
        <w:spacing w:after="70" w:line="290" w:lineRule="auto"/>
      </w:pPr>
      <w:r>
        <w:rPr>
          <w:color w:val="222222"/>
        </w:rPr>
        <w:t>No hyperparameter tuning, cross-validation, threshold optimization or calibration was performed; metrics reflect a baseline configuration.</w:t>
      </w:r>
    </w:p>
    <w:p w14:paraId="0F09FF9B" w14:textId="77777777" w:rsidR="00F50A8E" w:rsidRDefault="00000000">
      <w:pPr>
        <w:pStyle w:val="ListParagraph"/>
        <w:numPr>
          <w:ilvl w:val="0"/>
          <w:numId w:val="2"/>
        </w:numPr>
        <w:spacing w:after="70" w:line="290" w:lineRule="auto"/>
      </w:pPr>
      <w:r>
        <w:rPr>
          <w:color w:val="222222"/>
        </w:rPr>
        <w:t>Data ends in January 2018 and excludes cancelled orders; findings describe that historical, non-cancelled population.</w:t>
      </w:r>
    </w:p>
    <w:sectPr w:rsidR="00F50A8E">
      <w:headerReference w:type="default" r:id="rId12"/>
      <w:footerReference w:type="default" r:id="rId13"/>
      <w:pgSz w:w="11906" w:h="16838"/>
      <w:pgMar w:top="1300"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8FF08" w14:textId="77777777" w:rsidR="008A7C55" w:rsidRDefault="008A7C55">
      <w:r>
        <w:separator/>
      </w:r>
    </w:p>
  </w:endnote>
  <w:endnote w:type="continuationSeparator" w:id="0">
    <w:p w14:paraId="08029C60" w14:textId="77777777" w:rsidR="008A7C55" w:rsidRDefault="008A7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67526" w14:textId="77777777" w:rsidR="00F50A8E" w:rsidRDefault="00000000">
    <w:pPr>
      <w:jc w:val="right"/>
    </w:pPr>
    <w:r>
      <w:rPr>
        <w:color w:val="5B6577"/>
        <w:sz w:val="17"/>
        <w:szCs w:val="17"/>
      </w:rPr>
      <w:t xml:space="preserve">Page </w:t>
    </w:r>
    <w:r>
      <w:rPr>
        <w:color w:val="5B6577"/>
        <w:sz w:val="17"/>
        <w:szCs w:val="17"/>
      </w:rPr>
      <w:fldChar w:fldCharType="begin"/>
    </w:r>
    <w:r>
      <w:rPr>
        <w:color w:val="5B6577"/>
        <w:sz w:val="17"/>
        <w:szCs w:val="17"/>
      </w:rPr>
      <w:instrText>PAGE</w:instrText>
    </w:r>
    <w:r>
      <w:rPr>
        <w:color w:val="5B6577"/>
        <w:sz w:val="17"/>
        <w:szCs w:val="17"/>
      </w:rPr>
      <w:fldChar w:fldCharType="separate"/>
    </w:r>
    <w:r w:rsidR="00017DB6">
      <w:rPr>
        <w:noProof/>
        <w:color w:val="5B6577"/>
        <w:sz w:val="17"/>
        <w:szCs w:val="17"/>
      </w:rPr>
      <w:t>1</w:t>
    </w:r>
    <w:r>
      <w:rPr>
        <w:color w:val="5B65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E204C" w14:textId="77777777" w:rsidR="008A7C55" w:rsidRDefault="008A7C55">
      <w:r>
        <w:separator/>
      </w:r>
    </w:p>
  </w:footnote>
  <w:footnote w:type="continuationSeparator" w:id="0">
    <w:p w14:paraId="540198AA" w14:textId="77777777" w:rsidR="008A7C55" w:rsidRDefault="008A7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C9AC" w14:textId="77777777" w:rsidR="00F50A8E" w:rsidRDefault="00000000">
    <w:pPr>
      <w:pBdr>
        <w:bottom w:val="single" w:sz="4" w:space="4" w:color="C9D1DC"/>
      </w:pBdr>
    </w:pPr>
    <w:r>
      <w:rPr>
        <w:color w:val="5B6577"/>
        <w:sz w:val="17"/>
        <w:szCs w:val="17"/>
      </w:rPr>
      <w:t>Supply Chain Delivery &amp; Profitability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00302"/>
    <w:multiLevelType w:val="hybridMultilevel"/>
    <w:tmpl w:val="3490FAD6"/>
    <w:lvl w:ilvl="0" w:tplc="993C2AC6">
      <w:start w:val="1"/>
      <w:numFmt w:val="bullet"/>
      <w:lvlText w:val="●"/>
      <w:lvlJc w:val="left"/>
      <w:pPr>
        <w:ind w:left="720" w:hanging="360"/>
      </w:pPr>
    </w:lvl>
    <w:lvl w:ilvl="1" w:tplc="33DE4D7C">
      <w:start w:val="1"/>
      <w:numFmt w:val="bullet"/>
      <w:lvlText w:val="○"/>
      <w:lvlJc w:val="left"/>
      <w:pPr>
        <w:ind w:left="1440" w:hanging="360"/>
      </w:pPr>
    </w:lvl>
    <w:lvl w:ilvl="2" w:tplc="0C6289C2">
      <w:start w:val="1"/>
      <w:numFmt w:val="bullet"/>
      <w:lvlText w:val="■"/>
      <w:lvlJc w:val="left"/>
      <w:pPr>
        <w:ind w:left="2160" w:hanging="360"/>
      </w:pPr>
    </w:lvl>
    <w:lvl w:ilvl="3" w:tplc="4C0A932A">
      <w:start w:val="1"/>
      <w:numFmt w:val="bullet"/>
      <w:lvlText w:val="●"/>
      <w:lvlJc w:val="left"/>
      <w:pPr>
        <w:ind w:left="2880" w:hanging="360"/>
      </w:pPr>
    </w:lvl>
    <w:lvl w:ilvl="4" w:tplc="2FF6765A">
      <w:start w:val="1"/>
      <w:numFmt w:val="bullet"/>
      <w:lvlText w:val="○"/>
      <w:lvlJc w:val="left"/>
      <w:pPr>
        <w:ind w:left="3600" w:hanging="360"/>
      </w:pPr>
    </w:lvl>
    <w:lvl w:ilvl="5" w:tplc="D930BD96">
      <w:start w:val="1"/>
      <w:numFmt w:val="bullet"/>
      <w:lvlText w:val="■"/>
      <w:lvlJc w:val="left"/>
      <w:pPr>
        <w:ind w:left="4320" w:hanging="360"/>
      </w:pPr>
    </w:lvl>
    <w:lvl w:ilvl="6" w:tplc="BA6C52F4">
      <w:start w:val="1"/>
      <w:numFmt w:val="bullet"/>
      <w:lvlText w:val="●"/>
      <w:lvlJc w:val="left"/>
      <w:pPr>
        <w:ind w:left="5040" w:hanging="360"/>
      </w:pPr>
    </w:lvl>
    <w:lvl w:ilvl="7" w:tplc="CF5465DC">
      <w:start w:val="1"/>
      <w:numFmt w:val="bullet"/>
      <w:lvlText w:val="●"/>
      <w:lvlJc w:val="left"/>
      <w:pPr>
        <w:ind w:left="5760" w:hanging="360"/>
      </w:pPr>
    </w:lvl>
    <w:lvl w:ilvl="8" w:tplc="47B09D14">
      <w:start w:val="1"/>
      <w:numFmt w:val="bullet"/>
      <w:lvlText w:val="●"/>
      <w:lvlJc w:val="left"/>
      <w:pPr>
        <w:ind w:left="6480" w:hanging="360"/>
      </w:pPr>
    </w:lvl>
  </w:abstractNum>
  <w:abstractNum w:abstractNumId="1" w15:restartNumberingAfterBreak="0">
    <w:nsid w:val="73AE1860"/>
    <w:multiLevelType w:val="hybridMultilevel"/>
    <w:tmpl w:val="B046EE74"/>
    <w:lvl w:ilvl="0" w:tplc="8D9E6F26">
      <w:start w:val="1"/>
      <w:numFmt w:val="bullet"/>
      <w:lvlText w:val="•"/>
      <w:lvlJc w:val="left"/>
      <w:pPr>
        <w:ind w:left="540" w:hanging="270"/>
      </w:pPr>
    </w:lvl>
    <w:lvl w:ilvl="1" w:tplc="7E2017FE">
      <w:numFmt w:val="decimal"/>
      <w:lvlText w:val=""/>
      <w:lvlJc w:val="left"/>
    </w:lvl>
    <w:lvl w:ilvl="2" w:tplc="B22260C8">
      <w:numFmt w:val="decimal"/>
      <w:lvlText w:val=""/>
      <w:lvlJc w:val="left"/>
    </w:lvl>
    <w:lvl w:ilvl="3" w:tplc="3F2A7DDC">
      <w:numFmt w:val="decimal"/>
      <w:lvlText w:val=""/>
      <w:lvlJc w:val="left"/>
    </w:lvl>
    <w:lvl w:ilvl="4" w:tplc="EF06612A">
      <w:numFmt w:val="decimal"/>
      <w:lvlText w:val=""/>
      <w:lvlJc w:val="left"/>
    </w:lvl>
    <w:lvl w:ilvl="5" w:tplc="E9AE3F3C">
      <w:numFmt w:val="decimal"/>
      <w:lvlText w:val=""/>
      <w:lvlJc w:val="left"/>
    </w:lvl>
    <w:lvl w:ilvl="6" w:tplc="5BD2E9B8">
      <w:numFmt w:val="decimal"/>
      <w:lvlText w:val=""/>
      <w:lvlJc w:val="left"/>
    </w:lvl>
    <w:lvl w:ilvl="7" w:tplc="D8303020">
      <w:numFmt w:val="decimal"/>
      <w:lvlText w:val=""/>
      <w:lvlJc w:val="left"/>
    </w:lvl>
    <w:lvl w:ilvl="8" w:tplc="8422A6BE">
      <w:numFmt w:val="decimal"/>
      <w:lvlText w:val=""/>
      <w:lvlJc w:val="left"/>
    </w:lvl>
  </w:abstractNum>
  <w:num w:numId="1" w16cid:durableId="1704861979">
    <w:abstractNumId w:val="0"/>
    <w:lvlOverride w:ilvl="0">
      <w:startOverride w:val="1"/>
    </w:lvlOverride>
  </w:num>
  <w:num w:numId="2" w16cid:durableId="6196483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A8E"/>
    <w:rsid w:val="00017DB6"/>
    <w:rsid w:val="00763ACE"/>
    <w:rsid w:val="008A7C55"/>
    <w:rsid w:val="00E147F2"/>
    <w:rsid w:val="00F50A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07B5B"/>
  <w15:docId w15:val="{58DE58CA-1288-4F04-A5D0-18758E15E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2A9D8F"/>
      </w:pBdr>
      <w:spacing w:before="360" w:after="160"/>
      <w:outlineLvl w:val="0"/>
    </w:pPr>
    <w:rPr>
      <w:b/>
      <w:bCs/>
      <w:color w:val="1F2A44"/>
      <w:sz w:val="32"/>
      <w:szCs w:val="32"/>
    </w:rPr>
  </w:style>
  <w:style w:type="paragraph" w:styleId="Heading2">
    <w:name w:val="heading 2"/>
    <w:uiPriority w:val="9"/>
    <w:unhideWhenUsed/>
    <w:qFormat/>
    <w:pPr>
      <w:keepNext/>
      <w:spacing w:before="240" w:after="100"/>
      <w:outlineLvl w:val="1"/>
    </w:pPr>
    <w:rPr>
      <w:b/>
      <w:bCs/>
      <w:color w:val="2A9D8F"/>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17DB6"/>
    <w:pPr>
      <w:spacing w:after="100"/>
    </w:pPr>
  </w:style>
  <w:style w:type="paragraph" w:styleId="TOC2">
    <w:name w:val="toc 2"/>
    <w:basedOn w:val="Normal"/>
    <w:next w:val="Normal"/>
    <w:autoRedefine/>
    <w:uiPriority w:val="39"/>
    <w:unhideWhenUsed/>
    <w:rsid w:val="00017DB6"/>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2532</Words>
  <Characters>14434</Characters>
  <Application>Microsoft Office Word</Application>
  <DocSecurity>0</DocSecurity>
  <Lines>120</Lines>
  <Paragraphs>33</Paragraphs>
  <ScaleCrop>false</ScaleCrop>
  <Company/>
  <LinksUpToDate>false</LinksUpToDate>
  <CharactersWithSpaces>16933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Chain Delivery &amp; Profitability Analysis</dc:title>
  <dc:creator>Tia</dc:creator>
  <cp:lastModifiedBy>TIA SHAH - 60003230040</cp:lastModifiedBy>
  <cp:revision>2</cp:revision>
  <dcterms:created xsi:type="dcterms:W3CDTF">2026-10-02T11:12:00Z</dcterms:created>
  <dcterms:modified xsi:type="dcterms:W3CDTF">2026-10-02T11:12:00Z</dcterms:modified>
</cp:coreProperties>
</file>