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7ECC" w14:textId="58016489" w:rsidR="00E25FC9" w:rsidRDefault="00E25FC9">
      <w:pPr>
        <w:rPr>
          <w:lang w:val="en-US"/>
        </w:rPr>
      </w:pPr>
      <w:r w:rsidRPr="00E25FC9">
        <w:rPr>
          <w:lang w:val="en-US"/>
        </w:rPr>
        <w:t xml:space="preserve">ACS Joint Board/Council Committee on Chemical Safety. Creating Safety Cultures in Academic Institutions: A Report of the Safety Culture Task Force of the ACS Committee on Chemical Safety; American Chemical Society: Washington, DC, 2012. </w:t>
      </w:r>
      <w:hyperlink r:id="rId5" w:history="1">
        <w:r w:rsidRPr="00B627BB">
          <w:rPr>
            <w:rStyle w:val="Hyperlink"/>
            <w:lang w:val="en-US"/>
          </w:rPr>
          <w:t>www.acs.org/content/dam/acsorg/about/governance/committees/chemic</w:t>
        </w:r>
        <w:r w:rsidRPr="00B627BB">
          <w:rPr>
            <w:rStyle w:val="Hyperlink"/>
            <w:lang w:val="en-US"/>
          </w:rPr>
          <w:t>a</w:t>
        </w:r>
        <w:r w:rsidRPr="00B627BB">
          <w:rPr>
            <w:rStyle w:val="Hyperlink"/>
            <w:lang w:val="en-US"/>
          </w:rPr>
          <w:t>lsafety/academic-safety-culture-report-final-v2.pdf</w:t>
        </w:r>
      </w:hyperlink>
      <w:r w:rsidRPr="00E25FC9">
        <w:rPr>
          <w:lang w:val="en-US"/>
        </w:rPr>
        <w:t xml:space="preserve"> </w:t>
      </w:r>
    </w:p>
    <w:p w14:paraId="47023F7A" w14:textId="77777777" w:rsidR="00E25FC9" w:rsidRDefault="00E25FC9">
      <w:pPr>
        <w:rPr>
          <w:lang w:val="en-US"/>
        </w:rPr>
      </w:pPr>
    </w:p>
    <w:p w14:paraId="25E0DB7E" w14:textId="6BEB900D" w:rsidR="00E25FC9" w:rsidRDefault="00E25FC9">
      <w:pPr>
        <w:rPr>
          <w:lang w:val="en-US"/>
        </w:rPr>
      </w:pPr>
      <w:r w:rsidRPr="00E25FC9">
        <w:rPr>
          <w:lang w:val="en-US"/>
        </w:rPr>
        <w:t xml:space="preserve">ACS Committee on Chemical Safety. Guidelines for Chemical Laboratory Safety in Academic Institutions; American Chemical Society: Washington, DC, 2016. </w:t>
      </w:r>
      <w:hyperlink r:id="rId6" w:history="1">
        <w:r w:rsidRPr="00B627BB">
          <w:rPr>
            <w:rStyle w:val="Hyperlink"/>
            <w:lang w:val="en-US"/>
          </w:rPr>
          <w:t>www.acs.org/content/dam/acsorg/about/governance/com</w:t>
        </w:r>
        <w:r w:rsidRPr="00B627BB">
          <w:rPr>
            <w:rStyle w:val="Hyperlink"/>
            <w:lang w:val="en-US"/>
          </w:rPr>
          <w:t>m</w:t>
        </w:r>
        <w:r w:rsidRPr="00B627BB">
          <w:rPr>
            <w:rStyle w:val="Hyperlink"/>
            <w:lang w:val="en-US"/>
          </w:rPr>
          <w:t>ittees/chemicalsafety/publications/acs-safety-guidelines-academic.pdf?logActivity=true</w:t>
        </w:r>
      </w:hyperlink>
    </w:p>
    <w:p w14:paraId="0132EADC" w14:textId="77777777" w:rsidR="00E25FC9" w:rsidRDefault="00E25FC9">
      <w:pPr>
        <w:rPr>
          <w:lang w:val="en-US"/>
        </w:rPr>
      </w:pPr>
    </w:p>
    <w:p w14:paraId="78602365" w14:textId="1968B2CC" w:rsidR="00845A71" w:rsidRDefault="00E25FC9">
      <w:pPr>
        <w:rPr>
          <w:lang w:val="en-US"/>
        </w:rPr>
      </w:pPr>
      <w:r w:rsidRPr="00E25FC9">
        <w:rPr>
          <w:lang w:val="en-US"/>
        </w:rPr>
        <w:t xml:space="preserve">ACS Committee on Chemical Safety. Chemical Safety in the Classroom. </w:t>
      </w:r>
      <w:hyperlink r:id="rId7" w:history="1">
        <w:r w:rsidRPr="00B627BB">
          <w:rPr>
            <w:rStyle w:val="Hyperlink"/>
            <w:lang w:val="en-US"/>
          </w:rPr>
          <w:t>www.acs.org/content/acs/en/ab</w:t>
        </w:r>
        <w:r w:rsidRPr="00B627BB">
          <w:rPr>
            <w:rStyle w:val="Hyperlink"/>
            <w:lang w:val="en-US"/>
          </w:rPr>
          <w:t>o</w:t>
        </w:r>
        <w:r w:rsidRPr="00B627BB">
          <w:rPr>
            <w:rStyle w:val="Hyperlink"/>
            <w:lang w:val="en-US"/>
          </w:rPr>
          <w:t>ut/governance/committees/chemicalsafety/chemical-safety-in-the-classroom.html</w:t>
        </w:r>
      </w:hyperlink>
    </w:p>
    <w:p w14:paraId="14C700D0" w14:textId="77777777" w:rsidR="00E25FC9" w:rsidRDefault="00E25FC9">
      <w:pPr>
        <w:rPr>
          <w:lang w:val="en-US"/>
        </w:rPr>
      </w:pPr>
    </w:p>
    <w:p w14:paraId="234E2FF3" w14:textId="4B19EE9E" w:rsidR="00E25FC9" w:rsidRDefault="00E25FC9">
      <w:pPr>
        <w:rPr>
          <w:lang w:val="en-US"/>
        </w:rPr>
      </w:pPr>
      <w:r w:rsidRPr="00E25FC9">
        <w:rPr>
          <w:lang w:val="en-US"/>
        </w:rPr>
        <w:t xml:space="preserve">Hill, R. H.; </w:t>
      </w:r>
      <w:proofErr w:type="spellStart"/>
      <w:r w:rsidRPr="00E25FC9">
        <w:rPr>
          <w:lang w:val="en-US"/>
        </w:rPr>
        <w:t>Finster</w:t>
      </w:r>
      <w:proofErr w:type="spellEnd"/>
      <w:r w:rsidRPr="00E25FC9">
        <w:rPr>
          <w:lang w:val="en-US"/>
        </w:rPr>
        <w:t>, D. C. Laboratory Safety for Chemistry Students, 2nd ed.; John Wiley &amp; Sons: Hoboken, NJ, 2016.</w:t>
      </w:r>
    </w:p>
    <w:p w14:paraId="1209783D" w14:textId="77777777" w:rsidR="00E25FC9" w:rsidRDefault="00E25FC9">
      <w:pPr>
        <w:rPr>
          <w:lang w:val="en-US"/>
        </w:rPr>
      </w:pPr>
    </w:p>
    <w:p w14:paraId="4B1B2873" w14:textId="092DD0F2" w:rsidR="00E25FC9" w:rsidRDefault="00E25FC9">
      <w:pPr>
        <w:rPr>
          <w:lang w:val="en-US"/>
        </w:rPr>
      </w:pPr>
      <w:r w:rsidRPr="00E25FC9">
        <w:rPr>
          <w:lang w:val="en-US"/>
        </w:rPr>
        <w:t xml:space="preserve">Hill, R. H. The Safety Ethic: Where Can You Get One? Chem. Health Safety. 2003, 10, 8–11. </w:t>
      </w:r>
      <w:hyperlink r:id="rId8" w:history="1">
        <w:r w:rsidRPr="00B627BB">
          <w:rPr>
            <w:rStyle w:val="Hyperlink"/>
            <w:lang w:val="en-US"/>
          </w:rPr>
          <w:t>http://dx.doi.org/10.1016/S1074-9098(03)00025-X</w:t>
        </w:r>
      </w:hyperlink>
    </w:p>
    <w:p w14:paraId="41F683B0" w14:textId="77777777" w:rsidR="00E25FC9" w:rsidRDefault="00E25FC9">
      <w:pPr>
        <w:rPr>
          <w:lang w:val="en-US"/>
        </w:rPr>
      </w:pPr>
    </w:p>
    <w:p w14:paraId="746CE94B" w14:textId="61E7A9BF" w:rsidR="00E25FC9" w:rsidRDefault="00E25FC9">
      <w:pPr>
        <w:rPr>
          <w:lang w:val="en-US"/>
        </w:rPr>
      </w:pPr>
      <w:r w:rsidRPr="00E25FC9">
        <w:rPr>
          <w:lang w:val="en-US"/>
        </w:rPr>
        <w:t xml:space="preserve">Dartmouth Toxic Metals Superfund Research Program. A Tribute to Karen </w:t>
      </w:r>
      <w:proofErr w:type="spellStart"/>
      <w:r w:rsidRPr="00E25FC9">
        <w:rPr>
          <w:lang w:val="en-US"/>
        </w:rPr>
        <w:t>Wetterhahn</w:t>
      </w:r>
      <w:proofErr w:type="spellEnd"/>
      <w:r w:rsidRPr="00E25FC9">
        <w:rPr>
          <w:lang w:val="en-US"/>
        </w:rPr>
        <w:t xml:space="preserve">. </w:t>
      </w:r>
      <w:hyperlink r:id="rId9" w:history="1">
        <w:r w:rsidRPr="00B627BB">
          <w:rPr>
            <w:rStyle w:val="Hyperlink"/>
            <w:lang w:val="en-US"/>
          </w:rPr>
          <w:t>www.dartmouth.edu/~toxmetal/about/tribute-to-karen-wetterhahn.html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2017).</w:t>
      </w:r>
    </w:p>
    <w:p w14:paraId="219F47E5" w14:textId="77777777" w:rsidR="00E25FC9" w:rsidRDefault="00E25FC9">
      <w:pPr>
        <w:rPr>
          <w:lang w:val="en-US"/>
        </w:rPr>
      </w:pPr>
    </w:p>
    <w:p w14:paraId="175C0013" w14:textId="77777777" w:rsidR="00E25FC9" w:rsidRDefault="00E25FC9">
      <w:pPr>
        <w:rPr>
          <w:lang w:val="en-US"/>
        </w:rPr>
      </w:pPr>
      <w:r w:rsidRPr="00E25FC9">
        <w:rPr>
          <w:lang w:val="en-US"/>
        </w:rPr>
        <w:t xml:space="preserve">Broughton, E. The Bhopal Disaster and Its Aftermath: A Review. Environ. Health. 2005, 4, 6. </w:t>
      </w:r>
      <w:hyperlink r:id="rId10" w:history="1">
        <w:r w:rsidRPr="00B627BB">
          <w:rPr>
            <w:rStyle w:val="Hyperlink"/>
            <w:lang w:val="en-US"/>
          </w:rPr>
          <w:t>http://dx.doi.org/10.1186/1476-069X-4-6</w:t>
        </w:r>
      </w:hyperlink>
      <w:r>
        <w:rPr>
          <w:lang w:val="en-US"/>
        </w:rPr>
        <w:t xml:space="preserve"> </w:t>
      </w:r>
    </w:p>
    <w:p w14:paraId="1F0065D6" w14:textId="77777777" w:rsidR="00E25FC9" w:rsidRDefault="00E25FC9">
      <w:pPr>
        <w:rPr>
          <w:lang w:val="en-US"/>
        </w:rPr>
      </w:pPr>
    </w:p>
    <w:p w14:paraId="26A975EE" w14:textId="37D96E70" w:rsidR="00E25FC9" w:rsidRDefault="00E25FC9">
      <w:pPr>
        <w:rPr>
          <w:lang w:val="en-US"/>
        </w:rPr>
      </w:pPr>
      <w:r w:rsidRPr="00E25FC9">
        <w:rPr>
          <w:lang w:val="en-US"/>
        </w:rPr>
        <w:t xml:space="preserve">Chemical Substances – CAS REGISTRY. A Division of the American Chemical Society. </w:t>
      </w:r>
      <w:hyperlink r:id="rId11" w:history="1">
        <w:r w:rsidRPr="00B627BB">
          <w:rPr>
            <w:rStyle w:val="Hyperlink"/>
            <w:lang w:val="en-US"/>
          </w:rPr>
          <w:t>www.cas.org/content/chemical-substances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2017).</w:t>
      </w:r>
    </w:p>
    <w:p w14:paraId="6BC4C5EF" w14:textId="77777777" w:rsidR="00E25FC9" w:rsidRDefault="00E25FC9">
      <w:pPr>
        <w:rPr>
          <w:lang w:val="en-US"/>
        </w:rPr>
      </w:pPr>
    </w:p>
    <w:p w14:paraId="2F4BAD25" w14:textId="77777777" w:rsidR="00E25FC9" w:rsidRDefault="00E25FC9">
      <w:pPr>
        <w:rPr>
          <w:lang w:val="en-US"/>
        </w:rPr>
      </w:pPr>
      <w:r w:rsidRPr="00E25FC9">
        <w:rPr>
          <w:lang w:val="en-US"/>
        </w:rPr>
        <w:t xml:space="preserve">About NTP, National Toxicology Program, U.S. Department of </w:t>
      </w:r>
      <w:proofErr w:type="gramStart"/>
      <w:r w:rsidRPr="00E25FC9">
        <w:rPr>
          <w:lang w:val="en-US"/>
        </w:rPr>
        <w:t>Health</w:t>
      </w:r>
      <w:proofErr w:type="gramEnd"/>
      <w:r w:rsidRPr="00E25FC9">
        <w:rPr>
          <w:lang w:val="en-US"/>
        </w:rPr>
        <w:t xml:space="preserve"> and Human Services. </w:t>
      </w:r>
      <w:hyperlink r:id="rId12" w:history="1">
        <w:r w:rsidRPr="00B627BB">
          <w:rPr>
            <w:rStyle w:val="Hyperlink"/>
            <w:lang w:val="en-US"/>
          </w:rPr>
          <w:t>http://ntp.niehs.nih.gov/about/index.html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2017).</w:t>
      </w:r>
    </w:p>
    <w:p w14:paraId="7A9D4CAD" w14:textId="77777777" w:rsidR="00E25FC9" w:rsidRDefault="00E25FC9">
      <w:pPr>
        <w:rPr>
          <w:lang w:val="en-US"/>
        </w:rPr>
      </w:pPr>
      <w:proofErr w:type="spellStart"/>
      <w:r w:rsidRPr="00E25FC9">
        <w:rPr>
          <w:lang w:val="en-US"/>
        </w:rPr>
        <w:lastRenderedPageBreak/>
        <w:t>Fischetti</w:t>
      </w:r>
      <w:proofErr w:type="spellEnd"/>
      <w:r w:rsidRPr="00E25FC9">
        <w:rPr>
          <w:lang w:val="en-US"/>
        </w:rPr>
        <w:t xml:space="preserve"> M. The Great Chemical Unknown: A Graphical View of Limited Lab Testing. Scientific American, Nov 1, 2010. </w:t>
      </w:r>
      <w:hyperlink r:id="rId13" w:history="1">
        <w:r w:rsidRPr="00B627BB">
          <w:rPr>
            <w:rStyle w:val="Hyperlink"/>
            <w:lang w:val="en-US"/>
          </w:rPr>
          <w:t>www.scientificamerican.com/article/the-great-chemical-unk</w:t>
        </w:r>
        <w:r w:rsidRPr="00B627BB">
          <w:rPr>
            <w:rStyle w:val="Hyperlink"/>
            <w:lang w:val="en-US"/>
          </w:rPr>
          <w:t>n</w:t>
        </w:r>
        <w:r w:rsidRPr="00B627BB">
          <w:rPr>
            <w:rStyle w:val="Hyperlink"/>
            <w:lang w:val="en-US"/>
          </w:rPr>
          <w:t>own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2017).</w:t>
      </w:r>
    </w:p>
    <w:p w14:paraId="684662AC" w14:textId="77777777" w:rsidR="00E25FC9" w:rsidRDefault="00E25FC9">
      <w:pPr>
        <w:rPr>
          <w:lang w:val="en-US"/>
        </w:rPr>
      </w:pPr>
      <w:r w:rsidRPr="00E25FC9">
        <w:rPr>
          <w:lang w:val="en-US"/>
        </w:rPr>
        <w:t>United Nations. Globally Harmonized System of Classification and Labelling of Chemicals (GHS), Fifth revised edition, ST/SG/AC.10/30/Rev.5; New York and Geneva, 2013.</w:t>
      </w:r>
    </w:p>
    <w:p w14:paraId="7057763C" w14:textId="762BDB8C" w:rsidR="00E25FC9" w:rsidRDefault="00E25FC9">
      <w:pPr>
        <w:rPr>
          <w:lang w:val="en-US"/>
        </w:rPr>
      </w:pPr>
      <w:r w:rsidRPr="00E25FC9">
        <w:rPr>
          <w:lang w:val="en-US"/>
        </w:rPr>
        <w:t xml:space="preserve">OSHA. Hazard Communication Standard: Safety Data Sheets, 2012. </w:t>
      </w:r>
      <w:hyperlink r:id="rId14" w:history="1">
        <w:r w:rsidRPr="00B627BB">
          <w:rPr>
            <w:rStyle w:val="Hyperlink"/>
            <w:lang w:val="en-US"/>
          </w:rPr>
          <w:t>www.osha.gov/Publications/OSHA3514.html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2017).</w:t>
      </w:r>
    </w:p>
    <w:p w14:paraId="5311F266" w14:textId="77777777" w:rsidR="00E25FC9" w:rsidRDefault="00E25FC9">
      <w:pPr>
        <w:rPr>
          <w:lang w:val="en-US"/>
        </w:rPr>
      </w:pPr>
    </w:p>
    <w:p w14:paraId="2A67E584" w14:textId="68B51405" w:rsidR="00E25FC9" w:rsidRDefault="00E25FC9">
      <w:pPr>
        <w:rPr>
          <w:lang w:val="en-US"/>
        </w:rPr>
      </w:pPr>
      <w:r w:rsidRPr="00E25FC9">
        <w:rPr>
          <w:lang w:val="en-US"/>
        </w:rPr>
        <w:t xml:space="preserve">ACS Green Chemistry Institute. </w:t>
      </w:r>
      <w:hyperlink r:id="rId15" w:history="1">
        <w:r w:rsidRPr="00B627BB">
          <w:rPr>
            <w:rStyle w:val="Hyperlink"/>
            <w:lang w:val="en-US"/>
          </w:rPr>
          <w:t>www.acs.org/content/acs/en/greenchemistry.html</w:t>
        </w:r>
      </w:hyperlink>
      <w:r>
        <w:rPr>
          <w:lang w:val="en-US"/>
        </w:rPr>
        <w:t xml:space="preserve"> </w:t>
      </w:r>
      <w:r w:rsidRPr="00E25FC9">
        <w:rPr>
          <w:lang w:val="en-US"/>
        </w:rPr>
        <w:t>(accessed March 6, 2017)</w:t>
      </w:r>
    </w:p>
    <w:p w14:paraId="4E144FBB" w14:textId="77777777" w:rsidR="00E25FC9" w:rsidRDefault="00E25FC9">
      <w:pPr>
        <w:rPr>
          <w:lang w:val="en-US"/>
        </w:rPr>
      </w:pPr>
    </w:p>
    <w:p w14:paraId="47107871" w14:textId="77777777" w:rsidR="00E25FC9" w:rsidRPr="00E25FC9" w:rsidRDefault="00E25FC9">
      <w:pPr>
        <w:rPr>
          <w:lang w:val="en-US"/>
        </w:rPr>
      </w:pPr>
    </w:p>
    <w:sectPr w:rsidR="00E25FC9" w:rsidRPr="00E2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E5"/>
    <w:multiLevelType w:val="multilevel"/>
    <w:tmpl w:val="5EBCD624"/>
    <w:styleLink w:val="EstiloFANUT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ascii="Arial" w:hAnsi="Arial" w:hint="default"/>
        <w:sz w:val="24"/>
      </w:rPr>
    </w:lvl>
    <w:lvl w:ilvl="3">
      <w:start w:val="1"/>
      <w:numFmt w:val="decimal"/>
      <w:lvlText w:val="%1.%2.%3.%4."/>
      <w:lvlJc w:val="left"/>
      <w:pPr>
        <w:ind w:left="907" w:hanging="907"/>
      </w:pPr>
      <w:rPr>
        <w:rFonts w:ascii="Arial" w:hAnsi="Arial" w:hint="default"/>
        <w:sz w:val="24"/>
      </w:rPr>
    </w:lvl>
    <w:lvl w:ilvl="4">
      <w:start w:val="1"/>
      <w:numFmt w:val="decimal"/>
      <w:lvlText w:val="%1.%2.%3.%4.%5."/>
      <w:lvlJc w:val="left"/>
      <w:pPr>
        <w:ind w:left="1191" w:hanging="1191"/>
      </w:pPr>
      <w:rPr>
        <w:rFonts w:ascii="Arial" w:hAnsi="Arial" w:hint="default"/>
        <w:sz w:val="24"/>
      </w:rPr>
    </w:lvl>
    <w:lvl w:ilvl="5">
      <w:start w:val="1"/>
      <w:numFmt w:val="decimal"/>
      <w:lvlText w:val="%1.%2.%3.%4.%5.%6."/>
      <w:lvlJc w:val="left"/>
      <w:pPr>
        <w:ind w:left="1304" w:hanging="1304"/>
      </w:pPr>
      <w:rPr>
        <w:rFonts w:ascii="Arial" w:hAnsi="Arial" w:hint="default"/>
        <w:sz w:val="24"/>
      </w:rPr>
    </w:lvl>
    <w:lvl w:ilvl="6">
      <w:start w:val="1"/>
      <w:numFmt w:val="decimal"/>
      <w:lvlText w:val="%1.%2.%3.%4.%5.%6.%7."/>
      <w:lvlJc w:val="left"/>
      <w:pPr>
        <w:ind w:left="1588" w:hanging="1588"/>
      </w:pPr>
      <w:rPr>
        <w:rFonts w:ascii="Arial" w:hAnsi="Arial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758" w:hanging="1758"/>
      </w:pPr>
      <w:rPr>
        <w:rFonts w:ascii="Arial" w:hAnsi="Arial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041" w:hanging="2041"/>
      </w:pPr>
      <w:rPr>
        <w:rFonts w:ascii="Arial" w:hAnsi="Arial" w:hint="default"/>
        <w:sz w:val="24"/>
      </w:rPr>
    </w:lvl>
  </w:abstractNum>
  <w:abstractNum w:abstractNumId="1" w15:restartNumberingAfterBreak="0">
    <w:nsid w:val="63F32B08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4935263">
    <w:abstractNumId w:val="0"/>
  </w:num>
  <w:num w:numId="2" w16cid:durableId="588348642">
    <w:abstractNumId w:val="1"/>
  </w:num>
  <w:num w:numId="3" w16cid:durableId="183567288">
    <w:abstractNumId w:val="1"/>
  </w:num>
  <w:num w:numId="4" w16cid:durableId="37501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C9"/>
    <w:rsid w:val="006E2465"/>
    <w:rsid w:val="00845A71"/>
    <w:rsid w:val="00B634A6"/>
    <w:rsid w:val="00CE7DA3"/>
    <w:rsid w:val="00E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5E76"/>
  <w15:chartTrackingRefBased/>
  <w15:docId w15:val="{1B30B80A-6F06-4623-BFA0-F972C5AA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6E2465"/>
    <w:pPr>
      <w:keepNext/>
      <w:keepLines/>
      <w:numPr>
        <w:ilvl w:val="1"/>
        <w:numId w:val="3"/>
      </w:numPr>
      <w:spacing w:after="0" w:line="360" w:lineRule="auto"/>
      <w:outlineLvl w:val="1"/>
    </w:pPr>
    <w:rPr>
      <w:rFonts w:ascii="Arial" w:eastAsia="Arial" w:hAnsi="Arial" w:cs="Arial"/>
      <w:kern w:val="0"/>
      <w:sz w:val="24"/>
      <w:szCs w:val="32"/>
      <w:lang w:eastAsia="pt-PT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FANUT">
    <w:name w:val="Estilo FANUT"/>
    <w:uiPriority w:val="99"/>
    <w:rsid w:val="006E2465"/>
    <w:pPr>
      <w:numPr>
        <w:numId w:val="1"/>
      </w:numPr>
    </w:pPr>
  </w:style>
  <w:style w:type="paragraph" w:customStyle="1" w:styleId="Pargrafo">
    <w:name w:val="Parágrafo"/>
    <w:basedOn w:val="Normal"/>
    <w:qFormat/>
    <w:rsid w:val="006E2465"/>
    <w:pPr>
      <w:spacing w:after="0" w:line="360" w:lineRule="auto"/>
      <w:ind w:firstLine="720"/>
      <w:jc w:val="both"/>
    </w:pPr>
    <w:rPr>
      <w:rFonts w:ascii="Arial" w:eastAsia="Arial" w:hAnsi="Arial" w:cs="Arial"/>
      <w:kern w:val="0"/>
      <w:sz w:val="24"/>
      <w:lang w:eastAsia="pt-PT"/>
      <w14:ligatures w14:val="none"/>
    </w:rPr>
  </w:style>
  <w:style w:type="character" w:customStyle="1" w:styleId="Ttulo2Char">
    <w:name w:val="Título 2 Char"/>
    <w:basedOn w:val="Fontepargpadro"/>
    <w:link w:val="Ttulo2"/>
    <w:rsid w:val="006E2465"/>
    <w:rPr>
      <w:rFonts w:ascii="Arial" w:eastAsia="Arial" w:hAnsi="Arial" w:cs="Arial"/>
      <w:kern w:val="0"/>
      <w:sz w:val="24"/>
      <w:szCs w:val="32"/>
      <w:lang w:eastAsia="pt-PT"/>
      <w14:ligatures w14:val="none"/>
    </w:rPr>
  </w:style>
  <w:style w:type="character" w:styleId="Hyperlink">
    <w:name w:val="Hyperlink"/>
    <w:basedOn w:val="Fontepargpadro"/>
    <w:uiPriority w:val="99"/>
    <w:unhideWhenUsed/>
    <w:rsid w:val="00E25F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FC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S1074-9098(03)00025-X" TargetMode="External"/><Relationship Id="rId13" Type="http://schemas.openxmlformats.org/officeDocument/2006/relationships/hyperlink" Target="http://www.scientificamerican.com/article/the-great-chemical-unkn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s.org/content/acs/en/about/governance/committees/chemicalsafety/chemical-safety-in-the-classroom.html" TargetMode="External"/><Relationship Id="rId12" Type="http://schemas.openxmlformats.org/officeDocument/2006/relationships/hyperlink" Target="http://ntp.niehs.nih.gov/abou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cs.org/content/dam/acsorg/about/governance/committees/chemicalsafety/publications/acs-safety-guidelines-academic.pdf?logActivity=true" TargetMode="External"/><Relationship Id="rId11" Type="http://schemas.openxmlformats.org/officeDocument/2006/relationships/hyperlink" Target="http://www.cas.org/content/chemical-substances" TargetMode="External"/><Relationship Id="rId5" Type="http://schemas.openxmlformats.org/officeDocument/2006/relationships/hyperlink" Target="http://www.acs.org/content/dam/acsorg/about/governance/committees/chemicalsafety/academic-safety-culture-report-final-v2.pdf" TargetMode="External"/><Relationship Id="rId15" Type="http://schemas.openxmlformats.org/officeDocument/2006/relationships/hyperlink" Target="http://www.acs.org/content/acs/en/greenchemistry.html" TargetMode="External"/><Relationship Id="rId10" Type="http://schemas.openxmlformats.org/officeDocument/2006/relationships/hyperlink" Target="http://dx.doi.org/10.1186/1476-069X-4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rtmouth.edu/~toxmetal/about/tribute-to-karen-wetterhahn.html" TargetMode="External"/><Relationship Id="rId14" Type="http://schemas.openxmlformats.org/officeDocument/2006/relationships/hyperlink" Target="http://www.osha.gov/Publications/OSHA351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Dias</dc:creator>
  <cp:keywords/>
  <dc:description/>
  <cp:lastModifiedBy>Tiago Dias</cp:lastModifiedBy>
  <cp:revision>1</cp:revision>
  <dcterms:created xsi:type="dcterms:W3CDTF">2023-06-23T10:26:00Z</dcterms:created>
  <dcterms:modified xsi:type="dcterms:W3CDTF">2023-06-23T11:00:00Z</dcterms:modified>
</cp:coreProperties>
</file>