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0"/>
        </w:tabs>
        <w:spacing w:line="360" w:lineRule="auto"/>
        <w:ind w:left="-141.73228346456688" w:firstLine="850.393700787401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Etapa 1: Organização e Padronização do Banco </w:t>
      </w:r>
    </w:p>
    <w:p w:rsidR="00000000" w:rsidDel="00000000" w:rsidP="00000000" w:rsidRDefault="00000000" w:rsidRPr="00000000" w14:paraId="00000002">
      <w:pPr>
        <w:pStyle w:val="Heading1"/>
        <w:tabs>
          <w:tab w:val="left" w:leader="none" w:pos="0"/>
        </w:tabs>
        <w:spacing w:line="360" w:lineRule="auto"/>
        <w:ind w:left="-141.73228346456688" w:firstLine="850.3937007874015"/>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Relatório Metodológico – Construção do Banco de Dados PIBIC-EM</w:t>
      </w:r>
    </w:p>
    <w:p w:rsidR="00000000" w:rsidDel="00000000" w:rsidP="00000000" w:rsidRDefault="00000000" w:rsidRPr="00000000" w14:paraId="00000003">
      <w:pPr>
        <w:pStyle w:val="Heading1"/>
        <w:tabs>
          <w:tab w:val="left" w:leader="none" w:pos="0"/>
        </w:tabs>
        <w:spacing w:line="360" w:lineRule="auto"/>
        <w:ind w:left="-141.73228346456688" w:firstLine="850.3937007874015"/>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Introdução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Este relatório descreve em detalhes o processo de construção do banco de dados referente ao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Programa Institucional de Bolsas de Iniciação Científica no Ensino Médio (PIBIC-EM)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banco de dados consolida informações sobre os pesquisadores proponentes que tiveram projetos aprovados no âmbito do PIBIC-EM entre 2014 e 2027, integrando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dados de múltiplas fontes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(resultados de editais do CNPq, métricas bibliométricas, indicadores institucionais e classificações oficiais das instituições). A seguir, apresentamos a metodologia de coleta e integração desses dados, bem como uma explicação pormenorizada de cada variável presente no banco.</w:t>
      </w:r>
    </w:p>
    <w:p w:rsidR="00000000" w:rsidDel="00000000" w:rsidP="00000000" w:rsidRDefault="00000000" w:rsidRPr="00000000" w14:paraId="00000005">
      <w:pPr>
        <w:pStyle w:val="Heading2"/>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Fontes de Dados e Coleta</w:t>
      </w:r>
    </w:p>
    <w:p w:rsidR="00000000" w:rsidDel="00000000" w:rsidP="00000000" w:rsidRDefault="00000000" w:rsidRPr="00000000" w14:paraId="00000006">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Resultados das Chamadas PIBIC-EM (2014–2027) – CNPq</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primeira etapa consistiu em obter a lista de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pesquisadores proponentes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 suas respectivas instituições a partir dos resultados oficiais das chamadas públicas do PIBIC-EM disponibilizados pelo CNPq. As chamadas analisadas correspondem aos ciclos de bolsas com vigência de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2014-2016, 2016-2018, 2018-2020, 2020-2021, 2022-2024 e 2024-2027</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totalizando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editais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Em cada edital, o CNPq publica a relação dos candidatos aprovados (normalmente professores/orientadores) e a instituição de vínculo de cada um. Essas listas foram consultadas no portal de memória do CNPq e extraídas para compor a base de nomes de pesquisadores e instituições. Por exemplo, no resultado da Chamada CNPq 07/2016 (PIBIC-EM 2016/2018) é possível ver nomes de candidatos ao lado de suas instituições de vínculo</w:t>
      </w:r>
      <w:hyperlink r:id="rId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Todos os nomes de pesquisadores aprovados em pelo menos uma dessas chamadas (2014–2024) foram coletados, juntamente com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sua instituição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informada no resultado do edital.</w:t>
      </w:r>
    </w:p>
    <w:p w:rsidR="00000000" w:rsidDel="00000000" w:rsidP="00000000" w:rsidRDefault="00000000" w:rsidRPr="00000000" w14:paraId="00000008">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Indicadores Bibliométricos – OpenAlex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Para cada pesquisador identificado, foram obtidos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indicadores bibliométricos de produção científica e impacto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utilizando a base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(uma plataforma aberta que fornece dados bibliométricos abrangentes de pesquisadores, obras e veículos científicos). A coleta foi realizada via API do OpenAlex no mês de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outubro de 2025</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garantindo que os indicadores estivessem atualizados até esse período. Os principais indicadores extraídos para cada pesquisador foram: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h-index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i10-index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número de trabalhos publicados (works_count)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número de citações recebidas (cited_by_count)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conforme registrados na OpenAlex. Esses indicadores são calculados pela própria OpenAlex a partir dos registros de publicações indexadas em sua base – por exemplo, o OpenAlex fornece diretamente o h-index e i10-index de um autor em seu objeto de autor</w:t>
      </w:r>
      <w:hyperlink r:id="rId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É importante destacar que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os valores dessas métricas podem diferir daqueles encontrados em outras fontes como o Google Scholar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devido a diferenças de cobertura e critérios de contagem. O OpenAlex e o Google Scholar possuem escopos de indexação distintos (o Google Scholar tende a indexar um conjunto mais amplo de tipos de documento, incluindo literatura cinzenta, enquanto o OpenAlex se baseia em fontes como CrossRef, MAG etc.), além de possíveis diferenças em algoritmos de desambiguação de autores. Por exemplo,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i10-index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foi originalmente criado pelo Google Scholar para indicar o número de publicações com pelo menos 10 citações, mas seu valor para um mesmo autor pode variar entre bases diferentes</w:t>
      </w:r>
      <w:hyperlink r:id="rId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Tendo em vista essas discrepâncias potenciais, optou-se por utilizar exclusivamente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métricas de uma única fonte (OpenAlex)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para todos os pesquisadores, assegurando assim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comparabilidade interna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no banco de dados (isto é, todos os valores de citações e índices estão sujeitos ao mesmo escopo e critérios da OpenAlex).</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Além das métricas de impacto, a OpenAlex também forneceu dados sobre as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áreas de pesquisa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cada autor. A API do OpenAlex permite recuperar os principais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tópicos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ou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conceitos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associados às publicações de um pesquisador, incluindo a frequência de aparição desses conceitos e um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score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relevância para o autor. Utilizando essa funcionalidade, realizamos uma varredura completa das obras de cada pesquisador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 full scan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para identificar suas áreas de atuação mais destacadas. Para cada pesquisador, registramos tanto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grande área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do conhecimento predominante (um campo amplo, como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Física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Medicina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Engenharias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etc.) quanto uma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área específica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principal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Física da Matéria Condensada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Virologia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Educação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etc.), de acordo com os conceitos OpenAlex mais frequentes/representativos em sua produção. Juntamente com os nomes dessas áreas, foram armazenados os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números de ocorrências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(publicações do autor ligadas a elas) e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soma dos scores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relevância fornecidos pela OpenAlex para esses conceitos. Esse processo nos permitiu caracterizar o perfil de pesquisa de cada autor em termos de campo de conhecimento dominante.</w:t>
      </w:r>
    </w:p>
    <w:p w:rsidR="00000000" w:rsidDel="00000000" w:rsidP="00000000" w:rsidRDefault="00000000" w:rsidRPr="00000000" w14:paraId="0000000C">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Índice Geral de Cursos (IGC) – INEP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Para incorporar informações de qualidade institucional, foi utilizada a base de dados aberta do INEP (Instituto Nacional de Estudos e Pesquisas Educacionais) relativa aos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Indicadores de Qualidade da Educação Superior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em especial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Índice Geral de Cursos (IGC)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IGC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é um indicador oficial que avalia a qualidade das instituições de ensino superior no Brasil, calculado anualmente pelo INEP a partir de uma combinação de métricas do desempenho dos cursos de graduação (CPC) e da pós-graduação stricto sensu (avaliações da CAPES), entre outros fatores</w:t>
      </w:r>
      <w:hyperlink r:id="rId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resultado do IGC é expresso em um valor contínuo que é posteriormente convertido em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conceitos de 1 a 5</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(faixas de IGC), onde 5 corresponde à qualidade mais alta.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No banco de dados, para cada instituição de ensino superior identificada como vínculo de um pesquisador, foi incluído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IGC (faixa)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mais recente disponível (referente ao ciclo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IGC 2023</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divulgado pelo INEP). Esses dados foram obtidos do arquivo aberto “IGC 2023” fornecido pelo INEP (formato XLSX), extraindo-se a faixa de IGC atribuída a cada instituição naquele ano. Assim, as universidades, centros universitários e faculdades presentes na base receberam um valor de 1 a 5 (na variável de IGC) correspondente ao conceito IGC 2023 da instituição. Para instituições que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não possuem IGC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por não serem classificadas como IES pelo MEC (por exemplo, centros de pesquisa puros, órgãos governamentais, etc.) – o campo permanece em branco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N/A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indicando que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não se aplica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no contexto da métrica de educação superior.</w:t>
      </w:r>
    </w:p>
    <w:p w:rsidR="00000000" w:rsidDel="00000000" w:rsidP="00000000" w:rsidRDefault="00000000" w:rsidRPr="00000000" w14:paraId="0000000F">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Classificação das Instituições – Cadastro e-MEC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fim de complementar as informações institucionais, realizamos uma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classificação das instituições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vínculo de cada pesquisador por meio de consultas ao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Cadastro e-MEC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que é o cadastro oficial de instituições e cursos de educação superior do Ministério da Educação. O objetivo foi identificar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natureza e categoria administrativa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cada instituição listada nos editais PIBIC-EM. Para cada instituição, foram coletados dois aspectos principais:</w:t>
      </w:r>
    </w:p>
    <w:p w:rsidR="00000000" w:rsidDel="00000000" w:rsidP="00000000" w:rsidRDefault="00000000" w:rsidRPr="00000000" w14:paraId="00000011">
      <w:pPr>
        <w:numPr>
          <w:ilvl w:val="0"/>
          <w:numId w:val="1"/>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Tipo de instituição:</w:t>
      </w:r>
      <w:r w:rsidDel="00000000" w:rsidR="00000000" w:rsidRPr="00000000">
        <w:rPr>
          <w:rFonts w:ascii="Times New Roman" w:cs="Times New Roman" w:eastAsia="Times New Roman" w:hAnsi="Times New Roman"/>
          <w:rtl w:val="0"/>
        </w:rPr>
        <w:t xml:space="preserve"> uma categorização do perfil institucional, tal como consta no cadastro oficial. Exemplos de tipos incluem </w:t>
      </w:r>
      <w:r w:rsidDel="00000000" w:rsidR="00000000" w:rsidRPr="00000000">
        <w:rPr>
          <w:rFonts w:ascii="Times New Roman" w:cs="Times New Roman" w:eastAsia="Times New Roman" w:hAnsi="Times New Roman"/>
          <w:b w:val="1"/>
          <w:bCs w:val="1"/>
          <w:rtl w:val="0"/>
        </w:rPr>
        <w:t xml:space="preserve">Universidade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Centro Universitário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Faculdade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Instituto Federal de Educação, Ciência e Tecnologia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Centro Federal de Educação Tecnológica (CEFET)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Instituto de Pesquisa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Organização Social</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b w:val="1"/>
          <w:bCs w:val="1"/>
          <w:rtl w:val="0"/>
        </w:rPr>
        <w:t xml:space="preserve">Órgão Público</w:t>
      </w:r>
      <w:r w:rsidDel="00000000" w:rsidR="00000000" w:rsidRPr="00000000">
        <w:rPr>
          <w:rFonts w:ascii="Times New Roman" w:cs="Times New Roman" w:eastAsia="Times New Roman" w:hAnsi="Times New Roman"/>
          <w:rtl w:val="0"/>
        </w:rPr>
        <w:t xml:space="preserve">, entre outros. No nosso banco de dados, consolidamos essas informações em uma variável que chamamos de </w:t>
      </w:r>
      <w:r w:rsidDel="00000000" w:rsidR="00000000" w:rsidRPr="00000000">
        <w:rPr>
          <w:rFonts w:ascii="Times New Roman" w:cs="Times New Roman" w:eastAsia="Times New Roman" w:hAnsi="Times New Roman"/>
          <w:i w:val="1"/>
          <w:iCs w:val="1"/>
          <w:rtl w:val="0"/>
        </w:rPr>
        <w:t xml:space="preserve">Class_Instituicao</w:t>
      </w:r>
      <w:r w:rsidDel="00000000" w:rsidR="00000000" w:rsidRPr="00000000">
        <w:rPr>
          <w:rFonts w:ascii="Times New Roman" w:cs="Times New Roman" w:eastAsia="Times New Roman" w:hAnsi="Times New Roman"/>
          <w:rtl w:val="0"/>
        </w:rPr>
        <w:t xml:space="preserve">, indicando a classe geral da instituição. Assim, por exemplo, universidades, centros universitários e faculdades foram categorizados genericamente como </w:t>
      </w:r>
      <w:r w:rsidDel="00000000" w:rsidR="00000000" w:rsidRPr="00000000">
        <w:rPr>
          <w:rFonts w:ascii="Times New Roman" w:cs="Times New Roman" w:eastAsia="Times New Roman" w:hAnsi="Times New Roman"/>
          <w:b w:val="1"/>
          <w:bCs w:val="1"/>
          <w:rtl w:val="0"/>
        </w:rPr>
        <w:t xml:space="preserve">IES (Instituição de Ensino Superior)</w:t>
      </w:r>
      <w:r w:rsidDel="00000000" w:rsidR="00000000" w:rsidRPr="00000000">
        <w:rPr>
          <w:rFonts w:ascii="Times New Roman" w:cs="Times New Roman" w:eastAsia="Times New Roman" w:hAnsi="Times New Roman"/>
          <w:rtl w:val="0"/>
        </w:rPr>
        <w:t xml:space="preserve">, os institutos federais como </w:t>
      </w:r>
      <w:r w:rsidDel="00000000" w:rsidR="00000000" w:rsidRPr="00000000">
        <w:rPr>
          <w:rFonts w:ascii="Times New Roman" w:cs="Times New Roman" w:eastAsia="Times New Roman" w:hAnsi="Times New Roman"/>
          <w:b w:val="1"/>
          <w:bCs w:val="1"/>
          <w:rtl w:val="0"/>
        </w:rPr>
        <w:t xml:space="preserve">Instituto Federal</w:t>
      </w:r>
      <w:r w:rsidDel="00000000" w:rsidR="00000000" w:rsidRPr="00000000">
        <w:rPr>
          <w:rFonts w:ascii="Times New Roman" w:cs="Times New Roman" w:eastAsia="Times New Roman" w:hAnsi="Times New Roman"/>
          <w:rtl w:val="0"/>
        </w:rPr>
        <w:t xml:space="preserve">, os CEFETs mantiveram a categoria </w:t>
      </w:r>
      <w:r w:rsidDel="00000000" w:rsidR="00000000" w:rsidRPr="00000000">
        <w:rPr>
          <w:rFonts w:ascii="Times New Roman" w:cs="Times New Roman" w:eastAsia="Times New Roman" w:hAnsi="Times New Roman"/>
          <w:b w:val="1"/>
          <w:bCs w:val="1"/>
          <w:rtl w:val="0"/>
        </w:rPr>
        <w:t xml:space="preserve">CEFET</w:t>
      </w:r>
      <w:r w:rsidDel="00000000" w:rsidR="00000000" w:rsidRPr="00000000">
        <w:rPr>
          <w:rFonts w:ascii="Times New Roman" w:cs="Times New Roman" w:eastAsia="Times New Roman" w:hAnsi="Times New Roman"/>
          <w:rtl w:val="0"/>
        </w:rPr>
        <w:t xml:space="preserve">, instituições voltadas principalmente à pesquisa científica e desenvolvimento (que não ofertam educação superior regular) foram classificadas como </w:t>
      </w:r>
      <w:r w:rsidDel="00000000" w:rsidR="00000000" w:rsidRPr="00000000">
        <w:rPr>
          <w:rFonts w:ascii="Times New Roman" w:cs="Times New Roman" w:eastAsia="Times New Roman" w:hAnsi="Times New Roman"/>
          <w:b w:val="1"/>
          <w:bCs w:val="1"/>
          <w:rtl w:val="0"/>
        </w:rPr>
        <w:t xml:space="preserve">Instituto de Pesquisa</w:t>
      </w:r>
      <w:r w:rsidDel="00000000" w:rsidR="00000000" w:rsidRPr="00000000">
        <w:rPr>
          <w:rFonts w:ascii="Times New Roman" w:cs="Times New Roman" w:eastAsia="Times New Roman" w:hAnsi="Times New Roman"/>
          <w:rtl w:val="0"/>
        </w:rPr>
        <w:t xml:space="preserve">, entidades de pesquisa com personalidade de </w:t>
      </w:r>
      <w:r w:rsidDel="00000000" w:rsidR="00000000" w:rsidRPr="00000000">
        <w:rPr>
          <w:rFonts w:ascii="Times New Roman" w:cs="Times New Roman" w:eastAsia="Times New Roman" w:hAnsi="Times New Roman"/>
          <w:b w:val="1"/>
          <w:bCs w:val="1"/>
          <w:rtl w:val="0"/>
        </w:rPr>
        <w:t xml:space="preserve">organização social</w:t>
      </w:r>
      <w:r w:rsidDel="00000000" w:rsidR="00000000" w:rsidRPr="00000000">
        <w:rPr>
          <w:rFonts w:ascii="Times New Roman" w:cs="Times New Roman" w:eastAsia="Times New Roman" w:hAnsi="Times New Roman"/>
          <w:rtl w:val="0"/>
        </w:rPr>
        <w:t xml:space="preserve"> foram marcadas como tal, e eventuais órgãos governamentais (como secretarias, fundações estaduais não educacionais, etc.) foram indicados como </w:t>
      </w:r>
      <w:r w:rsidDel="00000000" w:rsidR="00000000" w:rsidRPr="00000000">
        <w:rPr>
          <w:rFonts w:ascii="Times New Roman" w:cs="Times New Roman" w:eastAsia="Times New Roman" w:hAnsi="Times New Roman"/>
          <w:b w:val="1"/>
          <w:bCs w:val="1"/>
          <w:rtl w:val="0"/>
        </w:rPr>
        <w:t xml:space="preserve">Órgão Público</w:t>
      </w:r>
      <w:r w:rsidDel="00000000" w:rsidR="00000000" w:rsidRPr="00000000">
        <w:rPr>
          <w:rFonts w:ascii="Times New Roman" w:cs="Times New Roman" w:eastAsia="Times New Roman" w:hAnsi="Times New Roman"/>
          <w:rtl w:val="0"/>
        </w:rPr>
        <w:t xml:space="preserve">. Essa classificação permite distinguir diferentes tipos de instituições presentes entre os proponentes PIBIC-EM.</w:t>
      </w:r>
    </w:p>
    <w:p w:rsidR="00000000" w:rsidDel="00000000" w:rsidP="00000000" w:rsidRDefault="00000000" w:rsidRPr="00000000" w14:paraId="00000012">
      <w:pPr>
        <w:numPr>
          <w:ilvl w:val="0"/>
          <w:numId w:val="1"/>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Categoria Administrativa:</w:t>
      </w:r>
      <w:r w:rsidDel="00000000" w:rsidR="00000000" w:rsidRPr="00000000">
        <w:rPr>
          <w:rFonts w:ascii="Times New Roman" w:cs="Times New Roman" w:eastAsia="Times New Roman" w:hAnsi="Times New Roman"/>
          <w:rtl w:val="0"/>
        </w:rPr>
        <w:t xml:space="preserve"> reflete a mantenedora e a natureza jurídica/administrativa da instituição, conforme registrada no e-MEC. As categorias administrativas possíveis incluem, por exemplo, </w:t>
      </w:r>
      <w:r w:rsidDel="00000000" w:rsidR="00000000" w:rsidRPr="00000000">
        <w:rPr>
          <w:rFonts w:ascii="Times New Roman" w:cs="Times New Roman" w:eastAsia="Times New Roman" w:hAnsi="Times New Roman"/>
          <w:b w:val="1"/>
          <w:bCs w:val="1"/>
          <w:rtl w:val="0"/>
        </w:rPr>
        <w:t xml:space="preserve">Pública Federal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Pública Estadual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Pública Municipal</w:t>
      </w:r>
      <w:r w:rsidDel="00000000" w:rsidR="00000000" w:rsidRPr="00000000">
        <w:rPr>
          <w:rFonts w:ascii="Times New Roman" w:cs="Times New Roman" w:eastAsia="Times New Roman" w:hAnsi="Times New Roman"/>
          <w:rtl w:val="0"/>
        </w:rPr>
        <w:t xml:space="preserve"> (para instituições públicas de diferentes esferas de governo), </w:t>
      </w:r>
      <w:r w:rsidDel="00000000" w:rsidR="00000000" w:rsidRPr="00000000">
        <w:rPr>
          <w:rFonts w:ascii="Times New Roman" w:cs="Times New Roman" w:eastAsia="Times New Roman" w:hAnsi="Times New Roman"/>
          <w:b w:val="1"/>
          <w:bCs w:val="1"/>
          <w:rtl w:val="0"/>
        </w:rPr>
        <w:t xml:space="preserve">Privada com Fins Lucrativos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Privada sem Fins Lucrativos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Comunitária/Confessional</w:t>
      </w:r>
      <w:r w:rsidDel="00000000" w:rsidR="00000000" w:rsidRPr="00000000">
        <w:rPr>
          <w:rFonts w:ascii="Times New Roman" w:cs="Times New Roman" w:eastAsia="Times New Roman" w:hAnsi="Times New Roman"/>
          <w:rtl w:val="0"/>
        </w:rPr>
        <w:t xml:space="preserve"> (tipos especiais de privada), ou </w:t>
      </w:r>
      <w:r w:rsidDel="00000000" w:rsidR="00000000" w:rsidRPr="00000000">
        <w:rPr>
          <w:rFonts w:ascii="Times New Roman" w:cs="Times New Roman" w:eastAsia="Times New Roman" w:hAnsi="Times New Roman"/>
          <w:b w:val="1"/>
          <w:bCs w:val="1"/>
          <w:rtl w:val="0"/>
        </w:rPr>
        <w:t xml:space="preserve">Especial</w:t>
      </w:r>
      <w:r w:rsidDel="00000000" w:rsidR="00000000" w:rsidRPr="00000000">
        <w:rPr>
          <w:rFonts w:ascii="Times New Roman" w:cs="Times New Roman" w:eastAsia="Times New Roman" w:hAnsi="Times New Roman"/>
          <w:rtl w:val="0"/>
        </w:rPr>
        <w:t xml:space="preserve"> (categoria usada para alguns casos específicos, como escolas de governo ou instituições do sistema federal com características particulares). No banco de dados, há um campo </w:t>
      </w:r>
      <w:r w:rsidDel="00000000" w:rsidR="00000000" w:rsidRPr="00000000">
        <w:rPr>
          <w:rFonts w:ascii="Times New Roman" w:cs="Times New Roman" w:eastAsia="Times New Roman" w:hAnsi="Times New Roman"/>
          <w:i w:val="1"/>
          <w:iCs w:val="1"/>
          <w:rtl w:val="0"/>
        </w:rPr>
        <w:t xml:space="preserve">CATEGORIA_ADMINISTRATIVA</w:t>
      </w:r>
      <w:r w:rsidDel="00000000" w:rsidR="00000000" w:rsidRPr="00000000">
        <w:rPr>
          <w:rFonts w:ascii="Times New Roman" w:cs="Times New Roman" w:eastAsia="Times New Roman" w:hAnsi="Times New Roman"/>
          <w:rtl w:val="0"/>
        </w:rPr>
        <w:t xml:space="preserve"> que registra exatamente a designação oficial do MEC para cada IES. Além disso, para fins de análise simplificada, criamos um campo </w:t>
      </w:r>
      <w:r w:rsidDel="00000000" w:rsidR="00000000" w:rsidRPr="00000000">
        <w:rPr>
          <w:rFonts w:ascii="Times New Roman" w:cs="Times New Roman" w:eastAsia="Times New Roman" w:hAnsi="Times New Roman"/>
          <w:i w:val="1"/>
          <w:iCs w:val="1"/>
          <w:rtl w:val="0"/>
        </w:rPr>
        <w:t xml:space="preserve">Inst_categoria</w:t>
      </w:r>
      <w:r w:rsidDel="00000000" w:rsidR="00000000" w:rsidRPr="00000000">
        <w:rPr>
          <w:rFonts w:ascii="Times New Roman" w:cs="Times New Roman" w:eastAsia="Times New Roman" w:hAnsi="Times New Roman"/>
          <w:rtl w:val="0"/>
        </w:rPr>
        <w:t xml:space="preserve"> que agrupa essas categorias em blocos mais amplos: por exemplo, qualquer instituição </w:t>
      </w:r>
      <w:r w:rsidDel="00000000" w:rsidR="00000000" w:rsidRPr="00000000">
        <w:rPr>
          <w:rFonts w:ascii="Times New Roman" w:cs="Times New Roman" w:eastAsia="Times New Roman" w:hAnsi="Times New Roman"/>
          <w:b w:val="1"/>
          <w:bCs w:val="1"/>
          <w:rtl w:val="0"/>
        </w:rPr>
        <w:t xml:space="preserve">pública (federal, estadual ou municipal)</w:t>
      </w:r>
      <w:r w:rsidDel="00000000" w:rsidR="00000000" w:rsidRPr="00000000">
        <w:rPr>
          <w:rFonts w:ascii="Times New Roman" w:cs="Times New Roman" w:eastAsia="Times New Roman" w:hAnsi="Times New Roman"/>
          <w:rtl w:val="0"/>
        </w:rPr>
        <w:t xml:space="preserve"> é marcada como "PUBLICA", as privadas de qualquer tipo como "PRIVADA", e incluímos categorias como "ORGANIZACAO SOCIAL" quando aplicável. Em casos nos quais a instituição não se enquadra na classificação do e-MEC (por exemplo, um instituto de pesquisa autônomo não credenciado como IES), optamos por marcar </w:t>
      </w:r>
      <w:r w:rsidDel="00000000" w:rsidR="00000000" w:rsidRPr="00000000">
        <w:rPr>
          <w:rFonts w:ascii="Times New Roman" w:cs="Times New Roman" w:eastAsia="Times New Roman" w:hAnsi="Times New Roman"/>
          <w:i w:val="1"/>
          <w:iCs w:val="1"/>
          <w:rtl w:val="0"/>
        </w:rPr>
        <w:t xml:space="preserve">CATEGORIA_ADMINISTRATIVA</w:t>
      </w:r>
      <w:r w:rsidDel="00000000" w:rsidR="00000000" w:rsidRPr="00000000">
        <w:rPr>
          <w:rFonts w:ascii="Times New Roman" w:cs="Times New Roman" w:eastAsia="Times New Roman" w:hAnsi="Times New Roman"/>
          <w:rtl w:val="0"/>
        </w:rPr>
        <w:t xml:space="preserve"> como "</w:t>
      </w:r>
      <w:r w:rsidDel="00000000" w:rsidR="00000000" w:rsidRPr="00000000">
        <w:rPr>
          <w:rFonts w:ascii="Times New Roman" w:cs="Times New Roman" w:eastAsia="Times New Roman" w:hAnsi="Times New Roman"/>
          <w:b w:val="1"/>
          <w:bCs w:val="1"/>
          <w:rtl w:val="0"/>
        </w:rPr>
        <w:t xml:space="preserve">NAO SE APLICA</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Inst_categoria</w:t>
      </w:r>
      <w:r w:rsidDel="00000000" w:rsidR="00000000" w:rsidRPr="00000000">
        <w:rPr>
          <w:rFonts w:ascii="Times New Roman" w:cs="Times New Roman" w:eastAsia="Times New Roman" w:hAnsi="Times New Roman"/>
          <w:rtl w:val="0"/>
        </w:rPr>
        <w:t xml:space="preserve"> também pode constar como "NAO SE APLICA" ou outra designação apropriada (por exemplo, algumas organizações sociais não educacionais foram explicitamente rotuladas como "ORGANIZACAO SOCIAL" no tipo, e sem categoria administrativa no sentido educacional).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coleta desses dados do e-MEC foi realizada consultando o nome de cada instituição (normalizado, conforme descrito adiante) no sistema e registrando suas classificações. Essa etapa assegura que o banco de dados contenha informações sobre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que tipo de instituição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cada pesquisador está vinculado e se é uma instituição pública, privada, etc., o que pode ser relevante na análise.</w:t>
      </w:r>
    </w:p>
    <w:p w:rsidR="00000000" w:rsidDel="00000000" w:rsidP="00000000" w:rsidRDefault="00000000" w:rsidRPr="00000000" w14:paraId="00000014">
      <w:pPr>
        <w:pStyle w:val="Heading2"/>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Integração e Tratamento dos Dados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Após a coleta individual de cada conjunto de informações, procedemos à integração dos dados em um único banco unificado. Vários cuidados metodológicos foram tomados durante esse processo:</w:t>
      </w:r>
    </w:p>
    <w:p w:rsidR="00000000" w:rsidDel="00000000" w:rsidP="00000000" w:rsidRDefault="00000000" w:rsidRPr="00000000" w14:paraId="00000016">
      <w:pPr>
        <w:numPr>
          <w:ilvl w:val="0"/>
          <w:numId w:val="2"/>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Normalização de Nomes de Instituições:</w:t>
      </w:r>
      <w:r w:rsidDel="00000000" w:rsidR="00000000" w:rsidRPr="00000000">
        <w:rPr>
          <w:rFonts w:ascii="Times New Roman" w:cs="Times New Roman" w:eastAsia="Times New Roman" w:hAnsi="Times New Roman"/>
          <w:rtl w:val="0"/>
        </w:rPr>
        <w:t xml:space="preserve"> Os nomes das instituições obtidos nos resultados das chamadas do PIBIC-EM passaram por um processo de padronização (</w:t>
      </w:r>
      <w:r w:rsidDel="00000000" w:rsidR="00000000" w:rsidRPr="00000000">
        <w:rPr>
          <w:rFonts w:ascii="Times New Roman" w:cs="Times New Roman" w:eastAsia="Times New Roman" w:hAnsi="Times New Roman"/>
          <w:i w:val="1"/>
          <w:iCs w:val="1"/>
          <w:rtl w:val="0"/>
        </w:rPr>
        <w:t xml:space="preserve">inst_norm</w:t>
      </w:r>
      <w:r w:rsidDel="00000000" w:rsidR="00000000" w:rsidRPr="00000000">
        <w:rPr>
          <w:rFonts w:ascii="Times New Roman" w:cs="Times New Roman" w:eastAsia="Times New Roman" w:hAnsi="Times New Roman"/>
          <w:rtl w:val="0"/>
        </w:rPr>
        <w:t xml:space="preserve">). Isso envolveu corrigir diferenças de grafia, uso de siglas vs. nome completo, caixa alta/baixa, e adequação ao nome oficial cadastrado. Esse passo foi fundamental para permitir o cruzamento confiável com as bases do INEP (IGC) e do e-MEC. Por exemplo, uma instituição listada como "UFPR" no resultado do edital foi convertida para "Universidade Federal do Paraná" a fim de encontrar seu IGC e categoria MEC correspondentes. Da mesma forma, eventuais variações ou abreviações foram unificadas conforme o nome oficial.</w:t>
      </w:r>
    </w:p>
    <w:p w:rsidR="00000000" w:rsidDel="00000000" w:rsidP="00000000" w:rsidRDefault="00000000" w:rsidRPr="00000000" w14:paraId="00000017">
      <w:pPr>
        <w:numPr>
          <w:ilvl w:val="0"/>
          <w:numId w:val="2"/>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Deduplicação e Identificação de Pesquisadores:</w:t>
      </w:r>
      <w:r w:rsidDel="00000000" w:rsidR="00000000" w:rsidRPr="00000000">
        <w:rPr>
          <w:rFonts w:ascii="Times New Roman" w:cs="Times New Roman" w:eastAsia="Times New Roman" w:hAnsi="Times New Roman"/>
          <w:rtl w:val="0"/>
        </w:rPr>
        <w:t xml:space="preserve"> Alguns pesquisadores apareceram em múltiplos editais ao longo dos anos (conforme observado, houve pesquisadores que tiveram bolsas aprovadas em diferentes ciclos). No banco final, cada pesquisador aparece como um único registro consolidado, agregando as informações de todas as suas participações. Para isso, foi necessário identificar registros duplicados de um mesmo indivíduo (baseado no nome). Em casos de homônimos, procurou-se confirmar se tratava-se ou não da mesma pessoa através da afiliação e outros indicadores (por exemplo, se dois editais listavam "João da Silva" mas com instituições diferentes, consideramos possibilidade de serem pessoas distintas – porém, majoritariamente, os nomes iguais referiam-se ao mesmo pesquisador mantendo vínculo institucional semelhante).</w:t>
      </w:r>
    </w:p>
    <w:p w:rsidR="00000000" w:rsidDel="00000000" w:rsidP="00000000" w:rsidRDefault="00000000" w:rsidRPr="00000000" w14:paraId="00000018">
      <w:pPr>
        <w:numPr>
          <w:ilvl w:val="0"/>
          <w:numId w:val="2"/>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Correspondência com Perfis OpenAlex:</w:t>
      </w:r>
      <w:r w:rsidDel="00000000" w:rsidR="00000000" w:rsidRPr="00000000">
        <w:rPr>
          <w:rFonts w:ascii="Times New Roman" w:cs="Times New Roman" w:eastAsia="Times New Roman" w:hAnsi="Times New Roman"/>
          <w:rtl w:val="0"/>
        </w:rPr>
        <w:t xml:space="preserve"> A etapa de obtenção das métricas bibliométricas exigiu fazer a correspondência de cada nome de pesquisador com o respectivo perfil de autor no OpenAlex. Essa correspondência (</w:t>
      </w:r>
      <w:r w:rsidDel="00000000" w:rsidR="00000000" w:rsidRPr="00000000">
        <w:rPr>
          <w:rFonts w:ascii="Times New Roman" w:cs="Times New Roman" w:eastAsia="Times New Roman" w:hAnsi="Times New Roman"/>
          <w:i w:val="1"/>
          <w:iCs w:val="1"/>
          <w:rtl w:val="0"/>
        </w:rPr>
        <w:t xml:space="preserve">matching</w:t>
      </w:r>
      <w:r w:rsidDel="00000000" w:rsidR="00000000" w:rsidRPr="00000000">
        <w:rPr>
          <w:rFonts w:ascii="Times New Roman" w:cs="Times New Roman" w:eastAsia="Times New Roman" w:hAnsi="Times New Roman"/>
          <w:rtl w:val="0"/>
        </w:rPr>
        <w:t xml:space="preserve">) nem sempre é trivial, pois pode haver autores homônimos ou variações de nome. Utilizamos consultas na API de autores do OpenAlex (incluindo filtros por nome e, quando possível, pela afiliação institucional conhecida) para localizar o autor correto. Em cada caso, avaliamos a </w:t>
      </w:r>
      <w:r w:rsidDel="00000000" w:rsidR="00000000" w:rsidRPr="00000000">
        <w:rPr>
          <w:rFonts w:ascii="Times New Roman" w:cs="Times New Roman" w:eastAsia="Times New Roman" w:hAnsi="Times New Roman"/>
          <w:b w:val="1"/>
          <w:bCs w:val="1"/>
          <w:rtl w:val="0"/>
        </w:rPr>
        <w:t xml:space="preserve">confiabilidade da correspondência</w:t>
      </w:r>
      <w:r w:rsidDel="00000000" w:rsidR="00000000" w:rsidRPr="00000000">
        <w:rPr>
          <w:rFonts w:ascii="Times New Roman" w:cs="Times New Roman" w:eastAsia="Times New Roman" w:hAnsi="Times New Roman"/>
          <w:rtl w:val="0"/>
        </w:rPr>
        <w:t xml:space="preserve"> – o OpenAlex retorna resultados ordenados por relevância e também disponibiliza dados de afiliação e tópicos que ajudaram na decisão. Atribuímos um </w:t>
      </w:r>
      <w:r w:rsidDel="00000000" w:rsidR="00000000" w:rsidRPr="00000000">
        <w:rPr>
          <w:rFonts w:ascii="Times New Roman" w:cs="Times New Roman" w:eastAsia="Times New Roman" w:hAnsi="Times New Roman"/>
          <w:b w:val="1"/>
          <w:bCs w:val="1"/>
          <w:rtl w:val="0"/>
        </w:rPr>
        <w:t xml:space="preserve">escore de correspondência (</w:t>
      </w:r>
      <w:r w:rsidDel="00000000" w:rsidR="00000000" w:rsidRPr="00000000">
        <w:rPr>
          <w:rFonts w:ascii="Times New Roman" w:cs="Times New Roman" w:eastAsia="Times New Roman" w:hAnsi="Times New Roman"/>
          <w:b w:val="1"/>
          <w:bCs w:val="1"/>
          <w:i w:val="1"/>
          <w:iCs w:val="1"/>
          <w:rtl w:val="0"/>
        </w:rPr>
        <w:t xml:space="preserve">match_score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que indica quão bem o perfil encontrado corresponde ao pesquisador buscado (por exemplo, baseado na similaridade do nome e na coincidência de instituição ou área de atuação). Quando o autor pôde ser identificado de forma unívoca e segura, marcamos o </w:t>
      </w:r>
      <w:r w:rsidDel="00000000" w:rsidR="00000000" w:rsidRPr="00000000">
        <w:rPr>
          <w:rFonts w:ascii="Times New Roman" w:cs="Times New Roman" w:eastAsia="Times New Roman" w:hAnsi="Times New Roman"/>
          <w:i w:val="1"/>
          <w:iCs w:val="1"/>
          <w:rtl w:val="0"/>
        </w:rPr>
        <w:t xml:space="preserve">status</w:t>
      </w:r>
      <w:r w:rsidDel="00000000" w:rsidR="00000000" w:rsidRPr="00000000">
        <w:rPr>
          <w:rFonts w:ascii="Times New Roman" w:cs="Times New Roman" w:eastAsia="Times New Roman" w:hAnsi="Times New Roman"/>
          <w:rtl w:val="0"/>
        </w:rPr>
        <w:t xml:space="preserve"> como "</w:t>
      </w:r>
      <w:r w:rsidDel="00000000" w:rsidR="00000000" w:rsidRPr="00000000">
        <w:rPr>
          <w:rFonts w:ascii="Times New Roman" w:cs="Times New Roman" w:eastAsia="Times New Roman" w:hAnsi="Times New Roman"/>
          <w:b w:val="1"/>
          <w:bCs w:val="1"/>
          <w:rtl w:val="0"/>
        </w:rPr>
        <w:t xml:space="preserve">matched</w:t>
      </w:r>
      <w:r w:rsidDel="00000000" w:rsidR="00000000" w:rsidRPr="00000000">
        <w:rPr>
          <w:rFonts w:ascii="Times New Roman" w:cs="Times New Roman" w:eastAsia="Times New Roman" w:hAnsi="Times New Roman"/>
          <w:rtl w:val="0"/>
        </w:rPr>
        <w:t xml:space="preserve">" (correspondido); caso contrário, marcamos como "</w:t>
      </w:r>
      <w:r w:rsidDel="00000000" w:rsidR="00000000" w:rsidRPr="00000000">
        <w:rPr>
          <w:rFonts w:ascii="Times New Roman" w:cs="Times New Roman" w:eastAsia="Times New Roman" w:hAnsi="Times New Roman"/>
          <w:b w:val="1"/>
          <w:bCs w:val="1"/>
          <w:rtl w:val="0"/>
        </w:rPr>
        <w:t xml:space="preserve">no_match</w:t>
      </w:r>
      <w:r w:rsidDel="00000000" w:rsidR="00000000" w:rsidRPr="00000000">
        <w:rPr>
          <w:rFonts w:ascii="Times New Roman" w:cs="Times New Roman" w:eastAsia="Times New Roman" w:hAnsi="Times New Roman"/>
          <w:rtl w:val="0"/>
        </w:rPr>
        <w:t xml:space="preserve">" e não atribuímos métricas bibliométricas para aquele pesquisador. Dos pesquisadores na base, a grande maioria teve correspondência encontrada; apenas uma parcela menor ficou sem perfil correspondente (por exemplo, possivelmente pesquisadores sem publicações indexadas na OpenAlex ou com nome muito genérico dificultando a identificação). Nesses casos sem correspondência, os campos de métricas (h-index, citações etc.) permanecem vazios e o campo </w:t>
      </w:r>
      <w:r w:rsidDel="00000000" w:rsidR="00000000" w:rsidRPr="00000000">
        <w:rPr>
          <w:rFonts w:ascii="Times New Roman" w:cs="Times New Roman" w:eastAsia="Times New Roman" w:hAnsi="Times New Roman"/>
          <w:i w:val="1"/>
          <w:iCs w:val="1"/>
          <w:rtl w:val="0"/>
        </w:rPr>
        <w:t xml:space="preserve">oa_author_id</w:t>
      </w:r>
      <w:r w:rsidDel="00000000" w:rsidR="00000000" w:rsidRPr="00000000">
        <w:rPr>
          <w:rFonts w:ascii="Times New Roman" w:cs="Times New Roman" w:eastAsia="Times New Roman" w:hAnsi="Times New Roman"/>
          <w:rtl w:val="0"/>
        </w:rPr>
        <w:t xml:space="preserve"> (ID do autor na OpenAlex) também fica em branco.</w:t>
      </w:r>
    </w:p>
    <w:p w:rsidR="00000000" w:rsidDel="00000000" w:rsidP="00000000" w:rsidRDefault="00000000" w:rsidRPr="00000000" w14:paraId="00000019">
      <w:pPr>
        <w:numPr>
          <w:ilvl w:val="0"/>
          <w:numId w:val="2"/>
        </w:numPr>
        <w:spacing w:line="360" w:lineRule="auto"/>
        <w:ind w:left="-141.73228346456688" w:firstLine="850.3937007874015"/>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Integração final dos atributos:</w:t>
      </w:r>
      <w:r w:rsidDel="00000000" w:rsidR="00000000" w:rsidRPr="00000000">
        <w:rPr>
          <w:rFonts w:ascii="Times New Roman" w:cs="Times New Roman" w:eastAsia="Times New Roman" w:hAnsi="Times New Roman"/>
          <w:rtl w:val="0"/>
        </w:rPr>
        <w:t xml:space="preserve"> Com todos os componentes preparados – lista de pesquisadores e instituições, métricas OpenAlex, áreas de atuação, IGC e classificações – foi feita a junção final por meio dos identificadores comuns (nome do pesquisador para métricas, nome normalizado da instituição para IGC e categorias). Cada registro (linha) no banco final representa um </w:t>
      </w:r>
      <w:r w:rsidDel="00000000" w:rsidR="00000000" w:rsidRPr="00000000">
        <w:rPr>
          <w:rFonts w:ascii="Times New Roman" w:cs="Times New Roman" w:eastAsia="Times New Roman" w:hAnsi="Times New Roman"/>
          <w:b w:val="1"/>
          <w:bCs w:val="1"/>
          <w:rtl w:val="0"/>
        </w:rPr>
        <w:t xml:space="preserve">pesquisador</w:t>
      </w:r>
      <w:r w:rsidDel="00000000" w:rsidR="00000000" w:rsidRPr="00000000">
        <w:rPr>
          <w:rFonts w:ascii="Times New Roman" w:cs="Times New Roman" w:eastAsia="Times New Roman" w:hAnsi="Times New Roman"/>
          <w:rtl w:val="0"/>
        </w:rPr>
        <w:t xml:space="preserve"> com todos os seus atributos associados. Caso um pesquisador tenha participado de mais de um edital PIBIC-EM, consolidamos essa informação na forma de campos agregados (listando todos os anos de edital e períodos de vigência em que ele teve bolsa, e contabilizando o número de chamadas).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Após a integração, foi realizada revisão manual pontual para verificar consistência (por exemplo, se o tipo de instituição e a categoria administrativa batiam com o conhecimento prévio de determinadas instituições, se algum h-index parecia muito discrepante, etc.). Estando verificada a consistência, obteve-se então o banco de dados final pronto para análise.</w:t>
      </w:r>
    </w:p>
    <w:p w:rsidR="00000000" w:rsidDel="00000000" w:rsidP="00000000" w:rsidRDefault="00000000" w:rsidRPr="00000000" w14:paraId="0000001B">
      <w:pPr>
        <w:pStyle w:val="Heading2"/>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Estrutura e Descrição das Variáveis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seguir detalhamos todas as variáveis incluídas no banco de dados, organizando-as por grupos temáticos:</w:t>
      </w:r>
    </w:p>
    <w:p w:rsidR="00000000" w:rsidDel="00000000" w:rsidP="00000000" w:rsidRDefault="00000000" w:rsidRPr="00000000" w14:paraId="0000001D">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Dados do Pesquisador e Participação no PIBIC-EM</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Pesquisador_nome: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Nome completo do pesquisador (proponente) conforme extraído dos resultados dos editais PIBIC-EM</w:t>
      </w:r>
      <w:hyperlink r:id="rId1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Este campo identifica o docente/orientador que teve seu projeto aprovado para bolsas de Iniciação Científica Júnior (Ensino Médio). Cada nome é único na base (após normalização para remover duplicatas exatas) e corresponde a um indivíduo.</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Ano(s) do edital (Chamada):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Lista de anos e identificações dos editais PIBIC-EM nos quais o pesquisador teve aprovação. Quando o pesquisador participou de múltiplas chamadas, todos os anos são listados separados por ponto e vírgula. Por exemplo, um valor possível seria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"2014 (PIBIC-EM 2014-2016); 2016 (CNPq 07/2016)"</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indicando que aquele pesquisador foi contemplado no edital de 2014 (ciclo 2014-2016) e no edital de 2016 (Chamada CNPq nº 07/2016). Esse campo preserva também, entre parênteses, a referência oficial do edital conforme divulgada (quando disponível), o que explica a presença de códigos como "CNPq 07/2016", "CNPq 35/2022" etc.</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Período(s) de vigência: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o período de duração das bolsas referentes a cada edital listado no campo anterior. Segue a mesma ordem e separação; por exemplo, se o pesquisador teve bolsas em 2014-2016 e 2016-2018, este campo trará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"2014-2016; 2016-2018"</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respectivamente. Em alguns casos, os períodos podem ter durações diferentes – notadamente, o edital de 2020 teve vigência 2020-2021 (um intervalo mais curto), enquanto outros são bienais ou trienais.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n_chamada: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Número de chamadas (editais) distintas nas quais o pesquisador figurou como contemplado. É um valor inteiro que conta quantas vezes o nome aparece nas listas de resultados ao longo de 2014–2024. Por exemplo, um pesquisador que participou de três editais diferentes terá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n_chamada = 3</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Essa variável quantifica a recorrência do pesquisador no programa PIBIC-EM.</w:t>
      </w:r>
    </w:p>
    <w:p w:rsidR="00000000" w:rsidDel="00000000" w:rsidP="00000000" w:rsidRDefault="00000000" w:rsidRPr="00000000" w14:paraId="00000022">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Métricas Bibliométricas do Pesquisador (OpenAlex)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(Todos os indicadores deste grupo foram obtidos da base OpenAlex, referentes à data de extração em outubro/2025, e dizem respeito à produção científica atribuída ao autor/pesquisador em questão.)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h_index: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índice h do pesquisador, conforme calculado pela OpenAlex.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h-index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é definido como o número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h</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publicações do autor que têm pelo menos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h</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citações cada.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h_index = 10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significa que o pesquisador tem 10 trabalhos com 10 ou mais citações. Esse valor foi diretamente fornecido pela API da OpenAlex para cada autor</w:t>
      </w:r>
      <w:hyperlink r:id="rId1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i10_index: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índice i10 do pesquisador, também fornecido pela OpenAlex.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i10-index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representa o número de publicações do autor com pelo menos 10 citações cada (métrica originalmente popularizada pelo Google Scholar).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i10_index = 15</w:t>
      </w:r>
      <w:sdt>
        <w:sdtPr>
          <w:id w:val="6401818"/>
          <w:tag w:val="goog_rdk_0"/>
        </w:sdtPr>
        <w:sdtContent>
          <w:r w:rsidDel="00000000" w:rsidR="00000000" w:rsidRPr="00000000">
            <w:rPr>
              <w:rFonts w:ascii="Gungsuh" w:cs="Gungsuh" w:eastAsia="Gungsuh" w:hAnsi="Gungsuh"/>
              <w:i w:val="0"/>
              <w:iCs w:val="0"/>
              <w:smallCaps w:val="0"/>
              <w:strike w:val="0"/>
              <w:color w:val="000000"/>
              <w:u w:val="none"/>
              <w:shd w:fill="auto" w:val="clear"/>
              <w:vertAlign w:val="baseline"/>
              <w:rtl w:val="0"/>
            </w:rPr>
            <w:t xml:space="preserve"> indica que o autor possui 15 publicações com ≥10 citações. Assim como o h-index, o i10-index aqui está restrito ao conjunto de publicações indexadas na OpenAlex para aquele autor (podendo diferir de outras plataformas).</w:t>
            <w:br w:type="textWrapping"/>
            <w:t xml:space="preserve">- </w:t>
          </w:r>
        </w:sdtContent>
      </w:sdt>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works_count: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Quantidade de trabalhos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do pesquisador indexados na OpenAlex. Inclui artigos, conferências e outros tipos de publicação catalogados para o autor. Esse número reflete o volume de publicações do pesquisador segundo o registro OpenAlex.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works_count = 50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que 50 publicações do autor constam na base de dados.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cited_by_count: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Total de citações recebidas somadas por todas as publicações do pesquisador, de acordo com a OpenAlex. Em outras palavras, é o número de vezes que os trabalhos do autor foram citados por outros trabalhos (conforme indexado na OpenAlex).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cited_by_count = 1200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significa que, no total, as obras daquele autor acumulam 1.200 citações na base. Este indicador fornece uma medida agregada do impacto do pesquisador.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(Observação: Todos os valores acima refletem o estado da base no momento da coleta (2025) e não são estáticos – podem aumentar com o tempo se o pesquisador continuar publicando ou recebendo citações. No entanto, para efeito deste estudo, capturamos um retrato congelado em 2025.)</w:t>
      </w:r>
      <w:r w:rsidDel="00000000" w:rsidR="00000000" w:rsidRPr="00000000">
        <w:rPr>
          <w:rtl w:val="0"/>
        </w:rPr>
      </w:r>
    </w:p>
    <w:p w:rsidR="00000000" w:rsidDel="00000000" w:rsidP="00000000" w:rsidRDefault="00000000" w:rsidRPr="00000000" w14:paraId="00000025">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Áreas de Atuação do Pesquisador (OpenAlex)</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(Estas variáveis caracterizam as principais áreas de pesquisa de cada autor, inferidas a partir dos tópicos/conceitos associados às suas publicações na 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grande_area_openalex: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grande área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do conhecimento predominante para o pesquisador, conforme os conceitos de classificação da OpenAlex. Corresponde a um domínio amplo (nível macro) em que o autor atua com mais frequência. Exemplos de grandes áreas são: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Ciências Exatas e da Terra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Engenharias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Ciências da Saúde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Ciências Humanas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etc., mas na OpenAlex muitas vezes elas aparecem pelo nome da disciplina em inglês ou de forma agregada (por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Physics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Medicine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Social Sciences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Arts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No contexto da nossa base, este campo traz o nome da grande área mais associada ao pesquisador. A determinação foi feita contabilizando-se todos os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conceitos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atribuídos às obras do autor: identificamos qual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conceito de alto nível (nível 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era o mais frequente. Por exemplo, se a maioria das publicações de um autor está em subcampos da física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condensed matter physics, particle physics,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etc.), a grande área resultante é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Physics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grande_area_freq:</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Número de publicações do pesquisador associadas à grande área acima. Indica, portanto, em quantos trabalhos do autor aquele domínio amplo aparece. Usando o exemplo anterior, se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grande_area_openalex = Physics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grande_area_freq = 120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significa que 120 publicações do autor têm classificações vinculadas à área de Física (pode haver múltiplas áreas por trabalho, mas aqui contamos ocorrências totais). Esse valor dá uma noção do tamanho da produção do autor naquela grande área.</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grande_area_score_sum: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Soma dos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scores de relevância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todos os conceitos pertencentes à grande área mencionada, para este autor. O OpenAlex atribui a cada autor um score (0 a 100) para cada conceito, refletindo a força da associação daquele autor com o tópico. Aqui, somamos os scores de todos os conceitos que caem na grande área principal. Assim, um valor mais alto indica que não apenas o autor tem muitos trabalhos naquela área, mas também que esses trabalhos estão fortemente associados a ela segundo a métrica do OpenAlex. Esse número é útil para complementar a frequência, dando peso à relevância.</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area_openalex: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área específica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 pesquisa de maior destaque para o autor, de acordo com os conceitos da OpenAlex. Diferentemente da grande área (macro), aqui identificamos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tópico específico (conceito de nível mais granular)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que aparece com mais proeminência nos trabalhos do autor. Geralmente, este será um subcampo dentro da grande área. Por exemplo, um autor cuja grande área é Física pode ter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"Condensed Matter Physics"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(Física da Matéria Condensada) como área específica principal, se for o tópico mais recorrente em suas publicações; outro na grande área Medicina pode ter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"Virology"</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(Virologia) como área específica. Registramos o nome dessa área conforme o termo utilizado pela OpenAlex.</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area_freq:</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Frequência de publicações associadas à área específica acima. Funciona de forma análoga à grande_area_freq, mas contando ocorrências do conceito mais específico. Exemplo: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area_openalex = Virology; area_freq = 30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que o conceito "Virology" foi atribuído a 30 publicações do autor (possivelmente a maioria de seus trabalhos, se ele for um virologista).</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area_score_sum: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Soma dos scores de relevância para o autor no conceito específico mencionado. Similar ao grande_area_score_sum, mas focado no conceito estreito. Esse valor acumulado reflete quão fortemente o pesquisador é associado a esse tópico na OpenAlex. Seguindo o mesmo exemplo, um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area_score_sum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elevado para Virology reforça que grande parte da carreira do autor está concentrada nesse tema.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(Vale notar que, em geral, grande_area_openalex e area_openalex estarão relacionadas hierarquicamente – a área específica costuma ser uma subcategoria pertencente à grande área. As frequências e scores ajudam a entender se o autor é bastante focado em um único tópico ou se atua em vários tópicos dentro de uma grande área.)</w:t>
      </w:r>
      <w:r w:rsidDel="00000000" w:rsidR="00000000" w:rsidRPr="00000000">
        <w:rPr>
          <w:rtl w:val="0"/>
        </w:rPr>
      </w:r>
    </w:p>
    <w:p w:rsidR="00000000" w:rsidDel="00000000" w:rsidP="00000000" w:rsidRDefault="00000000" w:rsidRPr="00000000" w14:paraId="00000028">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Dados da Instituição de Vínculo do Pesquisador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(Este conjunto de variáveis descreve a instituição à qual o pesquisador estava vinculado quando participou do PIBIC-EM, conforme informado no edital, enriquecido com informações externas.)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inst_norm: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Nome da instituição de vínculo do pesquisador,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normalizado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 padronizado. Esse é o nome institucional já tratado para coincidir com nomenclaturas oficiais. Corresponde geralmente à universidade, instituto ou organização onde o pesquisador executou o projeto PIBIC-EM. Por exemplo, se no resultado do edital constava "UFBA", aqui aparece como "Universidade Federal da Bahia". Da mesma forma "Centro Brasileiro de Pesquisas Físicas" aparece normalizado exatamente assim, mesmo que em alguma lista pudesse estar abreviado. Em síntese,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inst_norm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é a identificação institucional utilizada consistentemente para cruzamento de dados.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Regiao_Geografica: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região do Brasil em que se localiza a instituição (inst_norm). As regiões consideradas são as cinco oficiais: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Norte, Nordeste, Centro-Oeste, Sudeste, Sul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Esta informação foi derivada a partir da unidade da federação da instituição (por exemplo, instituições do RJ, SP, MG, ES foram classificadas como Sudeste). Assim, temos uma ideia da distribuição geográfica dos pesquisadores por região do país.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Sigla_UF:</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sigla da Unidade Federativa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(estado) onde se localiza a instituição. Exemplos: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SP</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para São Paulo,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RJ</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para Rio de Janeiro,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DF</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para Distrito Federal, etc. Este campo facilita filtrar ou agrupar os dados por estado. Ele foi atribuído com base no campus sede da instituição ou conforme conhecido (por exemplo, todas as instituições federais têm um estado sede; no caso de instituições multicampi, consideramos a sede principal).</w:t>
      </w:r>
    </w:p>
    <w:p w:rsidR="00000000" w:rsidDel="00000000" w:rsidP="00000000" w:rsidRDefault="00000000" w:rsidRPr="00000000" w14:paraId="0000002A">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Indicador de Qualidade e Classificação da Instituição</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inst_IGC_faixa: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Faixa do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Índice Geral de Cursos (IGC)</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atribuída à instituição (inst_norm). É representado como um número de 1 a 5, onde 1 indica desempenho mais baixo e 5 desempenho mais alto, de acordo com a avaliação oficial mais recente (ano de 2023) do INEP. Por exemplo, se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inst_IGC_faixa = 4</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significa que a instituição obteve conceito 4 no IGC 2023, considerado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muito bom</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(enquanto 5 seria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excelente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Instituições que não possuem IGC (não são classificadas pelo MEC) aparecem com valor vazio ou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NaN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indicando ausência de dado aplicável. Esse indicador permite análises correlacionando a qualidade institucional (segundo MEC/INEP) com outros aspectos, sabendo-se que foi coletado uniformemente para o mesmo ano de referência para todas as instituições.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Class_Instituicao: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Classe ou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tipo da instituição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conforme categorização derivada do Cadastro e-MEC (explicada na seção anterior). Os valores possíveis neste campo incluem:</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(Instituição de Ensino Superior) – englobando universidades, centros universitários e faculdades em geral;</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Instituto Federal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para os Institutos Federais de Educação, Ciência e Tecnologia (e CEFETs, embora estes foram mantidos separados);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CEFET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Centro Federal de Educação Tecnológica (categoria específica, aplicada por exemplo ao CEFET-RJ e CEFET-MG);</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Instituto de Pesquisa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organizações focadas em P&amp;D que não configuram IES convencionais (por ex., institutos vinculados a ministérios, centros de pesquisa como Fiocruz, Embrapa, etc., quando presentes);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Organizacao Social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entidades qualificadas como organizações sociais, tipicamente ligadas à pesquisa ou ensino, mas com modelo de gestão diferenciado (por ex., algumas instituições de pesquisa ou gestão acadêmica podem estar sob esse modelo);</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Orgao Publico</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 outros órgãos governamentais eventualmente presentes (como fundações ou secretarias estaduais de educação/ciência, se algum pesquisador estiver vinculado a elas).</w:t>
        <w:br w:type="textWrapping"/>
        <w:t xml:space="preserve">Esse campo fornece uma visão categórica imediata do tipo de instituição. Por exemplo, podemos distinguir se a maioria dos proponentes vem de universidades vs. institutos federais, etc.</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Inst_categoria: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categoria administrativa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ampla da instituição, agrupada em poucas classes. Os valores principais são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PUBLICA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PRIVADA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ORGANIZACAO SOCIAL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ou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NAO SE APLICA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Essa variável é derivada da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CATEGORIA_ADMINISTRATIVA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(descrita abaixo) consolidando as subcategorias oficiais em grupos maiores. Em suma, indica se a instituição é pública (de qualquer esfera), privada ou outro arranjo. Por exemplo, universidades federais, estaduais e municipais todas aparecerão aqui como "PUBLICA"; universidades particulares como "PRIVADA"; fundações ou institutos sob modelo de organização social aparecerão como "ORGANIZACAO SOCIAL". Quando não cabível (instituições não classificadas no MEC), usamos "NAO SE APLICA".</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CATEGORIA_ADMINISTRATIVA: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categoria administrativa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oficial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da instituição conforme registro do MEC/e-MEC. Aqui constam designações específicas, tais como: "PÚBLICA FEDERAL", "PÚBLICA ESTADUAL", "PÚBLICA MUNICIPAL", "PRIVADA SEM FINS LUCRATIVOS", "PRIVADA COM FINS LUCRATIVOS", "COMUNITARIA/CONFESSIONAL" (tipos especiais de privadas de caráter comunitário ou religioso), "ESPECIAL" (categoria para algumas instituições públicas específicas, como escolas militares, por exemplo), entre outras. Este campo é textual e reflete exatamente a classificação empregada pelo MEC. Em essência,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CATEGORIA_ADMINISTRATIVA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detalha a natureza jurídico-administrativa da mantenedora da instituição. Nos casos das instituições que não possuem registro MEC (p.ex. institutos de pesquisa não educacionais), este campo está preenchido com "NAO SE APLICA". A presença dessa variável permite análises mais refinadas dentro do âmbito público/privado — por exemplo, diferenciar quantos pesquisadores provêm de instituições públicas federais versus estaduais, ou de privadas com e sem fins lucrativos, etc.</w:t>
      </w:r>
    </w:p>
    <w:p w:rsidR="00000000" w:rsidDel="00000000" w:rsidP="00000000" w:rsidRDefault="00000000" w:rsidRPr="00000000" w14:paraId="00000035">
      <w:pPr>
        <w:pStyle w:val="Heading3"/>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Variáveis de Correspondência com OpenAlex</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oa_author_id:</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Identificador único do autor na base OpenAlex. Trata-se de um código/URI fornecido pela OpenAlex que corresponde ao perfil do pesquisador naquela base (por exemplo: https://openalex.org/A523456789 é um ID de autor). No banco de dados, incluímos esse ID para referência e possibilidade de consulta cruzada direta na OpenAlex se necessário. Se um pesquisador não teve perfil encontrado na OpenAlex (caso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no_match</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este campo fica em branco.</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areas_fonte: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fonte ou método utilizado para determinar as áreas de atuação (grande_area_openalex e area_openalex)</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Em praticamente todos os casos de correspondência bem-sucedida foi utilizado o método de varredura completa das publicações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"works_full_scan"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conforme descrito na seção de métricas bibliométricas. Assim, o valor presente na maioria dos registros é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works_full_scan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significando que percorremos todos os trabalhos do autor na OpenAlex para compilar os conceitos mais frequentes. Este campo existe principalmente para documentação do processo; se houvesse uso de outro método (por exemplo, utilizar diretamente os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x_concepts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do objeto autor, ou inferência parcial), seria indicado aqui – mas no estado atual,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works_full_scan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é o padrão e valores diferentes seriam exceções.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match_status: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Status da correspondência do pesquisador com um perfil OpenAlex, podendo ser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"matched"</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ou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"no_match"</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"matched" significa que o perfil do autor foi encontrado e confirmado, e portanto todas as métricas e áreas OpenAlex associadas são válidas para aquele pesquisador. "no_match" indica que não foi possível identificar com segurança um perfil OpenAlex para o nome em questão – nesses casos, as variáveis de métricas e áreas permanecerão vazias (ou zero) e o registro contém apenas as informações provenientes das chamadas (nome, instituição) e possivelmente IGC/classificações se aplicável. Esse status serve como alerta de qualidade dos dados bibliométricos: qualquer análise de métricas deve desconsiderar ou tratar separadamente os casos "no_match".</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match_score: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Valor numérico (geralmente entre 0 e 1) representando o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grau de confiança na correspondência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feita entre o pesquisador e o perfil OpenAlex. Quanto mais próximo de 1, mais forte a convicção de que o perfil é correto. Esse score foi derivado da relevância retornada pela busca na OpenAlex e de critérios adicionais (como matching de afiliação). Por exemplo, um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match_score = 0.90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altíssima confiança no match, enquanto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0.70</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seria um match mais incerto (porém ainda aceito como válido se manualmente verificado). Este campo é útil caso queiramos filtrar análises apenas em matches muito seguros, ou investigar casos fronteiriços. Para pesquisadores com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no_match</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 valor do score pode estar ausente ou zero.</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141.73228346456688" w:right="0" w:firstLine="850.3937007874015"/>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notes: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Campo de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notas adicionais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sobre o registro, usado para eventuais observações qualitativas. Em geral, este campo permanece vazio na maioria dos registros. Poderia conter, por exemplo, comentários sobre a escolha de um perfil entre homônimos (caso tivéssemos que fazer alguma arbitrariedade), ou indicação de ajustes manuais. No estado atual do banco de dados, não há praticamente anotações aqui exceto raras exceções, de modo que ele serve mais como um espaço reservado para documentar quaisquer peculiaridades caso fossem necessárias.</w:t>
      </w:r>
    </w:p>
    <w:bookmarkStart w:colFirst="0" w:colLast="0" w:name="bookmark=id.u3n73195m9qh" w:id="0"/>
    <w:bookmarkEnd w:id="0"/>
    <w:p w:rsidR="00000000" w:rsidDel="00000000" w:rsidP="00000000" w:rsidRDefault="00000000" w:rsidRPr="00000000" w14:paraId="0000003B">
      <w:pPr>
        <w:pStyle w:val="Heading2"/>
        <w:spacing w:line="360" w:lineRule="auto"/>
        <w:ind w:left="-141.73228346456688" w:firstLine="850.39370078740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Conclusão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construção deste banco de dados envolveu a integração cuidadosa de fontes heterogêneas para fornecer uma visão abrangente sobre os pesquisadores atuantes no PIBIC-EM ao longo de mais de uma década. Cada variável adicionada enriquece as possibilidades de análise – desde o aspecto de produtividade científica individual (métricas de citação e índice) e perfil de atuação acadêmica (áreas de pesquisa) até o contexto institucional (qualidade da IES e natureza desta).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Mantivemos a consistência das informações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ao utilizar fontes oficiais e atualizadas (por exemplo, todos os indicadores bibliométricos de uma mesma fonte e ano, indicadores institucionais de um mesmo ciclo) e ao aplicar processos de normalização e verificação de correspondência. Com isso, o banco de dados resultante está devidamente documentado e pronto para ser explorado em estudos que correlacionem a participação no PIBIC-EM com fatores como desempenho científico, distribuição geográfica, tipos de instituições e outros insights que se tornem possíveis a partir das variáveis compiladas.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Referências Utilizadas: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Dados obtidos das chamadas públicas do PIBIC-EM/CNPq</w:t>
      </w:r>
      <w:hyperlink r:id="rId1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documentação e API do OpenAlex (consulta de autores e métricas)</w:t>
      </w:r>
      <w:hyperlink r:id="rId1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dados abertos do INEP sobre IGC (2023)</w:t>
      </w:r>
      <w:hyperlink r:id="rId1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informações institucionais do cadastro e-MEC (MEC).</w:t>
      </w:r>
    </w:p>
    <w:p w:rsidR="00000000" w:rsidDel="00000000" w:rsidP="00000000" w:rsidRDefault="00000000" w:rsidRPr="00000000" w14:paraId="0000003E">
      <w:pPr>
        <w:spacing w:line="360" w:lineRule="auto"/>
        <w:ind w:left="-141.73228346456688" w:firstLine="850.3937007874015"/>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i w:val="0"/>
          <w:iCs w:val="0"/>
          <w:smallCaps w:val="0"/>
          <w:strike w:val="0"/>
          <w:color w:val="000000"/>
          <w:u w:val="none"/>
          <w:shd w:fill="auto" w:val="clear"/>
          <w:vertAlign w:val="baseline"/>
        </w:rPr>
      </w:pPr>
      <w:hyperlink r:id="rId1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Chamada 07-2016 PIBIC-EM 2016-2018 - Resultado Final.pdf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i w:val="0"/>
          <w:iCs w:val="0"/>
          <w:smallCaps w:val="0"/>
          <w:strike w:val="0"/>
          <w:color w:val="000000"/>
          <w:u w:val="none"/>
          <w:shd w:fill="auto" w:val="clear"/>
          <w:vertAlign w:val="baseline"/>
        </w:rPr>
      </w:pPr>
      <w:hyperlink r:id="rId1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file://file-XNgMczeS9A6f4fxJuBioH4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i w:val="0"/>
          <w:iCs w:val="0"/>
          <w:smallCaps w:val="0"/>
          <w:strike w:val="0"/>
          <w:color w:val="000000"/>
          <w:u w:val="none"/>
          <w:shd w:fill="auto" w:val="clear"/>
          <w:vertAlign w:val="baseline"/>
        </w:rPr>
      </w:pPr>
      <w:hyperlink r:id="rId1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Author object | OpenAlex technical documentation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i w:val="0"/>
          <w:iCs w:val="0"/>
          <w:smallCaps w:val="0"/>
          <w:strike w:val="0"/>
          <w:color w:val="000000"/>
          <w:u w:val="none"/>
          <w:shd w:fill="auto" w:val="clear"/>
          <w:vertAlign w:val="baseline"/>
        </w:rPr>
      </w:pPr>
      <w:hyperlink r:id="rId1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https://docs.openalex.org/api-entities/authors/author-object</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i w:val="0"/>
          <w:iCs w:val="0"/>
          <w:smallCaps w:val="0"/>
          <w:strike w:val="0"/>
          <w:color w:val="000000"/>
          <w:u w:val="none"/>
          <w:shd w:fill="auto" w:val="clear"/>
          <w:vertAlign w:val="baseline"/>
        </w:rPr>
      </w:pPr>
      <w:hyperlink r:id="rId2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Índice Geral de Cursos (IGC) — Instituto Nacional de Estudos e Pesquisas Educacionais Anísio Teixeira | Inep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https://www.gov.br/inep/pt-br/areas-de-atuacao/pesquisas-estatisticas-e-indicadores/indicadores-de-qualidade-da-educacao-superior/indice-geral-de-cursos-igc</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73228346456688" w:right="0" w:firstLine="850.393700787401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spacing w:after="180" w:before="180" w:line="360" w:lineRule="auto"/>
        <w:ind w:left="-141.73228346456688" w:firstLine="850.3937007874015"/>
        <w:rPr>
          <w:rFonts w:ascii="Times New Roman" w:cs="Times New Roman" w:eastAsia="Times New Roman" w:hAnsi="Times New Roman"/>
          <w:b w:val="1"/>
          <w:bCs w:val="1"/>
          <w:color w:val="000000"/>
          <w:sz w:val="24"/>
          <w:szCs w:val="24"/>
        </w:rPr>
      </w:pPr>
      <w:bookmarkStart w:colFirst="0" w:colLast="0" w:name="_heading=h.8rbalco05v9h" w:id="1"/>
      <w:bookmarkEnd w:id="1"/>
      <w:r w:rsidDel="00000000" w:rsidR="00000000" w:rsidRPr="00000000">
        <w:rPr>
          <w:rFonts w:ascii="Times New Roman" w:cs="Times New Roman" w:eastAsia="Times New Roman" w:hAnsi="Times New Roman"/>
          <w:b w:val="1"/>
          <w:bCs w:val="1"/>
          <w:color w:val="000000"/>
          <w:sz w:val="24"/>
          <w:szCs w:val="24"/>
          <w:rtl w:val="0"/>
        </w:rPr>
        <w:t xml:space="preserve">Etapa 2: Análise Descritiva </w:t>
      </w:r>
    </w:p>
    <w:p w:rsidR="00000000" w:rsidDel="00000000" w:rsidP="00000000" w:rsidRDefault="00000000" w:rsidRPr="00000000" w14:paraId="00000047">
      <w:pPr>
        <w:spacing w:line="360" w:lineRule="auto"/>
        <w:ind w:left="-141.73228346456688" w:firstLine="850.393700787401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pStyle w:val="Heading1"/>
        <w:spacing w:line="360" w:lineRule="auto"/>
        <w:ind w:left="-141.73228346456688" w:firstLine="850.3937007874015"/>
        <w:rPr>
          <w:rFonts w:ascii="Times New Roman" w:cs="Times New Roman" w:eastAsia="Times New Roman" w:hAnsi="Times New Roman"/>
          <w:b w:val="1"/>
          <w:bCs w:val="1"/>
          <w:color w:val="000000"/>
          <w:sz w:val="24"/>
          <w:szCs w:val="24"/>
        </w:rPr>
      </w:pPr>
      <w:bookmarkStart w:colFirst="0" w:colLast="0" w:name="_heading=h.3uzms5t1bx1q" w:id="2"/>
      <w:bookmarkEnd w:id="2"/>
      <w:r w:rsidDel="00000000" w:rsidR="00000000" w:rsidRPr="00000000">
        <w:rPr>
          <w:rFonts w:ascii="Times New Roman" w:cs="Times New Roman" w:eastAsia="Times New Roman" w:hAnsi="Times New Roman"/>
          <w:b w:val="1"/>
          <w:bCs w:val="1"/>
          <w:color w:val="000000"/>
          <w:sz w:val="24"/>
          <w:szCs w:val="24"/>
          <w:rtl w:val="0"/>
        </w:rPr>
        <w:t xml:space="preserve">Etapa 3: Testes de Associação  </w:t>
      </w:r>
    </w:p>
    <w:p w:rsidR="00000000" w:rsidDel="00000000" w:rsidP="00000000" w:rsidRDefault="00000000" w:rsidRPr="00000000" w14:paraId="00000049">
      <w:pPr>
        <w:pStyle w:val="Heading1"/>
        <w:spacing w:line="360" w:lineRule="auto"/>
        <w:ind w:left="-141.73228346456688" w:firstLine="850.3937007874015"/>
        <w:rPr>
          <w:rFonts w:ascii="Times New Roman" w:cs="Times New Roman" w:eastAsia="Times New Roman" w:hAnsi="Times New Roman"/>
          <w:b w:val="1"/>
          <w:bCs w:val="1"/>
          <w:color w:val="000000"/>
          <w:sz w:val="24"/>
          <w:szCs w:val="24"/>
        </w:rPr>
      </w:pPr>
      <w:bookmarkStart w:colFirst="0" w:colLast="0" w:name="_heading=h.3uzms5t1bx1q" w:id="2"/>
      <w:bookmarkEnd w:id="2"/>
      <w:r w:rsidDel="00000000" w:rsidR="00000000" w:rsidRPr="00000000">
        <w:rPr>
          <w:rFonts w:ascii="Times New Roman" w:cs="Times New Roman" w:eastAsia="Times New Roman" w:hAnsi="Times New Roman"/>
          <w:b w:val="1"/>
          <w:bCs w:val="1"/>
          <w:color w:val="000000"/>
          <w:sz w:val="24"/>
          <w:szCs w:val="24"/>
          <w:rtl w:val="0"/>
        </w:rPr>
        <w:t xml:space="preserve">Etapa 4: Modelos Explicativos  </w:t>
      </w:r>
    </w:p>
    <w:p w:rsidR="00000000" w:rsidDel="00000000" w:rsidP="00000000" w:rsidRDefault="00000000" w:rsidRPr="00000000" w14:paraId="0000004A">
      <w:pPr>
        <w:pStyle w:val="Heading1"/>
        <w:spacing w:line="360" w:lineRule="auto"/>
        <w:ind w:left="-141.73228346456688" w:firstLine="850.3937007874015"/>
        <w:rPr>
          <w:rFonts w:ascii="Times New Roman" w:cs="Times New Roman" w:eastAsia="Times New Roman" w:hAnsi="Times New Roman"/>
          <w:b w:val="1"/>
          <w:bCs w:val="1"/>
          <w:color w:val="000000"/>
          <w:sz w:val="24"/>
          <w:szCs w:val="24"/>
        </w:rPr>
      </w:pPr>
      <w:bookmarkStart w:colFirst="0" w:colLast="0" w:name="_heading=h.3uzms5t1bx1q" w:id="2"/>
      <w:bookmarkEnd w:id="2"/>
      <w:r w:rsidDel="00000000" w:rsidR="00000000" w:rsidRPr="00000000">
        <w:rPr>
          <w:rFonts w:ascii="Times New Roman" w:cs="Times New Roman" w:eastAsia="Times New Roman" w:hAnsi="Times New Roman"/>
          <w:b w:val="1"/>
          <w:bCs w:val="1"/>
          <w:color w:val="000000"/>
          <w:sz w:val="24"/>
          <w:szCs w:val="24"/>
          <w:rtl w:val="0"/>
        </w:rPr>
        <w:t xml:space="preserve">Etapa 5: Análises de Tendência  </w:t>
      </w:r>
    </w:p>
    <w:p w:rsidR="00000000" w:rsidDel="00000000" w:rsidP="00000000" w:rsidRDefault="00000000" w:rsidRPr="00000000" w14:paraId="0000004B">
      <w:pPr>
        <w:pStyle w:val="Heading1"/>
        <w:spacing w:line="360" w:lineRule="auto"/>
        <w:ind w:left="-141.73228346456688" w:firstLine="850.3937007874015"/>
        <w:rPr>
          <w:rFonts w:ascii="Times New Roman" w:cs="Times New Roman" w:eastAsia="Times New Roman" w:hAnsi="Times New Roman"/>
          <w:b w:val="1"/>
          <w:bCs w:val="1"/>
          <w:color w:val="000000"/>
          <w:sz w:val="24"/>
          <w:szCs w:val="24"/>
        </w:rPr>
      </w:pPr>
      <w:bookmarkStart w:colFirst="0" w:colLast="0" w:name="_heading=h.5xb5wjqvj3ki" w:id="3"/>
      <w:bookmarkEnd w:id="3"/>
      <w:r w:rsidDel="00000000" w:rsidR="00000000" w:rsidRPr="00000000">
        <w:rPr>
          <w:rFonts w:ascii="Times New Roman" w:cs="Times New Roman" w:eastAsia="Times New Roman" w:hAnsi="Times New Roman"/>
          <w:b w:val="1"/>
          <w:bCs w:val="1"/>
          <w:color w:val="000000"/>
          <w:sz w:val="24"/>
          <w:szCs w:val="24"/>
          <w:rtl w:val="0"/>
        </w:rPr>
        <w:t xml:space="preserve">Etapa 6: Integração e Discussão</w:t>
      </w:r>
    </w:p>
    <w:p w:rsidR="00000000" w:rsidDel="00000000" w:rsidP="00000000" w:rsidRDefault="00000000" w:rsidRPr="00000000" w14:paraId="0000004C">
      <w:pPr>
        <w:spacing w:line="360" w:lineRule="auto"/>
        <w:ind w:left="-141.73228346456688" w:firstLine="850.39370078740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Title"/>
        <w:spacing w:line="360" w:lineRule="auto"/>
        <w:ind w:left="-141.73228346456688" w:firstLine="850.3937007874015"/>
        <w:jc w:val="center"/>
        <w:rPr>
          <w:rFonts w:ascii="Times New Roman" w:cs="Times New Roman" w:eastAsia="Times New Roman" w:hAnsi="Times New Roman"/>
          <w:b w:val="1"/>
          <w:bCs w:val="1"/>
          <w:sz w:val="24"/>
          <w:szCs w:val="24"/>
        </w:rPr>
      </w:pPr>
      <w:bookmarkStart w:colFirst="0" w:colLast="0" w:name="_heading=h.nflmr1uizrdy" w:id="4"/>
      <w:bookmarkEnd w:id="4"/>
      <w:r w:rsidDel="00000000" w:rsidR="00000000" w:rsidRPr="00000000">
        <w:rPr>
          <w:rFonts w:ascii="Times New Roman" w:cs="Times New Roman" w:eastAsia="Times New Roman" w:hAnsi="Times New Roman"/>
          <w:b w:val="1"/>
          <w:bCs w:val="1"/>
          <w:sz w:val="24"/>
          <w:szCs w:val="24"/>
          <w:rtl w:val="0"/>
        </w:rPr>
        <w:t xml:space="preserve">Apêndice </w:t>
      </w:r>
    </w:p>
    <w:p w:rsidR="00000000" w:rsidDel="00000000" w:rsidP="00000000" w:rsidRDefault="00000000" w:rsidRPr="00000000" w14:paraId="0000004E">
      <w:pPr>
        <w:spacing w:line="360" w:lineRule="auto"/>
        <w:ind w:left="-141.73228346456688" w:firstLine="850.39370078740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ind w:left="-141.73228346456688" w:firstLine="850.3937007874015"/>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000ee"/>
            <w:u w:val="single"/>
            <w:rtl w:val="0"/>
          </w:rPr>
          <w:t xml:space="preserve">Acompanhamento_Analises_PIBICEM.xlsx</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Ttulo7">
    <w:name w:val="heading 7"/>
    <w:basedOn w:val="Normal"/>
    <w:next w:val="Corpodetexto"/>
    <w:link w:val="Ttulo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Corpodetexto"/>
    <w:link w:val="Ttulo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Corpodetexto"/>
    <w:link w:val="Ttulo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detexto">
    <w:name w:val="Body Text"/>
    <w:basedOn w:val="Normal"/>
    <w:qFormat w:val="1"/>
    <w:pPr>
      <w:spacing w:after="180" w:before="180"/>
    </w:pPr>
  </w:style>
  <w:style w:type="paragraph" w:styleId="FirstParagraph" w:customStyle="1">
    <w:name w:val="First Paragraph"/>
    <w:basedOn w:val="Corpodetexto"/>
    <w:next w:val="Corpodetexto"/>
    <w:qFormat w:val="1"/>
  </w:style>
  <w:style w:type="paragraph" w:styleId="Compact" w:customStyle="1">
    <w:name w:val="Compact"/>
    <w:basedOn w:val="Corpodetexto"/>
    <w:qFormat w:val="1"/>
    <w:pPr>
      <w:spacing w:after="36" w:before="36"/>
    </w:pPr>
  </w:style>
  <w:style w:type="character" w:styleId="TtuloChar" w:customStyle="1">
    <w:name w:val="Título Char"/>
    <w:basedOn w:val="Fontepargpadro"/>
    <w:link w:val="Ttulo"/>
    <w:uiPriority w:val="10"/>
    <w:rsid w:val="00A10FD9"/>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Corpodetexto"/>
    <w:qFormat w:val="1"/>
    <w:pPr>
      <w:keepNext w:val="1"/>
      <w:keepLines w:val="1"/>
      <w:jc w:val="center"/>
    </w:pPr>
  </w:style>
  <w:style w:type="paragraph" w:styleId="Data">
    <w:name w:val="Date"/>
    <w:next w:val="Corpodetexto"/>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Corpodetexto"/>
    <w:qFormat w:val="1"/>
    <w:pPr>
      <w:keepNext w:val="1"/>
      <w:keepLines w:val="1"/>
      <w:spacing w:after="300" w:before="100"/>
    </w:pPr>
    <w:rPr>
      <w:sz w:val="20"/>
      <w:szCs w:val="20"/>
    </w:rPr>
  </w:style>
  <w:style w:type="paragraph" w:styleId="Bibliografia">
    <w:name w:val="Bibliography"/>
    <w:basedOn w:val="Normal"/>
    <w:qFormat w:val="1"/>
  </w:style>
  <w:style w:type="character" w:styleId="Ttulo1Char" w:customStyle="1">
    <w:name w:val="Título 1 Char"/>
    <w:basedOn w:val="Fontepargpadro"/>
    <w:link w:val="Ttulo1"/>
    <w:uiPriority w:val="9"/>
    <w:rsid w:val="00A10FD9"/>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A10FD9"/>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A10FD9"/>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A10FD9"/>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A10FD9"/>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A10FD9"/>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A10FD9"/>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A10FD9"/>
    <w:rPr>
      <w:rFonts w:cstheme="majorBidi" w:eastAsiaTheme="majorEastAsia"/>
      <w:color w:val="272727" w:themeColor="text1" w:themeTint="0000D8"/>
    </w:rPr>
  </w:style>
  <w:style w:type="paragraph" w:styleId="Textoembloco">
    <w:name w:val="Block Text"/>
    <w:basedOn w:val="Corpodetexto"/>
    <w:next w:val="Corpodetexto"/>
    <w:uiPriority w:val="9"/>
    <w:unhideWhenUsed w:val="1"/>
    <w:qFormat w:val="1"/>
    <w:pPr>
      <w:spacing w:after="100" w:before="100"/>
      <w:ind w:left="480" w:right="480"/>
    </w:pPr>
  </w:style>
  <w:style w:type="paragraph" w:styleId="Textodenotaderodap">
    <w:name w:val="footnote text"/>
    <w:basedOn w:val="Normal"/>
    <w:uiPriority w:val="9"/>
    <w:unhideWhenUsed w:val="1"/>
    <w:qFormat w:val="1"/>
  </w:style>
  <w:style w:type="paragraph" w:styleId="FootnoteBlockText" w:customStyle="1">
    <w:name w:val="Footnote Block Text"/>
    <w:basedOn w:val="Textodenotaderodap"/>
    <w:next w:val="Textodenotaderodap"/>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egenda">
    <w:name w:val="caption"/>
    <w:basedOn w:val="Normal"/>
    <w:link w:val="LegendaChar"/>
    <w:pPr>
      <w:spacing w:after="120"/>
    </w:pPr>
    <w:rPr>
      <w:i w:val="1"/>
    </w:rPr>
  </w:style>
  <w:style w:type="paragraph" w:styleId="TableCaption" w:customStyle="1">
    <w:name w:val="Table Caption"/>
    <w:basedOn w:val="Legenda"/>
    <w:pPr>
      <w:keepNext w:val="1"/>
    </w:pPr>
  </w:style>
  <w:style w:type="paragraph" w:styleId="ImageCaption" w:customStyle="1">
    <w:name w:val="Image Caption"/>
    <w:basedOn w:val="Legenda"/>
  </w:style>
  <w:style w:type="paragraph" w:styleId="Figure" w:customStyle="1">
    <w:name w:val="Figure"/>
    <w:basedOn w:val="Normal"/>
  </w:style>
  <w:style w:type="paragraph" w:styleId="CaptionedFigure" w:customStyle="1">
    <w:name w:val="Captioned Figure"/>
    <w:basedOn w:val="Figure"/>
    <w:pPr>
      <w:keepNext w:val="1"/>
    </w:pPr>
  </w:style>
  <w:style w:type="character" w:styleId="LegendaChar" w:customStyle="1">
    <w:name w:val="Legenda Char"/>
    <w:basedOn w:val="Fontepargpadro"/>
    <w:link w:val="Legenda"/>
  </w:style>
  <w:style w:type="character" w:styleId="VerbatimChar" w:customStyle="1">
    <w:name w:val="Verbatim Char"/>
    <w:basedOn w:val="LegendaChar"/>
    <w:link w:val="SourceCode"/>
    <w:rPr>
      <w:rFonts w:ascii="Consolas" w:hAnsi="Consolas"/>
      <w:sz w:val="22"/>
    </w:rPr>
  </w:style>
  <w:style w:type="character" w:styleId="SectionNumber" w:customStyle="1">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v.br/inep/pt-br/areas-de-atuacao/pesquisas-estatisticas-e-indicadores/indicadores-de-qualidade-da-educacao-superior/indice-geral-de-cursos-igc#:~:text=O%20IGC%20%C3%A9%20um%20indicador,em%20conta%20os%20seguintes%20aspectos" TargetMode="External"/><Relationship Id="rId11" Type="http://schemas.openxmlformats.org/officeDocument/2006/relationships/hyperlink" Target="about:blank" TargetMode="External"/><Relationship Id="rId22" Type="http://schemas.openxmlformats.org/officeDocument/2006/relationships/hyperlink" Target="https://docs.google.com/spreadsheets/u/0/d/12Utp9ZNHgnRqKiapg56nyPsfvbZD5edP/edit" TargetMode="External"/><Relationship Id="rId10" Type="http://schemas.openxmlformats.org/officeDocument/2006/relationships/hyperlink" Target="https://www.gov.br/inep/pt-br/areas-de-atuacao/pesquisas-estatisticas-e-indicadores/indicadores-de-qualidade-da-educacao-superior/indice-geral-de-cursos-igc#:~:text=O%20IGC%20%C3%A9%20um%20indicador,em%20conta%20os%20seguintes%20aspectos" TargetMode="External"/><Relationship Id="rId21" Type="http://schemas.openxmlformats.org/officeDocument/2006/relationships/hyperlink" Target="https://www.gov.br/inep/pt-br/areas-de-atuacao/pesquisas-estatisticas-e-indicadores/indicadores-de-qualidade-da-educacao-superior/indice-geral-de-cursos-igc" TargetMode="External"/><Relationship Id="rId13" Type="http://schemas.openxmlformats.org/officeDocument/2006/relationships/hyperlink" Target="about:blank" TargetMode="External"/><Relationship Id="rId12" Type="http://schemas.openxmlformats.org/officeDocument/2006/relationships/hyperlink" Target="https://docs.openalex.org/api-entities/authors/author-object#:~:text=,index%20for%20this%20auth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alex.org/api-entities/authors/author-object#:~:text=,index%20for%20this%20author" TargetMode="External"/><Relationship Id="rId15" Type="http://schemas.openxmlformats.org/officeDocument/2006/relationships/hyperlink" Target="https://www.gov.br/inep/pt-br/areas-de-atuacao/pesquisas-estatisticas-e-indicadores/indicadores-de-qualidade-da-educacao-superior/indice-geral-de-cursos-igc#:~:text=O%20IGC%20%C3%A9%20um%20indicador,em%20conta%20os%20seguintes%20aspectos" TargetMode="External"/><Relationship Id="rId14" Type="http://schemas.openxmlformats.org/officeDocument/2006/relationships/hyperlink" Target="https://docs.openalex.org/api-entities/authors/author-object#:~:text=,index%20for%20this%20author"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docs.openalex.org/api-entities/authors/author-object" TargetMode="External"/><Relationship Id="rId6" Type="http://schemas.openxmlformats.org/officeDocument/2006/relationships/customXml" Target="../customXML/item1.xml"/><Relationship Id="rId18" Type="http://schemas.openxmlformats.org/officeDocument/2006/relationships/hyperlink" Target="https://docs.openalex.org/api-entities/authors/author-object#:~:text=,index%20for%20this%20author" TargetMode="External"/><Relationship Id="rId7" Type="http://schemas.openxmlformats.org/officeDocument/2006/relationships/hyperlink" Target="about:blank" TargetMode="External"/><Relationship Id="rId8" Type="http://schemas.openxmlformats.org/officeDocument/2006/relationships/hyperlink" Target="https://docs.openalex.org/api-entities/authors/author-object#:~:text=,index%20for%20this%20auth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Z6vnkKOCQVb9epTumegvQV0YQ==">CgMxLjAaJQoBMBIgCh4IB0IaCg9UaW1lcyBOZXcgUm9tYW4SB0d1bmdzdWgyD2lkLnUzbjczMTk1bTlxaDIOaC44cmJhbGNvMDV2OWgyDmguM3V6bXM1dDFieDFxMg5oLjN1em1zNXQxYngxcTIOaC4zdXptczV0MWJ4MXEyDmguNXhiNXdqcXZqM2tpMg5oLm5mbG1yMXVpenJkeTgAciExdllhR2FucEtFdF9uNkRrOWhLc2d0UzBsbTFmdUJITFk=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2025-10-14T03:41:00Z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