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line="240" w:lineRule="auto"/>
        <w:ind w:left="17.40386962890625" w:right="43.026123046875" w:firstLine="0"/>
        <w:jc w:val="both"/>
        <w:rPr>
          <w:sz w:val="24"/>
          <w:szCs w:val="24"/>
          <w:vertAlign w:val="baseline"/>
        </w:rPr>
      </w:pPr>
      <w:bookmarkStart w:colFirst="0" w:colLast="0" w:name="_otba78c0ndng" w:id="0"/>
      <w:bookmarkEnd w:id="0"/>
      <w:r w:rsidDel="00000000" w:rsidR="00000000" w:rsidRPr="00000000">
        <w:rPr>
          <w:sz w:val="24"/>
          <w:szCs w:val="24"/>
          <w:vertAlign w:val="baseline"/>
          <w:rtl w:val="0"/>
        </w:rPr>
        <w:t xml:space="preserve">Junior Scientific Initiation as Science Policy: Equity, Access, and Institutional Design </w:t>
      </w:r>
    </w:p>
    <w:p w:rsidR="00000000" w:rsidDel="00000000" w:rsidP="00000000" w:rsidRDefault="00000000" w:rsidRPr="00000000" w14:paraId="00000002">
      <w:pPr>
        <w:pStyle w:val="Heading1"/>
        <w:widowControl w:val="0"/>
        <w:spacing w:before="467.3583984375" w:line="240" w:lineRule="auto"/>
        <w:ind w:left="29.072113037109375" w:firstLine="0"/>
        <w:jc w:val="both"/>
        <w:rPr>
          <w:sz w:val="24"/>
          <w:szCs w:val="24"/>
          <w:vertAlign w:val="baseline"/>
        </w:rPr>
      </w:pPr>
      <w:bookmarkStart w:colFirst="0" w:colLast="0" w:name="_x51u4yl4c155" w:id="1"/>
      <w:bookmarkEnd w:id="1"/>
      <w:r w:rsidDel="00000000" w:rsidR="00000000" w:rsidRPr="00000000">
        <w:rPr>
          <w:sz w:val="24"/>
          <w:szCs w:val="24"/>
          <w:vertAlign w:val="baseline"/>
          <w:rtl w:val="0"/>
        </w:rPr>
        <w:t xml:space="preserve">1.Introdução </w:t>
      </w:r>
    </w:p>
    <w:p w:rsidR="00000000" w:rsidDel="00000000" w:rsidP="00000000" w:rsidRDefault="00000000" w:rsidRPr="00000000" w14:paraId="00000003">
      <w:pPr>
        <w:pStyle w:val="Heading2"/>
        <w:widowControl w:val="0"/>
        <w:spacing w:before="424.9072265625" w:line="240" w:lineRule="auto"/>
        <w:ind w:left="27.05474853515625" w:firstLine="0"/>
        <w:jc w:val="both"/>
        <w:rPr>
          <w:sz w:val="24"/>
          <w:szCs w:val="24"/>
          <w:vertAlign w:val="baseline"/>
        </w:rPr>
      </w:pPr>
      <w:bookmarkStart w:colFirst="0" w:colLast="0" w:name="_5nvaudh6ijjk" w:id="2"/>
      <w:bookmarkEnd w:id="2"/>
      <w:r w:rsidDel="00000000" w:rsidR="00000000" w:rsidRPr="00000000">
        <w:rPr>
          <w:sz w:val="24"/>
          <w:szCs w:val="24"/>
          <w:vertAlign w:val="baseline"/>
          <w:rtl w:val="0"/>
        </w:rPr>
        <w:t xml:space="preserve">1.1. O problema global: </w:t>
      </w:r>
      <w:r w:rsidDel="00000000" w:rsidR="00000000" w:rsidRPr="00000000">
        <w:rPr>
          <w:i w:val="1"/>
          <w:iCs w:val="1"/>
          <w:sz w:val="24"/>
          <w:szCs w:val="24"/>
          <w:vertAlign w:val="baseline"/>
          <w:rtl w:val="0"/>
        </w:rPr>
        <w:t xml:space="preserve">leaky pipeline </w:t>
      </w:r>
      <w:r w:rsidDel="00000000" w:rsidR="00000000" w:rsidRPr="00000000">
        <w:rPr>
          <w:sz w:val="24"/>
          <w:szCs w:val="24"/>
          <w:vertAlign w:val="baseline"/>
          <w:rtl w:val="0"/>
        </w:rPr>
        <w:t xml:space="preserve">e a “crise de talentos”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0087890625" w:line="240" w:lineRule="auto"/>
        <w:ind w:left="0" w:right="12.43896484375"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baixa atratividade das carreiras em ciência, tecnologia, engenharia e matemática (STEM) entre jovens tem sido identificada como um desafio relevante por educadores e formuladores de políticas públicas em diferentes países (Kitchen et al., 2018). Em termos analíticos, esse problema pode ser descrito como um processo acumulativo de perdas ao longo da trajetória formativa, frequentemente referido como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leaky pipeline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talentos. Nesse modelo, o desafio não se limita à permanência e à obtenção de credenciais em STEM, mas inclui também a capacidade de atrair novos estudantes para essas trajetórias. Isso depende, em parte, da existência de oportunidades e referências que estimulem o interesse por projetos de vida vinculados às carreiras científicas (Kitchen et al., 2018; Kuchynka et al., 2022). Como resultado, as perdas tendem a se intensificar a cada transição educacional, produzindo sub-representação persistente, especialmente entre grupos historicamente </w:t>
      </w:r>
      <w:r w:rsidDel="00000000" w:rsidR="00000000" w:rsidRPr="00000000">
        <w:rPr>
          <w:sz w:val="24"/>
          <w:szCs w:val="24"/>
          <w:rtl w:val="0"/>
        </w:rPr>
        <w:t xml:space="preserve">minorizados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(Estrada et al., 2018).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3115234375" w:line="240" w:lineRule="auto"/>
        <w:ind w:left="12.65472412109375" w:right="12.436523437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Estudos sobre trajetória escolar sugerem que o ensino médio é um ponto crítico para sustentar </w:t>
      </w:r>
      <w:r w:rsidDel="00000000" w:rsidR="00000000" w:rsidRPr="00000000">
        <w:rPr>
          <w:sz w:val="24"/>
          <w:szCs w:val="24"/>
          <w:rtl w:val="0"/>
        </w:rPr>
        <w:t xml:space="preserve">atitudes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identidade e aspirações de carreira em STEM e portanto, um alvo prioritário para estratégias e políticas públicas (Kitchen et al., 2018; Kuchynka et al., 2022; Liu &amp; Schunn, 2020; Mims et al., 2025). Essa preocupação aparece em diferentes frentes governamentais e institucionais. Por um lado, emerge no debate educacional sobre currículo e formação acadêmica, incluindo iniciativas que buscam aproximar práticas escolares de formas contemporâneas de produzir e interpretar dados e evidências científicas (Peters‐Burton et al., 2023). Por outro, é mobilizada como estratégia de governança e planejamento de força de trabalho, incentivando arranjos colaborativos que conectam escola, universidade e mercado. Nessa linha, têm ganhado relevância parcerias público-privadas nas quais agências públicas financiam e coordenam iniciativas com participação de empresas, com o objetivo de ampliar oportunidades formativas e fortalecer a oferta futura de mão de obra qualificada em CT&amp;I (Katzenmeyer &amp; Lawrenz, 2006).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0" w:lineRule="auto"/>
        <w:ind w:left="12.65472412109375" w:right="0" w:firstLine="707.3452758789062"/>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Nesse cenário, agências e órgãos de fomento assumem um papel estratégico na formação de jovens talentos para a ciência, ao alinhar prioridades nacionais, financiamento e mecanismos de avaliação. Nos Estados Unidos, esse papel se materializa tanto em agências federais (como a National Science Foundation (NSF) e o National Institutes of Health (NIH)) quanto em unidades e programas </w:t>
      </w:r>
      <w:r w:rsidDel="00000000" w:rsidR="00000000" w:rsidRPr="00000000">
        <w:rPr>
          <w:sz w:val="24"/>
          <w:szCs w:val="24"/>
          <w:rtl w:val="0"/>
        </w:rPr>
        <w:t xml:space="preserve">internos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voltados especificamente à educação e ao desenvolvimento de capital humano. Katzenmeyer </w:t>
      </w:r>
      <w:r w:rsidDel="00000000" w:rsidR="00000000" w:rsidRPr="00000000">
        <w:rPr>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Lawrenz (2006) argumentam que, no caso da NSF, a política de avaliação de programas em STEM não é apenas um procedimento técnico, mas um instrumento de governança voltado a sustentar a liderança nacional, ao produzir informação relevante e oportuna para decisões de financiamento e para a prestação de contas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accountability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 última instância, a racionalidade desses programas educacionais está orientada para melhorar o desempenho estudantil em escala nacional e ampliar a diversidade da força de trabalho em áreas demandantes de mão de obra qualificada em ciência, tecnologia e inovação.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0" w:lineRule="auto"/>
        <w:ind w:left="12.65472412109375" w:right="0"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Nesse contexto, políticas educacionais efetivas precisam ir além do “reforço” de conteúdos e </w:t>
      </w:r>
      <w:r w:rsidDel="00000000" w:rsidR="00000000" w:rsidRPr="00000000">
        <w:rPr>
          <w:sz w:val="24"/>
          <w:szCs w:val="24"/>
          <w:rtl w:val="0"/>
        </w:rPr>
        <w:t xml:space="preserve">atuar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sobre aspirações e identidade científica. Diferentes estratégias em diferentes países têm sido mobilizadas para fomentar, ainda no ensino médio, a escolha de jovens por carreiras em STEM, incluindo programas de verão vinculados a universidades, iniciativas extracurriculares e intervenções desenhadas para </w:t>
      </w:r>
      <w:r w:rsidDel="00000000" w:rsidR="00000000" w:rsidRPr="00000000">
        <w:rPr>
          <w:sz w:val="24"/>
          <w:szCs w:val="24"/>
          <w:rtl w:val="0"/>
        </w:rPr>
        <w:t xml:space="preserve">ampliar o pertencimento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e a identidade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científica. </w:t>
      </w:r>
    </w:p>
    <w:p w:rsidR="00000000" w:rsidDel="00000000" w:rsidP="00000000" w:rsidRDefault="00000000" w:rsidRPr="00000000" w14:paraId="00000008">
      <w:pPr>
        <w:pStyle w:val="Heading2"/>
        <w:widowControl w:val="0"/>
        <w:spacing w:before="585.413818359375" w:line="240" w:lineRule="auto"/>
        <w:ind w:left="27.05474853515625"/>
        <w:jc w:val="both"/>
        <w:rPr>
          <w:sz w:val="24"/>
          <w:szCs w:val="24"/>
          <w:vertAlign w:val="baseline"/>
        </w:rPr>
      </w:pPr>
      <w:bookmarkStart w:colFirst="0" w:colLast="0" w:name="_xqdk48h265yh" w:id="3"/>
      <w:bookmarkEnd w:id="3"/>
      <w:r w:rsidDel="00000000" w:rsidR="00000000" w:rsidRPr="00000000">
        <w:rPr>
          <w:sz w:val="24"/>
          <w:szCs w:val="24"/>
          <w:vertAlign w:val="baseline"/>
          <w:rtl w:val="0"/>
        </w:rPr>
        <w:t xml:space="preserve">1.2. Modelos internacionais de intervenção: ecossistemas de imersão e mentoria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0087890625" w:line="240" w:lineRule="auto"/>
        <w:ind w:left="14.618377685546875" w:right="18.9831542968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preocupação em atrair e sustentar jovens em trajetórias STEM tem motivado respostas </w:t>
      </w:r>
      <w:r w:rsidDel="00000000" w:rsidR="00000000" w:rsidRPr="00000000">
        <w:rPr>
          <w:sz w:val="24"/>
          <w:szCs w:val="24"/>
          <w:rtl w:val="0"/>
        </w:rPr>
        <w:t xml:space="preserve">institucionais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variadas em diferentes países. A literatura documenta experiências que vão desde programas de verão e outras iniciativas de imersão vinculadas a universidades (Kitchen et al., 2018), passando por formatos de pesquisa aplicada em escolas profissionais (Friedman et al., 2017), até intervenções curriculares e pedagógicas em nível escolar (Peters‐Burton et al., 2023). Também há registros de programas baseados em projetos e parcerias com mentoria (presencial ou online), incluindo </w:t>
      </w:r>
      <w:r w:rsidDel="00000000" w:rsidR="00000000" w:rsidRPr="00000000">
        <w:rPr>
          <w:sz w:val="24"/>
          <w:szCs w:val="24"/>
          <w:rtl w:val="0"/>
        </w:rPr>
        <w:t xml:space="preserve">atividades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 laboratórios universitários de alto padrão (Mims et al., 2025) e modelos de parceria estudante–professor–cientista com apoio de mentoria (Taylor et al., 2022), bem como experiências em pesquisa de campo e outreach científico (Flowers et al., 2016; Schiffer et al., 2020).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30908203125" w:line="240" w:lineRule="auto"/>
        <w:ind w:left="14.618377685546875" w:right="17.2351074218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conjunto, esses estudos sugerem que as estratégias de atração e engajamento podem ser </w:t>
      </w:r>
      <w:r w:rsidDel="00000000" w:rsidR="00000000" w:rsidRPr="00000000">
        <w:rPr>
          <w:sz w:val="24"/>
          <w:szCs w:val="24"/>
          <w:rtl w:val="0"/>
        </w:rPr>
        <w:t xml:space="preserve">agrupadas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 diferentes perspectivas de intervenção. A Figura 1 organiza, de forma sintética, os principais tipos identificados no levantamento: (i) imersão e experiências autênticas (universidade/laboratório/campo); (ii) mentoria e redes de apoio psicossocial; (iii) intervenções </w:t>
      </w:r>
      <w:r w:rsidDel="00000000" w:rsidR="00000000" w:rsidRPr="00000000">
        <w:rPr>
          <w:sz w:val="24"/>
          <w:szCs w:val="24"/>
          <w:rtl w:val="0"/>
        </w:rPr>
        <w:t xml:space="preserve">curriculares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práticas pedagógicas; (iv) iniciativas extracurriculares e programas no contraturno; e (v) instrumentos de governança, avaliação e indução por financiamento.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64501953125"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sectPr>
          <w:pgSz w:h="15840" w:w="12240" w:orient="portrait"/>
          <w:pgMar w:bottom="842.239990234375" w:top="1372.255859375" w:left="1431.4907836914062" w:right="1397.22900390625" w:header="0" w:footer="720"/>
          <w:pgNumType w:start="1"/>
        </w:sectPr>
      </w:pPr>
      <w:r w:rsidDel="00000000" w:rsidR="00000000" w:rsidRPr="00000000">
        <w:rPr>
          <w:sz w:val="24"/>
          <w:szCs w:val="24"/>
        </w:rPr>
        <w:drawing>
          <wp:inline distB="114300" distT="114300" distL="114300" distR="114300">
            <wp:extent cx="5976163" cy="2184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76163"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44970703125" w:line="240" w:lineRule="auto"/>
        <w:ind w:left="13.958282470703125" w:right="12.4365234375" w:firstLine="1.750946044921875"/>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1: Principais tipos de intervenções para atração e engajamento de jovens em STEM (Com mittee on Effective Mentoring in STEMM et al., 2019; Flowers et al., 2016; Friedman et al., 2017; Kitchen et al., 2018; Mims et al., 2025; Peters‐Burton et al., 2023; Schiffer et al., 2020; Taylor et al., 2022).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7642822265625" w:line="240" w:lineRule="auto"/>
        <w:ind w:left="14.618377685546875" w:right="38.4008789062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ponto transversal às intervenções sintetizadas na Figura 1 é o papel das universidades na construção de ecossistemas de imersão científica. Ao oferecer acesso a laboratórios, grupos de pesquisa, infraestrutura e interação com pesquisadores, o ambiente universitário tende a produzir experiências mais “autênticas” de ciência e a ampliar a consciência de carreira, contribuindo para a formação de identidade científica e para o senso de pertencimento de jovens (Flowers et al., 2016; Friedman et al., 2017; Kitchen et al., 2018).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736328125" w:line="240" w:lineRule="auto"/>
        <w:ind w:left="14.618377685546875" w:right="11.78344726562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papel das universidades é frequentemente descrito, como o de uma infraestrutura que integra recursos materiais e relações sociais, funcionando como uma espécie de “comunidade de prática” que a escola básica, isoladamente, tende a ter dificuldade em reproduzir. Ao deslocar o jovem para um ambiente onde a ciência é praticada de forma cotidiana, esses programas ampliam a exposição a modelos de carreira e a formas de investigação orientadas por problemas e hipóteses, criando condições favoráveis para que a identidade científica se desenvolva (Flowers et al., 2016; Friedman et al., 2017).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0" w:lineRule="auto"/>
        <w:ind w:left="13.958282470703125" w:right="12.4365234375" w:firstLine="706.04171752929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Além do acesso físico a laboratórios e equipamentos, a imersão universitária opera como </w:t>
      </w:r>
      <w:r w:rsidDel="00000000" w:rsidR="00000000" w:rsidRPr="00000000">
        <w:rPr>
          <w:sz w:val="24"/>
          <w:szCs w:val="24"/>
          <w:rtl w:val="0"/>
        </w:rPr>
        <w:t xml:space="preserve">mecanismo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socialização científica: ao interagir com pesquisadores e estudantes em diferentes níveis de formação, jovens podem reinterpretar o que significa “fazer ciência”, construir repertórios de </w:t>
      </w:r>
      <w:r w:rsidDel="00000000" w:rsidR="00000000" w:rsidRPr="00000000">
        <w:rPr>
          <w:sz w:val="24"/>
          <w:szCs w:val="24"/>
          <w:rtl w:val="0"/>
        </w:rPr>
        <w:t xml:space="preserve">participação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fortalecer o senso de pertencimento a trajetórias STEM (Flowers et al., 2016; Kitchen et al., 2018). Nesse sentido, o ecossistema de imersão é tanto material quanto relacional, e sua eficácia depende, em grande medida, da qualidade das redes de apoio, incluindo mentoria (Kuchynka et al., 2022).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50634765625" w:line="240" w:lineRule="auto"/>
        <w:ind w:left="14.400177001953125" w:right="12.435302734375" w:firstLine="705.59982299804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 as dimensões mais recorrentes nesses modelos, destaca-se a mentoria como mecanismo para fortalecer pertencimento e identidade científica, sobretudo quando inclui suporte psicossocial e figuras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near-peer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(Kuchynka et al., 2022). Além disso, recomendações internacionais defendem a necessidade de institucionalizar a mentoria (em vez de tratá-la como prática apenas informal), como parte de uma estratégia sistêmica de formação e retenção de talentos (Committee on Effective Mentoring in STEMM et al., 2019). </w:t>
      </w:r>
    </w:p>
    <w:p w:rsidR="00000000" w:rsidDel="00000000" w:rsidP="00000000" w:rsidRDefault="00000000" w:rsidRPr="00000000" w14:paraId="00000011">
      <w:pPr>
        <w:pStyle w:val="Heading2"/>
        <w:widowControl w:val="0"/>
        <w:spacing w:before="585.413818359375" w:line="240" w:lineRule="auto"/>
        <w:ind w:left="17.01812744140625" w:right="42.764892578125" w:firstLine="10.036468505859375"/>
        <w:jc w:val="both"/>
        <w:rPr>
          <w:sz w:val="24"/>
          <w:szCs w:val="24"/>
          <w:vertAlign w:val="baseline"/>
        </w:rPr>
      </w:pPr>
      <w:bookmarkStart w:colFirst="0" w:colLast="0" w:name="_111lpt6vaqzi" w:id="4"/>
      <w:bookmarkEnd w:id="4"/>
      <w:r w:rsidDel="00000000" w:rsidR="00000000" w:rsidRPr="00000000">
        <w:rPr>
          <w:sz w:val="24"/>
          <w:szCs w:val="24"/>
          <w:vertAlign w:val="baseline"/>
          <w:rtl w:val="0"/>
        </w:rPr>
        <w:t xml:space="preserve">1.3. O caso brasileiro: institucionalização e desenho da ”Iniciação Científica” como Política de Estado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5693359375" w:line="240" w:lineRule="auto"/>
        <w:ind w:left="6.974639892578125" w:right="17.237548828125" w:firstLine="713.02536010742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Brasil, a formação de cientistas é historicamente induzida pelo Estado por meio de um </w:t>
      </w:r>
      <w:r w:rsidDel="00000000" w:rsidR="00000000" w:rsidRPr="00000000">
        <w:rPr>
          <w:sz w:val="24"/>
          <w:szCs w:val="24"/>
          <w:rtl w:val="0"/>
        </w:rPr>
        <w:t xml:space="preserve">sistema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nacional apoiado em agências centralizadas, em especial o Conselho Nacional de </w:t>
      </w:r>
      <w:r w:rsidDel="00000000" w:rsidR="00000000" w:rsidRPr="00000000">
        <w:rPr>
          <w:sz w:val="24"/>
          <w:szCs w:val="24"/>
          <w:rtl w:val="0"/>
        </w:rPr>
        <w:t xml:space="preserve">Desenvolvimento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Científico e Tecnológico (CNPq), criado em 1951. Nesse arranjo, a Iniciação Científica (IC) consolidou-se como uma política estruturada de integração entre ensino e pesquisa, inicialmente voltada à graduação, com o objetivo de inserir estudantes na cultura científica e na rotina de </w:t>
      </w:r>
      <w:r w:rsidDel="00000000" w:rsidR="00000000" w:rsidRPr="00000000">
        <w:rPr>
          <w:sz w:val="24"/>
          <w:szCs w:val="24"/>
          <w:rtl w:val="0"/>
        </w:rPr>
        <w:t xml:space="preserve">grupos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pesquisa reais. A institucionalização desse modelo se fortaleceu com a criação do Programa Institucional de Bolsas de Iniciação Científica (PIBIC), que contribuiu para difusão da prática nas universidades e para consolidá-la como mecanismo de formação de novos pesquisadores e preparação para a pós-graduação (Bessa, 2015; Bianchetti et al., 2012).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339599609375" w:line="240" w:lineRule="auto"/>
        <w:ind w:left="13.9581298828125" w:right="12.43896484375" w:firstLine="706.041870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 a cultura de Iniciação Científica já estabelecida no ensino superior, ganhou força a necessidade de estender o modelo para a educação básica, em particular para o ensino médio, antecipando a socialização científica e ampliando oportunidades formativas. A expansão da iniciação científica para o ensino médio se articula a políticas científicas e educacionais voltadas a qualificar a formação escolar e a aproximar estudantes de práticas de pesquisa e da cultura acadêmica (Bessa &amp; Lima, 2017), seguindo a tendência internacional. Oliveira e Bianchetti (2018) analisam esse movimento como uma tentativa de aproximar escola pública e universidade e produzir um “círculo virtuoso” capaz</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atrair talentos precocemente e ampliar a continuidade formativa até a pós-graduação.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736328125" w:line="240" w:lineRule="auto"/>
        <w:ind w:left="14.618377685546875" w:right="12.438964843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Autores como Arantes e Peres (2020) e Bessa e Lima (2015) destacam que experiências bem sucedidas anteriores a institucionalização da iniciação científica para jovens do ensino médio, como aquelas desenvolvidas em centros de pesquisas como a FIOCRUZ no Rio de Janeiro, contribuíram para legitimar a ideia de que a formação científica juvenil poderia ser institucionalizada em </w:t>
      </w:r>
      <w:r w:rsidDel="00000000" w:rsidR="00000000" w:rsidRPr="00000000">
        <w:rPr>
          <w:sz w:val="24"/>
          <w:szCs w:val="24"/>
          <w:rtl w:val="0"/>
        </w:rPr>
        <w:t xml:space="preserve">escala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nacional (Bianchetti et al., 2012). Como resultado do acoplamento entre problema e solução, originou-se o programa denominado Iniciação Científica Júnior (ICJ), no ano de </w:t>
      </w:r>
      <w:r w:rsidDel="00000000" w:rsidR="00000000" w:rsidRPr="00000000">
        <w:rPr>
          <w:sz w:val="24"/>
          <w:szCs w:val="24"/>
          <w:rtl w:val="0"/>
        </w:rPr>
        <w:t xml:space="preserve">2003, coordenado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pelo CNPq e baseado no modelo já desenvolvido nas universidades brasileiras (Silveira, 2015).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0" w:lineRule="auto"/>
        <w:ind w:left="6.97479248046875" w:right="18.7646484375" w:firstLine="713.02520751953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ponto de vista do desenho institucional, esse movimento de aproximação da iniciação </w:t>
      </w:r>
      <w:r w:rsidDel="00000000" w:rsidR="00000000" w:rsidRPr="00000000">
        <w:rPr>
          <w:sz w:val="24"/>
          <w:szCs w:val="24"/>
          <w:rtl w:val="0"/>
        </w:rPr>
        <w:t xml:space="preserve">científica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jovens estudantes do ensino médio se materializou na criação da ICJ e que por sua vez se desdobrou em 2010 no Programa Institucional de Bolsas de Iniciação Científica para o Ensino Médio (PIBIC-EM). O PIBIC-EM concede bolsas de no mínimo um ano de duração para que </w:t>
      </w:r>
      <w:r w:rsidDel="00000000" w:rsidR="00000000" w:rsidRPr="00000000">
        <w:rPr>
          <w:sz w:val="24"/>
          <w:szCs w:val="24"/>
          <w:rtl w:val="0"/>
        </w:rPr>
        <w:t xml:space="preserve">estudantes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 ensino médio de escolas públicas participem de atividades de pesquisa sob supervisão de pesquisadores renomados, vivenciando práticas científicas ao serem inseridos em ambientes </w:t>
      </w:r>
      <w:r w:rsidDel="00000000" w:rsidR="00000000" w:rsidRPr="00000000">
        <w:rPr>
          <w:sz w:val="24"/>
          <w:szCs w:val="24"/>
          <w:rtl w:val="0"/>
        </w:rPr>
        <w:t xml:space="preserve">universitários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centros de pesquisas Bianchetti et al. (2012).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50634765625" w:line="240" w:lineRule="auto"/>
        <w:ind w:left="12.65472412109375" w:right="11.78100585937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Ao analisar estudos de caso sobre a implementação do PIBIC-EM, Bessa (2015) sugere que a </w:t>
      </w:r>
      <w:r w:rsidDel="00000000" w:rsidR="00000000" w:rsidRPr="00000000">
        <w:rPr>
          <w:sz w:val="24"/>
          <w:szCs w:val="24"/>
          <w:rtl w:val="0"/>
        </w:rPr>
        <w:t xml:space="preserve">efetividade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 programa depende da capacidade de articular supervisão, infraestrutura e rotinas de trabalho científico compatíveis com o nível de formação dos estudantes. Documentos </w:t>
      </w:r>
      <w:r w:rsidDel="00000000" w:rsidR="00000000" w:rsidRPr="00000000">
        <w:rPr>
          <w:sz w:val="24"/>
          <w:szCs w:val="24"/>
          <w:rtl w:val="0"/>
        </w:rPr>
        <w:t xml:space="preserve">governamentais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oficiais estratégicos elaborados nas primeiras décadas dos anos 2000 sobre a política científica e educacional (Brasil, Minist</w:t>
      </w:r>
      <w:r w:rsidDel="00000000" w:rsidR="00000000" w:rsidRPr="00000000">
        <w:rPr>
          <w:sz w:val="24"/>
          <w:szCs w:val="24"/>
          <w:rtl w:val="0"/>
        </w:rPr>
        <w:t xml:space="preserve">ério da Ciência e Tecnologia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2001; 2002; 2010), confirmam essa </w:t>
      </w:r>
      <w:r w:rsidDel="00000000" w:rsidR="00000000" w:rsidRPr="00000000">
        <w:rPr>
          <w:sz w:val="24"/>
          <w:szCs w:val="24"/>
          <w:rtl w:val="0"/>
        </w:rPr>
        <w:t xml:space="preserve">transformação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discursiva ao enfatizar a necessidade de fortalecer a educação científica como condição para a competitividade nacional e a inclusão social. Como observam Vasques </w:t>
      </w:r>
      <w:r w:rsidDel="00000000" w:rsidR="00000000" w:rsidRPr="00000000">
        <w:rPr>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Oliveira (2020) esse período foi marcado por uma agenda que visava promover uma ”revolução na educação básica” por meio da cultura científica e da aproximação entre escola pública e universidade. Tal conjuntura favoreceu o acoplamento entre diagnósticos educacionais emergentes e soluções já existentes no </w:t>
      </w:r>
      <w:r w:rsidDel="00000000" w:rsidR="00000000" w:rsidRPr="00000000">
        <w:rPr>
          <w:sz w:val="24"/>
          <w:szCs w:val="24"/>
          <w:rtl w:val="0"/>
        </w:rPr>
        <w:t xml:space="preserve">subsistema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científico, </w:t>
      </w:r>
      <w:r w:rsidDel="00000000" w:rsidR="00000000" w:rsidRPr="00000000">
        <w:rPr>
          <w:sz w:val="24"/>
          <w:szCs w:val="24"/>
          <w:rtl w:val="0"/>
        </w:rPr>
        <w:t xml:space="preserve">ampliou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atuação das universidades como lócus privilegiado da produção e difusão da ciência (Silveira, 2015).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3701171875" w:line="240" w:lineRule="auto"/>
        <w:ind w:left="4.5892333984375" w:right="18.76220703125" w:firstLine="715.41076660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aspecto decisivo na política de atração de jovens talentos, no caso brasileiro, é a sua </w:t>
      </w:r>
      <w:r w:rsidDel="00000000" w:rsidR="00000000" w:rsidRPr="00000000">
        <w:rPr>
          <w:sz w:val="24"/>
          <w:szCs w:val="24"/>
          <w:rtl w:val="0"/>
        </w:rPr>
        <w:t xml:space="preserve">dependência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estrutural do interesse individual dos pesquisadores. O desenho normativo do programa (CNPq, 2006) estabelece que a submissão de projetos e a solicitação de cotas são prerrogativas de pesquisadores com vínculo institucional, e não das escolas de forma autônoma. Nesse modelo, como observam Arantes e Peres (2015), o acesso dos estudantes aos ambientes de produção científica é condicionado pela adesão voluntária de orientadores dispostos a tutelar esses jovens. </w:t>
      </w:r>
      <w:r w:rsidDel="00000000" w:rsidR="00000000" w:rsidRPr="00000000">
        <w:rPr>
          <w:sz w:val="24"/>
          <w:szCs w:val="24"/>
          <w:rtl w:val="0"/>
        </w:rPr>
        <w:t xml:space="preserve">Consequentemente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motivação e a disponibilidade desses atores tornam-se componentes críticos: Filipecki et al. (2006) destacam que cabe ao pesquisador a decisão de investir seu tempo escasso na formação básica, enquanto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Oliveira </w:t>
      </w:r>
      <w:r w:rsidDel="00000000" w:rsidR="00000000" w:rsidRPr="00000000">
        <w:rPr>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Bianchetti (2018) alertam que a baixa adesão docente, </w:t>
      </w:r>
      <w:r w:rsidDel="00000000" w:rsidR="00000000" w:rsidRPr="00000000">
        <w:rPr>
          <w:sz w:val="24"/>
          <w:szCs w:val="24"/>
          <w:rtl w:val="0"/>
        </w:rPr>
        <w:t xml:space="preserve">pressionada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pelo produtivismo acadêmico, pode comprometer o alcance e a própria sustentabilidade da política.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38427734375" w:line="240" w:lineRule="auto"/>
        <w:ind w:left="15.709228515625" w:right="18.984375" w:firstLine="704.290771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análise das resoluções normativas e das chamadas públicas que regem o funcionamento do PIBIC</w:t>
      </w:r>
      <w:r w:rsidDel="00000000" w:rsidR="00000000" w:rsidRPr="00000000">
        <w:rPr>
          <w:sz w:val="24"/>
          <w:szCs w:val="24"/>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revela a consolidação de um arranjo regulatório que combina finalidades declaradamente </w:t>
      </w:r>
      <w:r w:rsidDel="00000000" w:rsidR="00000000" w:rsidRPr="00000000">
        <w:rPr>
          <w:sz w:val="24"/>
          <w:szCs w:val="24"/>
          <w:rtl w:val="0"/>
        </w:rPr>
        <w:t xml:space="preserve">inclusivas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 mecanismos institucionais de alta seletividade. De acordo com Oliveira </w:t>
      </w:r>
      <w:r w:rsidDel="00000000" w:rsidR="00000000" w:rsidRPr="00000000">
        <w:rPr>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Bianchetti (2018), o arranjo normativo do PIBIC-EM transforma a inclusão social em uma ”política focal”, onde o acesso não é universal, mas restrito aos estudantes de alto rendimento acadêmico ou que vivem em grandes centros urbanos, onde geralmente estão localizados os grandes centros de pesquisas e universidades. As Resoluções Normativas do PIBIC-EM a RN-017/2006 (CNPq, 2006), estabelece que o programa deve “despertar vocação científica e incentivar talentos potenciais entre estudantes do ensino médio e profissional da rede pública”. Esse objetivo é reafirmado na RN 027/2008 (CNPq, 2008), que amplia o público-alvo, mas mantém como exigência que os estudantes participem de projetos orientados por pesquisadores com título de mestre ou doutor, vinculados institucionalmente a universidades ou centros de pesquisa. O documento estabelece ainda que os projetos devem ser desenvolvidos em instituições com infraestrutura científica compatível e que apenas instituições previamente participantes de programas de iniciação científica para graduação (PIBIC) ou inovação tecnológica (PIBITI) podem submeter propostas ao PIBIC-EM. Esses </w:t>
      </w:r>
      <w:r w:rsidDel="00000000" w:rsidR="00000000" w:rsidRPr="00000000">
        <w:rPr>
          <w:sz w:val="24"/>
          <w:szCs w:val="24"/>
          <w:rtl w:val="0"/>
        </w:rPr>
        <w:t xml:space="preserve">requisitos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funcionam como filtros que estruturam a participação institucional e que, ao mesmo tempo, reforçam a centralidade das universidades e de seus pesquisadores no desenho da política.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0" w:lineRule="auto"/>
        <w:ind w:left="14.618377685546875" w:right="0.219726562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Apesar da relevância do PIBIC-EM como política de aproximação entre educação básica e pesquisa científica, ainda são escassos os estudos que examinam, de forma sistemática, os fatores associados à recorrência de pesquisadores já aprovados no programa. Nesse contexto, este artigo analisa como a recorrência de proponentes contemplados nas chamadas públicas do PIBIC-EM, entre 2014 e 2024, se associa a características individuais e institucionais. Ao focalizar o universo dos pesquisadores aprovados, o estudo não investiga o acesso inicial à política, mas sua dinâmica interna de </w:t>
      </w:r>
      <w:r w:rsidDel="00000000" w:rsidR="00000000" w:rsidRPr="00000000">
        <w:rPr>
          <w:sz w:val="24"/>
          <w:szCs w:val="24"/>
          <w:rtl w:val="0"/>
        </w:rPr>
        <w:t xml:space="preserve">permanência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ao longo do tempo. Sua principal contribuição consiste em indicar como a sustentação do programa parece associar-se a padrões de recorrência que permitem problematizar a relação entre a promessa normativa de democratização e os mecanismos concretos de operação da política. </w:t>
      </w:r>
    </w:p>
    <w:p w:rsidR="00000000" w:rsidDel="00000000" w:rsidP="00000000" w:rsidRDefault="00000000" w:rsidRPr="00000000" w14:paraId="0000001A">
      <w:pPr>
        <w:pStyle w:val="Heading1"/>
        <w:widowControl w:val="0"/>
        <w:spacing w:before="572.4725341796875" w:line="240" w:lineRule="auto"/>
        <w:ind w:left="21.89910888671875" w:firstLine="0"/>
        <w:jc w:val="both"/>
        <w:rPr>
          <w:sz w:val="24"/>
          <w:szCs w:val="24"/>
          <w:vertAlign w:val="baseline"/>
        </w:rPr>
      </w:pPr>
      <w:bookmarkStart w:colFirst="0" w:colLast="0" w:name="_5qrsmnyj6lgs" w:id="5"/>
      <w:bookmarkEnd w:id="5"/>
      <w:r w:rsidDel="00000000" w:rsidR="00000000" w:rsidRPr="00000000">
        <w:rPr>
          <w:sz w:val="24"/>
          <w:szCs w:val="24"/>
          <w:vertAlign w:val="baseline"/>
          <w:rtl w:val="0"/>
        </w:rPr>
        <w:t xml:space="preserve">2. Objetivo do estudo e estratégia analítica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078369140625" w:line="240" w:lineRule="auto"/>
        <w:ind w:left="6.97479248046875" w:right="0.21728515625" w:firstLine="713.02520751953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estudo adota uma abordagem quantitativa, de natureza observacional, para analisar os </w:t>
      </w:r>
      <w:r w:rsidDel="00000000" w:rsidR="00000000" w:rsidRPr="00000000">
        <w:rPr>
          <w:sz w:val="24"/>
          <w:szCs w:val="24"/>
          <w:rtl w:val="0"/>
        </w:rPr>
        <w:t xml:space="preserve">fatores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associados à recorrência de pesquisadores no Programa Institucional de Bolsas de Iniciação Científica para o Ensino Médio (PIBIC-EM), no período de 2014 a 2024. A unidade de análise é o pesquisador individual identificado como proponente aprovado nos editais públicos do programa. Em vez de estimar os determinantes do acesso inicial ao PIBIC-EM, a análise concentra-se na variação da recorrência entre pesquisadores que já haviam sido aprovados ao menos uma vez. </w:t>
      </w:r>
    </w:p>
    <w:p w:rsidR="00000000" w:rsidDel="00000000" w:rsidP="00000000" w:rsidRDefault="00000000" w:rsidRPr="00000000" w14:paraId="0000001C">
      <w:pPr>
        <w:pStyle w:val="Heading2"/>
        <w:widowControl w:val="0"/>
        <w:spacing w:before="585.4135131835938" w:line="240" w:lineRule="auto"/>
        <w:ind w:left="20.945587158203125" w:firstLine="0"/>
        <w:jc w:val="both"/>
        <w:rPr>
          <w:sz w:val="24"/>
          <w:szCs w:val="24"/>
          <w:vertAlign w:val="baseline"/>
        </w:rPr>
      </w:pPr>
      <w:bookmarkStart w:colFirst="0" w:colLast="0" w:name="_unipsjn9ae3b" w:id="6"/>
      <w:bookmarkEnd w:id="6"/>
      <w:r w:rsidDel="00000000" w:rsidR="00000000" w:rsidRPr="00000000">
        <w:rPr>
          <w:sz w:val="24"/>
          <w:szCs w:val="24"/>
          <w:vertAlign w:val="baseline"/>
          <w:rtl w:val="0"/>
        </w:rPr>
        <w:t xml:space="preserve">2.1 Base de dados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6.97479248046875" w:right="0.25390625" w:firstLine="713.0252075195312"/>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banco de dados foi construído a partir da publicação </w:t>
      </w:r>
      <w:r w:rsidDel="00000000" w:rsidR="00000000" w:rsidRPr="00000000">
        <w:rPr>
          <w:sz w:val="24"/>
          <w:szCs w:val="24"/>
          <w:rtl w:val="0"/>
        </w:rPr>
        <w:t xml:space="preserve">nominal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dos pesquisadores </w:t>
      </w:r>
      <w:r w:rsidDel="00000000" w:rsidR="00000000" w:rsidRPr="00000000">
        <w:rPr>
          <w:sz w:val="24"/>
          <w:szCs w:val="24"/>
          <w:rtl w:val="0"/>
        </w:rPr>
        <w:t xml:space="preserve">contemplados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 pelo menos um dos seis editais do PIBIC-EM entre 2014 e 2024. Para cada pesquisador identificado, foram reunidas informações sobre vínculo institucional, categoria administrativa da instituição, região geográfica, qualidade institucional e capital científico. O capital científico </w:t>
      </w:r>
      <w:r w:rsidDel="00000000" w:rsidR="00000000" w:rsidRPr="00000000">
        <w:rPr>
          <w:sz w:val="24"/>
          <w:szCs w:val="24"/>
          <w:rtl w:val="0"/>
        </w:rPr>
        <w:t xml:space="preserve">individual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foi operacionalizado com base no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h-index</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perscript"/>
        </w:rPr>
        <w:footnoteReference w:customMarkFollows="0" w:id="0"/>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pesquisador, obtido por meio da API OpenAlex. Nas especificações </w:t>
      </w:r>
      <w:r w:rsidDel="00000000" w:rsidR="00000000" w:rsidRPr="00000000">
        <w:rPr>
          <w:sz w:val="24"/>
          <w:szCs w:val="24"/>
          <w:rtl w:val="0"/>
        </w:rPr>
        <w:t xml:space="preserve">estatísticas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covariável contínua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h-index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foi centralizada na média. As </w:t>
      </w:r>
      <w:r w:rsidDel="00000000" w:rsidR="00000000" w:rsidRPr="00000000">
        <w:rPr>
          <w:sz w:val="24"/>
          <w:szCs w:val="24"/>
          <w:rtl w:val="0"/>
        </w:rPr>
        <w:t xml:space="preserve">informações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institucionais foram articuladas às classificações analíticas adotadas no estudo, incluindo a categorização administrativa e a localização regional, a partir de dados do Ministério da Educação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Pr>
        <w:footnoteReference w:customMarkFollows="0" w:id="1"/>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4.618377685546875" w:right="42.7624511718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variável dependente corresponde ao número de editais distintos do PIBIC-EM em que o mesmo pesquisador apareceu como proponente aprovado. Trata-se, portanto, de uma variável discreta e não negativa, que representa a contagem de participações recorrentes ao longo do tempo. O foco analítico não recai sobre o volume absoluto de bolsas alocadas às instituições, mas sobre a frequência com que o mesmo pesquisador reaparece no programa.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4.618377685546875" w:right="12.2192382812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variáveis independentes foram organizadas em três grupos. O primeiro corresponde ao capital científico individual, mensurado pelo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h-index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segundo corresponde às características </w:t>
      </w:r>
      <w:r w:rsidDel="00000000" w:rsidR="00000000" w:rsidRPr="00000000">
        <w:rPr>
          <w:sz w:val="24"/>
          <w:szCs w:val="24"/>
          <w:rtl w:val="0"/>
        </w:rPr>
        <w:t xml:space="preserve">institucionais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incluindo a categoria administrativa da instituição e, quando aplicável, a classificação </w:t>
      </w:r>
      <w:r w:rsidDel="00000000" w:rsidR="00000000" w:rsidRPr="00000000">
        <w:rPr>
          <w:sz w:val="24"/>
          <w:szCs w:val="24"/>
          <w:rtl w:val="0"/>
        </w:rPr>
        <w:t xml:space="preserve">institucional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baseada no Índice Geral de Cursos (IGC). O terceiro grupo reúne controles contextuais, especialmente a região geográfica da instituição. </w:t>
      </w:r>
    </w:p>
    <w:p w:rsidR="00000000" w:rsidDel="00000000" w:rsidP="00000000" w:rsidRDefault="00000000" w:rsidRPr="00000000" w14:paraId="00000020">
      <w:pPr>
        <w:pStyle w:val="Heading2"/>
        <w:widowControl w:val="0"/>
        <w:spacing w:before="585.41259765625" w:line="240" w:lineRule="auto"/>
        <w:ind w:left="20.945587158203125" w:firstLine="0"/>
        <w:jc w:val="both"/>
        <w:rPr>
          <w:sz w:val="24"/>
          <w:szCs w:val="24"/>
          <w:vertAlign w:val="baseline"/>
        </w:rPr>
      </w:pPr>
      <w:bookmarkStart w:colFirst="0" w:colLast="0" w:name="_z7otni4svibl" w:id="7"/>
      <w:bookmarkEnd w:id="7"/>
      <w:r w:rsidDel="00000000" w:rsidR="00000000" w:rsidRPr="00000000">
        <w:rPr>
          <w:sz w:val="24"/>
          <w:szCs w:val="24"/>
          <w:vertAlign w:val="baseline"/>
          <w:rtl w:val="0"/>
        </w:rPr>
        <w:t xml:space="preserve">2.2 Estratégia empírica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02099609375" w:line="240" w:lineRule="auto"/>
        <w:ind w:left="12.65472412109375" w:right="18.98071289062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a variável dependente é uma medida de contagem, a análise foi conduzida por meio de </w:t>
      </w:r>
      <w:r w:rsidDel="00000000" w:rsidR="00000000" w:rsidRPr="00000000">
        <w:rPr>
          <w:sz w:val="24"/>
          <w:szCs w:val="24"/>
          <w:rtl w:val="0"/>
        </w:rPr>
        <w:t xml:space="preserve">Modelos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Lineares Generalizados para dados de contagem. Os modelos foram estimados com distribuição Quasi-Poisson e função de ligação logarítmica, especificação adotada para acomodar padrões de </w:t>
      </w:r>
      <w:r w:rsidDel="00000000" w:rsidR="00000000" w:rsidRPr="00000000">
        <w:rPr>
          <w:sz w:val="24"/>
          <w:szCs w:val="24"/>
          <w:rtl w:val="0"/>
        </w:rPr>
        <w:t xml:space="preserve">dispersão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superiores aos assumidos por um modelo de Poisson estrito. Nessa estrutura, os coeficientes são estimados na escala logarítmica e posteriormente exponenciados para obtenção das razões de taxa de incidência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Incidence Rate Ratios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IRR).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38427734375" w:line="240" w:lineRule="auto"/>
        <w:ind w:left="14.6185302734375" w:right="38.26171875" w:firstLine="705.38146972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estratégia empírica foi desenvolvida em duas etapas. Na primeira, a análise utilizou a amostra ampliada de 496 pesquisadores e estimou uma sequência de modelos aninhados. A especificação inicial incluiu apenas a categoria administrativa da instituição. A segunda especificação acrescentou a região geográfica como variável de controle. A terceira incorporou a categoria de IGC. A quarta adicionou 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h-index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preditor contínuo. Essa estrutura sequencial foi adotada para avaliar se a associação entre perfil institucional e recorrência se mantinha após a inclusão de controles geográficos, de qualidade institucional e de capital científico individual.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3115234375" w:line="240" w:lineRule="auto"/>
        <w:ind w:left="6.974945068359375" w:right="19.072265625" w:firstLine="713.025054931640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 segunda etapa, a análise foi restringida ao subsistema federal, composto por 296 pesquisadores vinculados a Universidades Federais ou IFs/CEFETs. Esse recorte foi adotado para comparar padrões de recorrência em um ambiente institucional mais homogêneo. O primeiro modelo dessa etapa incluiu categoria institucional 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h-index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segunda especificação acrescentou a região </w:t>
      </w:r>
      <w:r w:rsidDel="00000000" w:rsidR="00000000" w:rsidRPr="00000000">
        <w:rPr>
          <w:sz w:val="24"/>
          <w:szCs w:val="24"/>
          <w:rtl w:val="0"/>
        </w:rPr>
        <w:t xml:space="preserve">geográfica 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 termo de interação entre categoria institucional e região, permitindo avaliar se a associação entre tipo institucional e recorrência variava conforme o contexto territorial.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353759765625" w:line="240" w:lineRule="auto"/>
        <w:ind w:left="15.7098388671875" w:right="0" w:firstLine="704.29016113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Formalmente, a estrutura geral dos modelos pode ser expressa como: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209228515625"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541748046875" w:line="240" w:lineRule="auto"/>
        <w:ind w:left="12.65411376953125" w:right="18.865966796875" w:firstLine="1.963653564453125"/>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que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representa o número esperado de editais em que o pesquisador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foi aprovado;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bscript"/>
          <w:rtl w:val="0"/>
        </w:rPr>
        <w:t xml:space="preserve">i </w:t>
      </w:r>
      <w:r w:rsidDel="00000000" w:rsidR="00000000" w:rsidRPr="00000000">
        <w:rPr>
          <w:sz w:val="24"/>
          <w:szCs w:val="24"/>
          <w:rtl w:val="0"/>
        </w:rPr>
        <w:t xml:space="preserve">representa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capital científico individual;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características institucionais; 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os controles </w:t>
      </w:r>
      <w:r w:rsidDel="00000000" w:rsidR="00000000" w:rsidRPr="00000000">
        <w:rPr>
          <w:sz w:val="24"/>
          <w:szCs w:val="24"/>
          <w:rtl w:val="0"/>
        </w:rPr>
        <w:t xml:space="preserve">contextuais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 modelo de interação estimado para o subsistema federal, foi incluído adicionalmente um termo multiplicativo entre categoria institucional e região geográfica. </w:t>
      </w:r>
      <w:r w:rsidDel="00000000" w:rsidR="00000000" w:rsidRPr="00000000">
        <w:rPr>
          <w:rtl w:val="0"/>
        </w:rPr>
      </w:r>
    </w:p>
    <w:p w:rsidR="00000000" w:rsidDel="00000000" w:rsidP="00000000" w:rsidRDefault="00000000" w:rsidRPr="00000000" w14:paraId="00000027">
      <w:pPr>
        <w:pStyle w:val="Heading1"/>
        <w:widowControl w:val="0"/>
        <w:spacing w:line="240" w:lineRule="auto"/>
        <w:ind w:left="19.747161865234375" w:firstLine="0"/>
        <w:jc w:val="both"/>
        <w:rPr>
          <w:sz w:val="24"/>
          <w:szCs w:val="24"/>
          <w:vertAlign w:val="baseline"/>
        </w:rPr>
      </w:pPr>
      <w:bookmarkStart w:colFirst="0" w:colLast="0" w:name="_vvr060bvi7sh" w:id="8"/>
      <w:bookmarkEnd w:id="8"/>
      <w:r w:rsidDel="00000000" w:rsidR="00000000" w:rsidRPr="00000000">
        <w:rPr>
          <w:sz w:val="24"/>
          <w:szCs w:val="24"/>
          <w:vertAlign w:val="baseline"/>
          <w:rtl w:val="0"/>
        </w:rPr>
        <w:t xml:space="preserve">3. Resultados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072265625" w:line="240" w:lineRule="auto"/>
        <w:ind w:left="14.618377685546875" w:right="42.5476074218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 a intenção de compreender a dinâmica de acesso e a recorrência dos pesquisadores no âmbito do PIBIC-EM, os resultados foram delineados sob três eixos analíticos. Inicialmente, expõe-se um panorama descritivo abrangente da política pública, com ênfase em sua capilaridade e na identificação dos atores institucionais. Subsequentemente, mediante o emprego de modelagem estatística hierárquica, examinam-se os determinantes estruturais e individuais preditores da taxa de recorrência dos proponentes inseridos no ecossistema do ensino superior. Por fim, adota-se uma perspectiva microanalítica voltada ao subsistema público federal, com o intuito de elucidar as distinções subjacentes às vocações institucionais de Universidades Federais e da Rede Federal de Educação Profissional, Científica e Tecnológica. </w:t>
      </w:r>
    </w:p>
    <w:p w:rsidR="00000000" w:rsidDel="00000000" w:rsidP="00000000" w:rsidRDefault="00000000" w:rsidRPr="00000000" w14:paraId="00000029">
      <w:pPr>
        <w:pStyle w:val="Heading2"/>
        <w:widowControl w:val="0"/>
        <w:spacing w:before="585.41259765625" w:line="240" w:lineRule="auto"/>
        <w:ind w:left="18.98193359375" w:firstLine="0"/>
        <w:jc w:val="both"/>
        <w:rPr>
          <w:sz w:val="24"/>
          <w:szCs w:val="24"/>
          <w:vertAlign w:val="baseline"/>
        </w:rPr>
      </w:pPr>
      <w:bookmarkStart w:colFirst="0" w:colLast="0" w:name="_rhyx6rjokx3r" w:id="9"/>
      <w:bookmarkEnd w:id="9"/>
      <w:r w:rsidDel="00000000" w:rsidR="00000000" w:rsidRPr="00000000">
        <w:rPr>
          <w:sz w:val="24"/>
          <w:szCs w:val="24"/>
          <w:vertAlign w:val="baseline"/>
          <w:rtl w:val="0"/>
        </w:rPr>
        <w:t xml:space="preserve">3.1 Panorama geral da participação dos pesquisadores no PIBIC-EM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014892578125" w:line="240" w:lineRule="auto"/>
        <w:ind w:left="6.97479248046875" w:right="18.9892578125" w:firstLine="713.02520751953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subseção apresenta um panorama geral da implementação do PIBIC-EM no período de 2014 a 2024, com foco na taxa da participação, no perfil dos pesquisadores contemplados e na distribuição institucional e territorial dos vínculos. No recorte analisado, o programa reuniu 541 pesquisadores vinculados a 236 instituições, configurando uma base nacional ampla, porém marcada por </w:t>
      </w:r>
      <w:r w:rsidDel="00000000" w:rsidR="00000000" w:rsidRPr="00000000">
        <w:rPr>
          <w:sz w:val="24"/>
          <w:szCs w:val="24"/>
          <w:rtl w:val="0"/>
        </w:rPr>
        <w:t xml:space="preserve">assimetrias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acesso e permanência. Em termos analíticos, esse padrão sugere, à primeira vista, que esse padrão é compatível com desigualdades históricas de infraestrutura científica e educacional entre instituições e regiões.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0" w:lineRule="auto"/>
        <w:ind w:left="6.978302001953125" w:right="12.21923828125" w:firstLine="713.02169799804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averiguação preliminar dos dados demonstra uma dinâmica de participação concentrada, </w:t>
      </w:r>
      <w:r w:rsidDel="00000000" w:rsidR="00000000" w:rsidRPr="00000000">
        <w:rPr>
          <w:sz w:val="24"/>
          <w:szCs w:val="24"/>
          <w:rtl w:val="0"/>
        </w:rPr>
        <w:t xml:space="preserve">conforme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Tabela 1. Embora 42,3% dos pesquisadores tenham participação pontual em uma chamada, 49,2% já se encontram em padrão de continuidade com participação intermediária entre 2 e 3 chamadas, e 8,5% alcançam recorrência alta com 4 ou mais chamadas. Em termos agregados, 57,7% dos pesquisadores participam de mais de uma chamada, percentual que supera em 15,4 </w:t>
      </w:r>
      <w:r w:rsidDel="00000000" w:rsidR="00000000" w:rsidRPr="00000000">
        <w:rPr>
          <w:sz w:val="24"/>
          <w:szCs w:val="24"/>
          <w:rtl w:val="0"/>
        </w:rPr>
        <w:t xml:space="preserve">pontos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grupo de entrada pontual. Esse desenho também aparece na média nacional de 1,86 chamadas por pesquisador, valor próximo de duas participações por proponente e compatível com um padrão de permanência recorrente no programa.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0" w:lineRule="auto"/>
        <w:ind w:left="6.978302001953125" w:right="12.21923828125" w:firstLine="713.0216979980469"/>
        <w:jc w:val="both"/>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0" w:lineRule="auto"/>
        <w:ind w:left="6.978302001953125" w:right="12.21923828125" w:firstLine="713.0216979980469"/>
        <w:jc w:val="both"/>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0" w:lineRule="auto"/>
        <w:ind w:left="6.978302001953125" w:right="12.21923828125" w:firstLine="713.0216979980469"/>
        <w:jc w:val="both"/>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u w:val="none"/>
          <w:shd w:fill="auto" w:val="clear"/>
          <w:vertAlign w:val="baseline"/>
        </w:rPr>
      </w:pPr>
      <w:r w:rsidDel="00000000" w:rsidR="00000000" w:rsidRPr="00000000">
        <w:rPr>
          <w:b w:val="1"/>
          <w:bCs w:val="1"/>
          <w:rtl w:val="0"/>
        </w:rPr>
        <w:t xml:space="preserve">Tabela 1:</w:t>
      </w:r>
      <w:r w:rsidDel="00000000" w:rsidR="00000000" w:rsidRPr="00000000">
        <w:rPr>
          <w:rtl w:val="0"/>
        </w:rPr>
        <w:t xml:space="preserve"> </w:t>
      </w:r>
      <w:r w:rsidDel="00000000" w:rsidR="00000000" w:rsidRPr="00000000">
        <w:rPr>
          <w:rFonts w:ascii="Arial" w:cs="Arial" w:eastAsia="Arial" w:hAnsi="Arial"/>
          <w:b w:val="0"/>
          <w:bCs w:val="0"/>
          <w:i w:val="1"/>
          <w:iCs w:val="1"/>
          <w:smallCaps w:val="0"/>
          <w:strike w:val="0"/>
          <w:color w:val="000000"/>
          <w:u w:val="none"/>
          <w:shd w:fill="auto" w:val="clear"/>
          <w:vertAlign w:val="baseline"/>
          <w:rtl w:val="0"/>
        </w:rPr>
        <w:t xml:space="preserve">Perfil Consolidado de Participação, Retenção e Abrangência Institucional no PIBIC-EM (2014-2024)</w:t>
      </w:r>
      <w:r w:rsidDel="00000000" w:rsidR="00000000" w:rsidRPr="00000000">
        <w:rPr>
          <w:rtl w:val="0"/>
        </w:rPr>
      </w:r>
    </w:p>
    <w:tbl>
      <w:tblPr>
        <w:tblStyle w:val="Table1"/>
        <w:tblW w:w="8792.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863.9999999999999"/>
        <w:gridCol w:w="863.9999999999999"/>
        <w:gridCol w:w="863.9999999999999"/>
        <w:gridCol w:w="863.9999999999999"/>
        <w:gridCol w:w="863.9999999999999"/>
        <w:gridCol w:w="863.9999999999999"/>
        <w:gridCol w:w="863.9999999999999"/>
        <w:tblGridChange w:id="0">
          <w:tblGrid>
            <w:gridCol w:w="2745"/>
            <w:gridCol w:w="863.9999999999999"/>
            <w:gridCol w:w="863.9999999999999"/>
            <w:gridCol w:w="863.9999999999999"/>
            <w:gridCol w:w="863.9999999999999"/>
            <w:gridCol w:w="863.9999999999999"/>
            <w:gridCol w:w="863.9999999999999"/>
            <w:gridCol w:w="863.9999999999999"/>
          </w:tblGrid>
        </w:tblGridChange>
      </w:tblGrid>
      <w:tr>
        <w:trPr>
          <w:cantSplit w:val="0"/>
          <w:trHeight w:val="144" w:hRule="atLeast"/>
          <w:tblHeader w:val="0"/>
        </w:trPr>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Perfil / Variável</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N (Pesq.)</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Total (%)</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Inst. (n)</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Méd. Cham.</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Pontual (%)</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Interm.</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Recorr.</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w:t>
            </w:r>
            <w:r w:rsidDel="00000000" w:rsidR="00000000" w:rsidRPr="00000000">
              <w:rPr>
                <w:rtl w:val="0"/>
              </w:rPr>
            </w:r>
          </w:p>
        </w:tc>
      </w:tr>
      <w:tr>
        <w:trPr>
          <w:cantSplit w:val="0"/>
          <w:trHeight w:val="14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Categoria Administrativa</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Universidade Federal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3,7</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IF / CEFET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8,5</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IES Privada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18,0</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Pública Estadual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7,5</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Institutos de Pesquisas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6,9</w:t>
            </w:r>
            <w:r w:rsidDel="00000000" w:rsidR="00000000" w:rsidRPr="00000000">
              <w:rPr>
                <w:rtl w:val="0"/>
              </w:rPr>
            </w:r>
          </w:p>
        </w:tc>
      </w:tr>
      <w:tr>
        <w:trPr>
          <w:cantSplit w:val="0"/>
          <w:trHeight w:val="14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Outros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17</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3,1</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10</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1,88</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35,3</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58,8</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5,9</w:t>
            </w:r>
            <w:r w:rsidDel="00000000" w:rsidR="00000000" w:rsidRPr="00000000">
              <w:rPr>
                <w:rtl w:val="0"/>
              </w:rPr>
            </w:r>
          </w:p>
        </w:tc>
      </w:tr>
      <w:tr>
        <w:trPr>
          <w:cantSplit w:val="0"/>
          <w:trHeight w:val="14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Região Geográfica</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Sudeste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9,0</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Nordeste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7,1</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13,3</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Norte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3,4</w:t>
            </w:r>
            <w:r w:rsidDel="00000000" w:rsidR="00000000" w:rsidRPr="00000000">
              <w:rPr>
                <w:rtl w:val="0"/>
              </w:rPr>
            </w:r>
          </w:p>
        </w:tc>
      </w:tr>
      <w:tr>
        <w:trPr>
          <w:cantSplit w:val="0"/>
          <w:trHeight w:val="14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Centro-Oeste</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47</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8,7</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19</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1,64</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51,1</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44,7</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4,3</w:t>
            </w:r>
            <w:r w:rsidDel="00000000" w:rsidR="00000000" w:rsidRPr="00000000">
              <w:rPr>
                <w:rtl w:val="0"/>
              </w:rPr>
            </w:r>
          </w:p>
        </w:tc>
      </w:tr>
      <w:tr>
        <w:trPr>
          <w:cantSplit w:val="0"/>
          <w:trHeight w:val="144" w:hRule="atLeast"/>
          <w:tblHeader w:val="0"/>
        </w:trPr>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Total Brasil</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541</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100</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236</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1,86</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42,3</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49,2</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8,5</w:t>
            </w: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Número de participação nas chamadas públicas do PIBIC-EM: Pontual (1 chamada); Intermediária (2-3 chamadas); Recorrente (4+ chamadas).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Outros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Faculdades Municipais, Organização Social e Órgão Público.</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921875" w:line="240" w:lineRule="auto"/>
        <w:ind w:left="14.618377685546875" w:right="33.59985351562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tocante à distribuição territorial, os dados da Tabela 1 indicam que a participação no PIBIC-EM se organiza por um padrão de concentração regional. A macrorregião Sudeste lidera com 34,9% dos pesquisadores, seguida por Nordeste com 23,3% e por Sul com 22,2%, enquanto Norte com 10,9% e Centro-Oeste com 8,7% apresentam pesos relativos menores. A distribuição observada sugere associação entre a mobilização de proponentes e a densidade prévia de instituições, grupos e redes científicas.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38427734375" w:line="240" w:lineRule="auto"/>
        <w:ind w:left="12.65472412109375" w:right="12.2192382812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Quando a análise incorpora o tipo de instituição, o padrão de concentração torna-se ainda mais evidente: as Universidades Federais representam 34,6% dos pesquisadores, enquanto os Institutos Federais/CEFET, que compõem a Rede Federal de Educação Profissional, Científica e Tecnológica, respondem por 21,6%. Em conjunto, esses segmentos reúnem 56,2% da base. Além de </w:t>
      </w:r>
      <w:r w:rsidDel="00000000" w:rsidR="00000000" w:rsidRPr="00000000">
        <w:rPr>
          <w:sz w:val="24"/>
          <w:szCs w:val="24"/>
          <w:rtl w:val="0"/>
        </w:rPr>
        <w:t xml:space="preserve">concentrarem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volume, mantêm níveis consistentes de recorrência (intermediária + recorrente): 49,2% nas Universidades Federais e 50,4% nos IF/CEFET. Nesse arranjo, a Rede Federal de Ensino constitui um dos principais eixos institucionais de sustentação do PIBIC-EM, ao concentrar pesquisadores </w:t>
      </w:r>
      <w:r w:rsidDel="00000000" w:rsidR="00000000" w:rsidRPr="00000000">
        <w:rPr>
          <w:sz w:val="24"/>
          <w:szCs w:val="24"/>
          <w:rtl w:val="0"/>
        </w:rPr>
        <w:t xml:space="preserve">em ambientes institucionais nos quais se observa maior organização de projetos, continuidade de equipes e participação recorrente. </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808837890625" w:line="240" w:lineRule="auto"/>
        <w:ind w:left="14.618377685546875" w:right="18.97949218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Soma-se a isso sua capilaridade territorial. Por meio das Universidades Federais e principalmente pelos IF/CEFET, a Rede Federal está presente em todas as regiões do país, com ampla distribuição geográfica, o que amplia a capacidade de interiorização e sustentação do programa em escala </w:t>
      </w:r>
      <w:r w:rsidDel="00000000" w:rsidR="00000000" w:rsidRPr="00000000">
        <w:rPr>
          <w:sz w:val="24"/>
          <w:szCs w:val="24"/>
          <w:rtl w:val="0"/>
        </w:rPr>
        <w:t xml:space="preserve">nacional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1259765625" w:line="240" w:lineRule="auto"/>
        <w:ind w:left="14.618377685546875" w:right="12.43652343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contraste, a análise das Universidades </w:t>
      </w:r>
      <w:r w:rsidDel="00000000" w:rsidR="00000000" w:rsidRPr="00000000">
        <w:rPr>
          <w:sz w:val="24"/>
          <w:szCs w:val="24"/>
          <w:rtl w:val="0"/>
        </w:rPr>
        <w:t xml:space="preserve">privadas revela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 padrão de seletividade com alta </w:t>
      </w:r>
      <w:r w:rsidDel="00000000" w:rsidR="00000000" w:rsidRPr="00000000">
        <w:rPr>
          <w:sz w:val="24"/>
          <w:szCs w:val="24"/>
          <w:rtl w:val="0"/>
        </w:rPr>
        <w:t xml:space="preserve">recorrência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participação no programa. Embora esse segmento </w:t>
      </w:r>
      <w:r w:rsidDel="00000000" w:rsidR="00000000" w:rsidRPr="00000000">
        <w:rPr>
          <w:sz w:val="24"/>
          <w:szCs w:val="24"/>
          <w:rtl w:val="0"/>
        </w:rPr>
        <w:t xml:space="preserve">representa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20,5% dos pesquisadores, ele apresenta a maior média de participações por </w:t>
      </w:r>
      <w:r w:rsidDel="00000000" w:rsidR="00000000" w:rsidRPr="00000000">
        <w:rPr>
          <w:sz w:val="24"/>
          <w:szCs w:val="24"/>
          <w:rtl w:val="0"/>
        </w:rPr>
        <w:t xml:space="preserve">pesquisador, com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2,16%, além de ter a maior taxa de pesquisadores </w:t>
      </w:r>
      <w:r w:rsidDel="00000000" w:rsidR="00000000" w:rsidRPr="00000000">
        <w:rPr>
          <w:sz w:val="24"/>
          <w:szCs w:val="24"/>
          <w:rtl w:val="0"/>
        </w:rPr>
        <w:t xml:space="preserve">recorrentes, 18,0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Em termos substantivos, isso sugere que a participação de pesquisadores vinculados à instituições privadas no PIBIC-EM não se distribui de forma difusa; ao contrário, tende a se concentrar em núcleos institucionais mais estáveis, nos quais se observa maior regularidade de submissão de propostas.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14794921875" w:line="240" w:lineRule="auto"/>
        <w:ind w:left="6.97479248046875" w:right="0.22705078125" w:firstLine="713.0252075195312"/>
        <w:jc w:val="both"/>
        <w:rPr>
          <w:rFonts w:ascii="Roboto Mono" w:cs="Roboto Mono" w:eastAsia="Roboto Mono" w:hAnsi="Roboto Mono"/>
          <w:color w:val="dcdcdc"/>
          <w:sz w:val="21"/>
          <w:szCs w:val="21"/>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caráter seletivo da adesão, delineado pelos indicadores de retenção, revela-se ainda mais agudo quando observamos o cruzamento entre as tipologias institucionais e o território nacional, </w:t>
      </w:r>
      <w:r w:rsidDel="00000000" w:rsidR="00000000" w:rsidRPr="00000000">
        <w:rPr>
          <w:sz w:val="24"/>
          <w:szCs w:val="24"/>
          <w:rtl w:val="0"/>
        </w:rPr>
        <w:t xml:space="preserve">conforme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pode ser observado na Tabela 2. As Universidades Privadas, além de formarem núcleos de alta recorrência, concentram-se quase exclusivamente no eixo Sul-Sudeste, que abriga 82,8% dos proponentes dessa categoria. Chama atenção a total ausência de participação de pesquisadores vinculados à instituições privadas na região Norte e a baixa adesão no Nordeste, com apenas 9%. Em termos interpretativos, esse padrão sugere que o engajamento de pesquisadores nas instituições privadas no PIBIC-EM, além de exigir capacidade instalada, parece seguir uma lógica de mercado e de consolidação acadêmica geograficamente desigual. </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14794921875" w:line="240" w:lineRule="auto"/>
        <w:ind w:left="6.97479248046875" w:right="0.22705078125"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b w:val="1"/>
          <w:bCs w:val="1"/>
          <w:rtl w:val="0"/>
        </w:rPr>
        <w:t xml:space="preserve">Tabela 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Distribuição dos Pesquisadores do PIBIC-EM por Categoria Administrativa e Região Geográfica (2014-2024)</w:t>
      </w:r>
      <w:r w:rsidDel="00000000" w:rsidR="00000000" w:rsidRPr="00000000">
        <w:rPr>
          <w:rtl w:val="0"/>
        </w:rPr>
      </w:r>
    </w:p>
    <w:tbl>
      <w:tblPr>
        <w:tblStyle w:val="Table2"/>
        <w:tblW w:w="9222.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1152"/>
        <w:gridCol w:w="1152"/>
        <w:gridCol w:w="1152"/>
        <w:gridCol w:w="1152"/>
        <w:gridCol w:w="1152"/>
        <w:gridCol w:w="1152"/>
        <w:tblGridChange w:id="0">
          <w:tblGrid>
            <w:gridCol w:w="2310"/>
            <w:gridCol w:w="1152"/>
            <w:gridCol w:w="1152"/>
            <w:gridCol w:w="1152"/>
            <w:gridCol w:w="1152"/>
            <w:gridCol w:w="1152"/>
            <w:gridCol w:w="1152"/>
          </w:tblGrid>
        </w:tblGridChange>
      </w:tblGrid>
      <w:tr>
        <w:trPr>
          <w:cantSplit w:val="0"/>
          <w:trHeight w:val="576" w:hRule="atLeast"/>
          <w:tblHeader w:val="0"/>
        </w:trPr>
        <w:tc>
          <w:tcPr>
            <w:tcBorders>
              <w:top w:color="000000" w:space="0" w:sz="12" w:val="single"/>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r>
          </w:p>
        </w:tc>
        <w:tc>
          <w:tcPr>
            <w:gridSpan w:val="6"/>
            <w:tcBorders>
              <w:top w:color="000000" w:space="0" w:sz="12" w:val="single"/>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0"/>
                <w:strike w:val="0"/>
                <w:color w:val="000000"/>
                <w:u w:val="none"/>
                <w:shd w:fill="auto" w:val="clear"/>
                <w:vertAlign w:val="baseline"/>
              </w:rPr>
            </w:pPr>
            <w:r w:rsidDel="00000000" w:rsidR="00000000" w:rsidRPr="00000000">
              <w:rPr>
                <w:rtl w:val="0"/>
              </w:rPr>
              <w:t xml:space="preserve">Região Geográfica </w:t>
            </w:r>
            <w:r w:rsidDel="00000000" w:rsidR="00000000" w:rsidRPr="00000000">
              <w:rPr>
                <w:i w:val="1"/>
                <w:iCs w:val="1"/>
                <w:rtl w:val="0"/>
              </w:rPr>
              <w:t xml:space="preserve">n</w:t>
            </w:r>
            <w:r w:rsidDel="00000000" w:rsidR="00000000" w:rsidRPr="00000000">
              <w:rPr>
                <w:rtl w:val="0"/>
              </w:rPr>
              <w:t xml:space="preserve"> (%)</w:t>
            </w:r>
            <w:r w:rsidDel="00000000" w:rsidR="00000000" w:rsidRPr="00000000">
              <w:rPr>
                <w:rtl w:val="0"/>
              </w:rPr>
            </w:r>
          </w:p>
        </w:tc>
      </w:tr>
      <w:tr>
        <w:trPr>
          <w:cantSplit w:val="0"/>
          <w:trHeight w:val="14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Categoria Administrativa</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Norte</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Nordeste</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Centro-Oeste</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Sudeste</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Sul</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Total (</w:t>
            </w:r>
            <w:r w:rsidDel="00000000" w:rsidR="00000000" w:rsidRPr="00000000">
              <w:rPr>
                <w:i w:val="1"/>
                <w:iCs w:val="1"/>
                <w:smallCaps w:val="0"/>
                <w:strike w:val="0"/>
                <w:color w:val="000000"/>
                <w:u w:val="none"/>
                <w:shd w:fill="auto" w:val="clear"/>
                <w:vertAlign w:val="baseline"/>
                <w:rtl w:val="0"/>
              </w:rPr>
              <w:t xml:space="preserve">N</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rtl w:val="0"/>
              </w:rPr>
            </w:r>
          </w:p>
        </w:tc>
      </w:tr>
      <w:tr>
        <w:trPr>
          <w:cantSplit w:val="0"/>
          <w:trHeight w:val="14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Universidade Federal</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31 (16,6)</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61 (32,6)</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14 (7,5)</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52 (27,8)</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29 (15,5)</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187</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IF / CEFET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17 (14,5)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26 (22,2)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19 (16,2)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39 (33,3)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16 (13,7)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117</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IES Privada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10 (9,0)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9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42 (37,8)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50 (45,0)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111</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Pública Estadual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7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22 (27,5)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28 (35,0)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20 (25,0)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80</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Institutos de Pesquisas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6 (20,7)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 (62,1)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29</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Outros</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(5,9)</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(5,9)</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0 (0,0)</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10 (58,8)</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 (29,4)</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17</w:t>
            </w:r>
            <w:r w:rsidDel="00000000" w:rsidR="00000000" w:rsidRPr="00000000">
              <w:rPr>
                <w:rtl w:val="0"/>
              </w:rPr>
            </w:r>
          </w:p>
        </w:tc>
      </w:tr>
      <w:tr>
        <w:trPr>
          <w:cantSplit w:val="0"/>
          <w:trHeight w:val="144" w:hRule="atLeast"/>
          <w:tblHeader w:val="0"/>
        </w:trPr>
        <w:tc>
          <w:tcPr>
            <w:tcBorders>
              <w:top w:color="000000" w:space="0" w:sz="12" w:val="single"/>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Total Brasil</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59 (10,9)</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126 (23,3)</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47 (8,7)</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189 (34,9)</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120 (22,2)</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541</w:t>
            </w:r>
            <w:r w:rsidDel="00000000" w:rsidR="00000000" w:rsidRPr="00000000">
              <w:rPr>
                <w:rtl w:val="0"/>
              </w:rPr>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14794921875" w:line="240" w:lineRule="auto"/>
        <w:ind w:left="6.97479248046875" w:right="0.22705078125" w:firstLine="0"/>
        <w:jc w:val="both"/>
        <w:rPr>
          <w:sz w:val="24"/>
          <w:szCs w:val="24"/>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 valores entre parênteses representam o percentual da categoria administrativa alocada em cada região.</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50634765625" w:line="240" w:lineRule="auto"/>
        <w:ind w:left="16.1456298828125" w:right="42.767333984375" w:firstLine="703.854370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outro lado, a Tabela 2 reafirma o papel do Estado na interiorização da política científica. Nas </w:t>
      </w:r>
      <w:r w:rsidDel="00000000" w:rsidR="00000000" w:rsidRPr="00000000">
        <w:rPr>
          <w:sz w:val="24"/>
          <w:szCs w:val="24"/>
          <w:rtl w:val="0"/>
        </w:rPr>
        <w:t xml:space="preserve">Universidades Federais, 61 pesquisadores no Nordeste correspondem a 32,6% da categoria, o maior contingente regional, evidenciando protagonismo justamente onde o setor privado reúne apenas 10 pesquisadores e participação de 9,0%. A Rede IF/CEFET também apresenta capilaridade nacional, com 14,5% no Norte, 22,2% no Nordeste, 16,2% no Centro-Oeste, 33,3% no Sudeste e 13,7% no Sul. Quando se incorpora a contribuição das Universidades Públicas Estaduais, com 22 pesquisadores no Nordeste, 28 no Sudeste e 20 no Sul, o quadro se torna ainda mais claro: o Sistema Público de Ensino Superior, articulando Rede Federal e Universidades Estaduais,aparece como o principal vetor de sustentação territorial do PIBIC-EM no período analisado. </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0" w:lineRule="auto"/>
        <w:ind w:left="14.618377685546875" w:right="42.7624511718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caso dos Institutos e Centros de Pesquisa, embora representem 5,4% dos pesquisadores, esse segmento combina recorrência intermediária relevante com 55,2% entre 2 e 3 chamadas, com forte concentração territorial no Sudeste, que reúne 62,1% dos vínculos da categoria. Em contraste, sua presença é residual no Norte com 10,3%, no Centro-Oeste com 6,9% e inexistente no Sul, indicando baixa capilaridade nacional quando comparada à Rede Federal de Ensino. Esse desenho sugere que os centros de pesquisa aparecem como </w:t>
      </w:r>
      <w:r w:rsidDel="00000000" w:rsidR="00000000" w:rsidRPr="00000000">
        <w:rPr>
          <w:sz w:val="24"/>
          <w:szCs w:val="24"/>
          <w:rtl w:val="0"/>
        </w:rPr>
        <w:t xml:space="preserve">pólos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especializados de execução do PIBIC-EM em territórios com maior densidade científica, contribuindo para a continuidade qualificada da política, mas com menor capacidade de difusão territorial do programa.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0" w:lineRule="auto"/>
        <w:ind w:left="12.65472412109375" w:right="12.2192382812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além da distribuição percentual descritiva, a assimetria na composição das redes de </w:t>
      </w:r>
      <w:r w:rsidDel="00000000" w:rsidR="00000000" w:rsidRPr="00000000">
        <w:rPr>
          <w:sz w:val="24"/>
          <w:szCs w:val="24"/>
          <w:rtl w:val="0"/>
        </w:rPr>
        <w:t xml:space="preserve">participação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engajamento de pesquisadores interessados em trazer o jovem para o campo científico, reflete um padrão estrutural de alocação estatisticamente significativo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126;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001). A análise dos resíduos padronizados do teste de contingência evidencia que a presença institucional não ocorre de forma aleatória no território nacional, apresentando uma correlação de intensidade moderada (V de Cramer = 0,241). O setor privado exibe uma sobre-representação aguda na região Sul, com resíduo padronizado superior a 7, ao passo que sua participação no Norte e Nordeste é </w:t>
      </w:r>
      <w:r w:rsidDel="00000000" w:rsidR="00000000" w:rsidRPr="00000000">
        <w:rPr>
          <w:sz w:val="24"/>
          <w:szCs w:val="24"/>
          <w:rtl w:val="0"/>
        </w:rPr>
        <w:t xml:space="preserve">estatisticamente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inferior ao que seria esperado por uma distribuição homogênea. Esse comportamento é compatível com incentivos institucionais e padrões de consolidação acadêmica.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838623046875" w:line="240" w:lineRule="auto"/>
        <w:ind w:left="12.65472412109375" w:right="18.7646484375" w:firstLine="707.3452758789062"/>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sentido oposto, as Universidades Federais e a Rede IF/CEFET registram frequências </w:t>
      </w:r>
      <w:r w:rsidDel="00000000" w:rsidR="00000000" w:rsidRPr="00000000">
        <w:rPr>
          <w:sz w:val="24"/>
          <w:szCs w:val="24"/>
          <w:rtl w:val="0"/>
        </w:rPr>
        <w:t xml:space="preserve">significativamente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acima do esperado nas regiões Norte, Nordeste e Centro-Oeste, compensando a ausência e a sub-representação dos demais atores institucionais. Configuram-se, portanto, dois ecossistemas operacionais distintos no âmbito do programa. De um lado, observa-se um arranjo misto e </w:t>
      </w:r>
      <w:r w:rsidDel="00000000" w:rsidR="00000000" w:rsidRPr="00000000">
        <w:rPr>
          <w:sz w:val="24"/>
          <w:szCs w:val="24"/>
          <w:rtl w:val="0"/>
        </w:rPr>
        <w:t xml:space="preserve">diversificado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 eixo Sul-Sudeste, onde o interesse de pesquisadores em trazer os jovens para dentro das </w:t>
      </w:r>
      <w:r w:rsidDel="00000000" w:rsidR="00000000" w:rsidRPr="00000000">
        <w:rPr>
          <w:sz w:val="24"/>
          <w:szCs w:val="24"/>
          <w:rtl w:val="0"/>
        </w:rPr>
        <w:t xml:space="preserve">atividades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acadêmicas é capilarizado entre universidades públicas, fortes atores privados e institutos de pesquisa. De outro, consolida-se a participação de pesquisadores vinculados às instituições de ensino públicas nas demais macrorregiões, o qual se sustenta dependente da infraestrutura da rede federal. </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3701171875" w:line="240" w:lineRule="auto"/>
        <w:ind w:left="1.52587890625E-4" w:right="0" w:firstLine="719.999847412109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análise do perfil epistemológico dos proponentes revela que a Iniciação Científica Júnior é </w:t>
      </w:r>
      <w:r w:rsidDel="00000000" w:rsidR="00000000" w:rsidRPr="00000000">
        <w:rPr>
          <w:sz w:val="24"/>
          <w:szCs w:val="24"/>
          <w:rtl w:val="0"/>
        </w:rPr>
        <w:t xml:space="preserve">majoritariamente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operada por pesquisadores vinculados às ciências experimentais e exatas. Como demonstrado na Tabela 3, as áreas de Ciências Exatas e da Terra, com 26,4%, e Ciências Biológicas, com 25,1%, respondem, em conjunto, por 51,6% da área de atuação dos pesquisadores proponentes. Esse resultado explicita que o PIBIC-EM conta com maior engajamento de pesquisadores das áreas STEM, historicamente mais associadas à pesquisa experimental e à prática laboratorial. Tal padrão é coerente com o propósito do programa e à agenda nacional de formação acadêmica desde o ensino médio, ao favorecer a inserção precoce de estudantes em trajetórias científicas e tecnológicas.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255859375" w:line="240" w:lineRule="auto"/>
        <w:ind w:left="15.08453369140625" w:right="142.72705078125" w:hanging="5.381622314453125"/>
        <w:jc w:val="both"/>
        <w:rPr>
          <w:sz w:val="24"/>
          <w:szCs w:val="24"/>
        </w:rPr>
      </w:pPr>
      <w:r w:rsidDel="00000000" w:rsidR="00000000" w:rsidRPr="00000000">
        <w:rPr>
          <w:rtl w:val="0"/>
        </w:rPr>
      </w:r>
    </w:p>
    <w:p w:rsidR="00000000" w:rsidDel="00000000" w:rsidP="00000000" w:rsidRDefault="00000000" w:rsidRPr="00000000" w14:paraId="000000F7">
      <w:pPr>
        <w:widowControl w:val="0"/>
        <w:rPr>
          <w:b w:val="1"/>
          <w:bCs w:val="1"/>
        </w:rPr>
      </w:pPr>
      <w:r w:rsidDel="00000000" w:rsidR="00000000" w:rsidRPr="00000000">
        <w:rPr>
          <w:rtl w:val="0"/>
        </w:rPr>
      </w:r>
    </w:p>
    <w:p w:rsidR="00000000" w:rsidDel="00000000" w:rsidP="00000000" w:rsidRDefault="00000000" w:rsidRPr="00000000" w14:paraId="000000F8">
      <w:pPr>
        <w:widowControl w:val="0"/>
        <w:rPr>
          <w:i w:val="1"/>
          <w:iCs w:val="1"/>
        </w:rPr>
      </w:pPr>
      <w:r w:rsidDel="00000000" w:rsidR="00000000" w:rsidRPr="00000000">
        <w:rPr>
          <w:b w:val="1"/>
          <w:bCs w:val="1"/>
          <w:rtl w:val="0"/>
        </w:rPr>
        <w:t xml:space="preserve">Tabela 3: </w:t>
      </w:r>
      <w:r w:rsidDel="00000000" w:rsidR="00000000" w:rsidRPr="00000000">
        <w:rPr>
          <w:i w:val="1"/>
          <w:iCs w:val="1"/>
          <w:rtl w:val="0"/>
        </w:rPr>
        <w:t xml:space="preserve">Distribuição de Programas de Pós-Graduação por Área de Atuação e Categoria Institucional no Brasil</w:t>
      </w:r>
      <w:r w:rsidDel="00000000" w:rsidR="00000000" w:rsidRPr="00000000">
        <w:rPr>
          <w:rtl w:val="0"/>
        </w:rPr>
      </w:r>
    </w:p>
    <w:tbl>
      <w:tblPr>
        <w:tblStyle w:val="Table3"/>
        <w:tblW w:w="9260.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008"/>
        <w:gridCol w:w="1008"/>
        <w:gridCol w:w="1008"/>
        <w:gridCol w:w="1008"/>
        <w:gridCol w:w="1008"/>
        <w:gridCol w:w="1008"/>
        <w:gridCol w:w="1008"/>
        <w:tblGridChange w:id="0">
          <w:tblGrid>
            <w:gridCol w:w="2205"/>
            <w:gridCol w:w="1008"/>
            <w:gridCol w:w="1008"/>
            <w:gridCol w:w="1008"/>
            <w:gridCol w:w="1008"/>
            <w:gridCol w:w="1008"/>
            <w:gridCol w:w="1008"/>
            <w:gridCol w:w="1008"/>
          </w:tblGrid>
        </w:tblGridChange>
      </w:tblGrid>
      <w:tr>
        <w:trPr>
          <w:cantSplit w:val="0"/>
          <w:trHeight w:val="144" w:hRule="atLeast"/>
          <w:tblHeader w:val="0"/>
        </w:trPr>
        <w:tc>
          <w:tcPr>
            <w:tcBorders>
              <w:top w:color="000000" w:space="0" w:sz="12" w:val="single"/>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9">
            <w:pPr>
              <w:widowControl w:val="0"/>
              <w:jc w:val="center"/>
              <w:rPr/>
            </w:pPr>
            <w:r w:rsidDel="00000000" w:rsidR="00000000" w:rsidRPr="00000000">
              <w:rPr>
                <w:rtl w:val="0"/>
              </w:rPr>
            </w:r>
          </w:p>
        </w:tc>
        <w:tc>
          <w:tcPr>
            <w:gridSpan w:val="7"/>
            <w:tcBorders>
              <w:top w:color="000000" w:space="0" w:sz="12" w:val="single"/>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A">
            <w:pPr>
              <w:widowControl w:val="0"/>
              <w:jc w:val="center"/>
              <w:rPr/>
            </w:pPr>
            <w:r w:rsidDel="00000000" w:rsidR="00000000" w:rsidRPr="00000000">
              <w:rPr>
                <w:rtl w:val="0"/>
              </w:rPr>
              <w:t xml:space="preserve">Categoria Administrativa </w:t>
            </w:r>
            <w:r w:rsidDel="00000000" w:rsidR="00000000" w:rsidRPr="00000000">
              <w:rPr>
                <w:i w:val="1"/>
                <w:iCs w:val="1"/>
                <w:rtl w:val="0"/>
              </w:rPr>
              <w:t xml:space="preserve">n </w:t>
            </w:r>
            <w:r w:rsidDel="00000000" w:rsidR="00000000" w:rsidRPr="00000000">
              <w:rPr>
                <w:rtl w:val="0"/>
              </w:rPr>
              <w:t xml:space="preserve">(%)</w:t>
            </w:r>
          </w:p>
        </w:tc>
      </w:tr>
      <w:tr>
        <w:trPr>
          <w:cantSplit w:val="0"/>
          <w:trHeight w:val="14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1">
            <w:pPr>
              <w:widowControl w:val="0"/>
              <w:jc w:val="center"/>
              <w:rPr/>
            </w:pPr>
            <w:r w:rsidDel="00000000" w:rsidR="00000000" w:rsidRPr="00000000">
              <w:rPr>
                <w:rtl w:val="0"/>
              </w:rPr>
              <w:t xml:space="preserve">Área de Atuação</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2">
            <w:pPr>
              <w:widowControl w:val="0"/>
              <w:jc w:val="center"/>
              <w:rPr/>
            </w:pPr>
            <w:r w:rsidDel="00000000" w:rsidR="00000000" w:rsidRPr="00000000">
              <w:rPr>
                <w:rtl w:val="0"/>
              </w:rPr>
              <w:t xml:space="preserve">Univ. Federal n (%)</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3">
            <w:pPr>
              <w:widowControl w:val="0"/>
              <w:jc w:val="center"/>
              <w:rPr/>
            </w:pPr>
            <w:r w:rsidDel="00000000" w:rsidR="00000000" w:rsidRPr="00000000">
              <w:rPr>
                <w:rtl w:val="0"/>
              </w:rPr>
              <w:t xml:space="preserve">IF / CEFET n (%)</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4">
            <w:pPr>
              <w:widowControl w:val="0"/>
              <w:jc w:val="center"/>
              <w:rPr/>
            </w:pPr>
            <w:r w:rsidDel="00000000" w:rsidR="00000000" w:rsidRPr="00000000">
              <w:rPr>
                <w:rtl w:val="0"/>
              </w:rPr>
              <w:t xml:space="preserve">IES Privada n (%)</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5">
            <w:pPr>
              <w:widowControl w:val="0"/>
              <w:jc w:val="center"/>
              <w:rPr/>
            </w:pPr>
            <w:r w:rsidDel="00000000" w:rsidR="00000000" w:rsidRPr="00000000">
              <w:rPr>
                <w:rtl w:val="0"/>
              </w:rPr>
              <w:t xml:space="preserve">Pública Estadual n (%)</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6">
            <w:pPr>
              <w:widowControl w:val="0"/>
              <w:jc w:val="center"/>
              <w:rPr/>
            </w:pPr>
            <w:r w:rsidDel="00000000" w:rsidR="00000000" w:rsidRPr="00000000">
              <w:rPr>
                <w:rtl w:val="0"/>
              </w:rPr>
              <w:t xml:space="preserve">Inst. Pesquisa n (%)</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7">
            <w:pPr>
              <w:widowControl w:val="0"/>
              <w:jc w:val="center"/>
              <w:rPr/>
            </w:pPr>
            <w:r w:rsidDel="00000000" w:rsidR="00000000" w:rsidRPr="00000000">
              <w:rPr>
                <w:rtl w:val="0"/>
              </w:rPr>
              <w:t xml:space="preserve">Outros n (%)</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8">
            <w:pPr>
              <w:widowControl w:val="0"/>
              <w:jc w:val="center"/>
              <w:rPr/>
            </w:pPr>
            <w:r w:rsidDel="00000000" w:rsidR="00000000" w:rsidRPr="00000000">
              <w:rPr>
                <w:rtl w:val="0"/>
              </w:rPr>
              <w:t xml:space="preserve">Total (N)</w:t>
            </w:r>
            <w:r w:rsidDel="00000000" w:rsidR="00000000" w:rsidRPr="00000000">
              <w:rPr>
                <w:rtl w:val="0"/>
              </w:rPr>
            </w:r>
          </w:p>
        </w:tc>
      </w:tr>
      <w:tr>
        <w:trPr>
          <w:cantSplit w:val="0"/>
          <w:trHeight w:val="14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9">
            <w:pPr>
              <w:widowControl w:val="0"/>
              <w:rPr/>
            </w:pPr>
            <w:r w:rsidDel="00000000" w:rsidR="00000000" w:rsidRPr="00000000">
              <w:rPr>
                <w:rtl w:val="0"/>
              </w:rPr>
              <w:t xml:space="preserve">Ciências Exatas e da Terra</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A">
            <w:pPr>
              <w:widowControl w:val="0"/>
              <w:jc w:val="center"/>
              <w:rPr/>
            </w:pPr>
            <w:r w:rsidDel="00000000" w:rsidR="00000000" w:rsidRPr="00000000">
              <w:rPr>
                <w:rtl w:val="0"/>
              </w:rPr>
              <w:t xml:space="preserve">45 (31,5)</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B">
            <w:pPr>
              <w:widowControl w:val="0"/>
              <w:jc w:val="center"/>
              <w:rPr/>
            </w:pPr>
            <w:r w:rsidDel="00000000" w:rsidR="00000000" w:rsidRPr="00000000">
              <w:rPr>
                <w:rtl w:val="0"/>
              </w:rPr>
              <w:t xml:space="preserve">44 (30,8)</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C">
            <w:pPr>
              <w:widowControl w:val="0"/>
              <w:jc w:val="center"/>
              <w:rPr/>
            </w:pPr>
            <w:r w:rsidDel="00000000" w:rsidR="00000000" w:rsidRPr="00000000">
              <w:rPr>
                <w:rtl w:val="0"/>
              </w:rPr>
              <w:t xml:space="preserve">20 (14,0)</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D">
            <w:pPr>
              <w:widowControl w:val="0"/>
              <w:jc w:val="center"/>
              <w:rPr/>
            </w:pPr>
            <w:r w:rsidDel="00000000" w:rsidR="00000000" w:rsidRPr="00000000">
              <w:rPr>
                <w:rtl w:val="0"/>
              </w:rPr>
              <w:t xml:space="preserve">18 (12,6)</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E">
            <w:pPr>
              <w:widowControl w:val="0"/>
              <w:jc w:val="center"/>
              <w:rPr/>
            </w:pPr>
            <w:r w:rsidDel="00000000" w:rsidR="00000000" w:rsidRPr="00000000">
              <w:rPr>
                <w:rtl w:val="0"/>
              </w:rPr>
              <w:t xml:space="preserve">12 (8,4)</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F">
            <w:pPr>
              <w:widowControl w:val="0"/>
              <w:jc w:val="center"/>
              <w:rPr/>
            </w:pPr>
            <w:r w:rsidDel="00000000" w:rsidR="00000000" w:rsidRPr="00000000">
              <w:rPr>
                <w:rtl w:val="0"/>
              </w:rPr>
              <w:t xml:space="preserve">4 (2,8)</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0">
            <w:pPr>
              <w:widowControl w:val="0"/>
              <w:jc w:val="center"/>
              <w:rPr/>
            </w:pPr>
            <w:r w:rsidDel="00000000" w:rsidR="00000000" w:rsidRPr="00000000">
              <w:rPr>
                <w:rtl w:val="0"/>
              </w:rPr>
              <w:t xml:space="preserve">143</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1">
            <w:pPr>
              <w:widowControl w:val="0"/>
              <w:rPr/>
            </w:pPr>
            <w:r w:rsidDel="00000000" w:rsidR="00000000" w:rsidRPr="00000000">
              <w:rPr>
                <w:rtl w:val="0"/>
              </w:rPr>
              <w:t xml:space="preserve">Ciências Biológicas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2">
            <w:pPr>
              <w:widowControl w:val="0"/>
              <w:jc w:val="center"/>
              <w:rPr/>
            </w:pPr>
            <w:r w:rsidDel="00000000" w:rsidR="00000000" w:rsidRPr="00000000">
              <w:rPr>
                <w:rtl w:val="0"/>
              </w:rPr>
              <w:t xml:space="preserve">53 (39,0)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3">
            <w:pPr>
              <w:widowControl w:val="0"/>
              <w:jc w:val="center"/>
              <w:rPr/>
            </w:pPr>
            <w:r w:rsidDel="00000000" w:rsidR="00000000" w:rsidRPr="00000000">
              <w:rPr>
                <w:rtl w:val="0"/>
              </w:rPr>
              <w:t xml:space="preserve">30 (22,1)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4">
            <w:pPr>
              <w:widowControl w:val="0"/>
              <w:jc w:val="center"/>
              <w:rPr/>
            </w:pPr>
            <w:r w:rsidDel="00000000" w:rsidR="00000000" w:rsidRPr="00000000">
              <w:rPr>
                <w:rtl w:val="0"/>
              </w:rPr>
              <w:t xml:space="preserve">14 (10,3)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5">
            <w:pPr>
              <w:widowControl w:val="0"/>
              <w:jc w:val="center"/>
              <w:rPr/>
            </w:pPr>
            <w:r w:rsidDel="00000000" w:rsidR="00000000" w:rsidRPr="00000000">
              <w:rPr>
                <w:rtl w:val="0"/>
              </w:rPr>
              <w:t xml:space="preserve">26 (19,1)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6">
            <w:pPr>
              <w:widowControl w:val="0"/>
              <w:jc w:val="center"/>
              <w:rPr/>
            </w:pPr>
            <w:r w:rsidDel="00000000" w:rsidR="00000000" w:rsidRPr="00000000">
              <w:rPr>
                <w:rtl w:val="0"/>
              </w:rPr>
              <w:t xml:space="preserve">9 (6,6)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7">
            <w:pPr>
              <w:widowControl w:val="0"/>
              <w:jc w:val="center"/>
              <w:rPr/>
            </w:pPr>
            <w:r w:rsidDel="00000000" w:rsidR="00000000" w:rsidRPr="00000000">
              <w:rPr>
                <w:rtl w:val="0"/>
              </w:rPr>
              <w:t xml:space="preserve">4 (2,9)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8">
            <w:pPr>
              <w:widowControl w:val="0"/>
              <w:jc w:val="center"/>
              <w:rPr/>
            </w:pPr>
            <w:r w:rsidDel="00000000" w:rsidR="00000000" w:rsidRPr="00000000">
              <w:rPr>
                <w:rtl w:val="0"/>
              </w:rPr>
              <w:t xml:space="preserve">136</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9">
            <w:pPr>
              <w:widowControl w:val="0"/>
              <w:rPr/>
            </w:pPr>
            <w:r w:rsidDel="00000000" w:rsidR="00000000" w:rsidRPr="00000000">
              <w:rPr>
                <w:rtl w:val="0"/>
              </w:rPr>
              <w:t xml:space="preserve">Ciências Humanas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A">
            <w:pPr>
              <w:widowControl w:val="0"/>
              <w:jc w:val="center"/>
              <w:rPr/>
            </w:pPr>
            <w:r w:rsidDel="00000000" w:rsidR="00000000" w:rsidRPr="00000000">
              <w:rPr>
                <w:rtl w:val="0"/>
              </w:rPr>
              <w:t xml:space="preserve">29 (25,2)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B">
            <w:pPr>
              <w:widowControl w:val="0"/>
              <w:jc w:val="center"/>
              <w:rPr/>
            </w:pPr>
            <w:r w:rsidDel="00000000" w:rsidR="00000000" w:rsidRPr="00000000">
              <w:rPr>
                <w:rtl w:val="0"/>
              </w:rPr>
              <w:t xml:space="preserve">22 (19,1)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C">
            <w:pPr>
              <w:widowControl w:val="0"/>
              <w:jc w:val="center"/>
              <w:rPr/>
            </w:pPr>
            <w:r w:rsidDel="00000000" w:rsidR="00000000" w:rsidRPr="00000000">
              <w:rPr>
                <w:rtl w:val="0"/>
              </w:rPr>
              <w:t xml:space="preserve">38 (33,0)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D">
            <w:pPr>
              <w:widowControl w:val="0"/>
              <w:jc w:val="center"/>
              <w:rPr/>
            </w:pPr>
            <w:r w:rsidDel="00000000" w:rsidR="00000000" w:rsidRPr="00000000">
              <w:rPr>
                <w:rtl w:val="0"/>
              </w:rPr>
              <w:t xml:space="preserve">17 (14,8)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E">
            <w:pPr>
              <w:widowControl w:val="0"/>
              <w:jc w:val="center"/>
              <w:rPr/>
            </w:pPr>
            <w:r w:rsidDel="00000000" w:rsidR="00000000" w:rsidRPr="00000000">
              <w:rPr>
                <w:rtl w:val="0"/>
              </w:rPr>
              <w:t xml:space="preserve">4 (3,5)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F">
            <w:pPr>
              <w:widowControl w:val="0"/>
              <w:jc w:val="center"/>
              <w:rPr/>
            </w:pPr>
            <w:r w:rsidDel="00000000" w:rsidR="00000000" w:rsidRPr="00000000">
              <w:rPr>
                <w:rtl w:val="0"/>
              </w:rPr>
              <w:t xml:space="preserve">5 (4,3)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0">
            <w:pPr>
              <w:widowControl w:val="0"/>
              <w:jc w:val="center"/>
              <w:rPr/>
            </w:pPr>
            <w:r w:rsidDel="00000000" w:rsidR="00000000" w:rsidRPr="00000000">
              <w:rPr>
                <w:rtl w:val="0"/>
              </w:rPr>
              <w:t xml:space="preserve">115</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1">
            <w:pPr>
              <w:widowControl w:val="0"/>
              <w:rPr/>
            </w:pPr>
            <w:r w:rsidDel="00000000" w:rsidR="00000000" w:rsidRPr="00000000">
              <w:rPr>
                <w:rtl w:val="0"/>
              </w:rPr>
              <w:t xml:space="preserve">Ciências da Saúde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2">
            <w:pPr>
              <w:widowControl w:val="0"/>
              <w:jc w:val="center"/>
              <w:rPr/>
            </w:pPr>
            <w:r w:rsidDel="00000000" w:rsidR="00000000" w:rsidRPr="00000000">
              <w:rPr>
                <w:rtl w:val="0"/>
              </w:rPr>
              <w:t xml:space="preserve">33 (41,2)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3">
            <w:pPr>
              <w:widowControl w:val="0"/>
              <w:jc w:val="center"/>
              <w:rPr/>
            </w:pPr>
            <w:r w:rsidDel="00000000" w:rsidR="00000000" w:rsidRPr="00000000">
              <w:rPr>
                <w:rtl w:val="0"/>
              </w:rPr>
              <w:t xml:space="preserve">4 (5,0)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4">
            <w:pPr>
              <w:widowControl w:val="0"/>
              <w:jc w:val="center"/>
              <w:rPr/>
            </w:pPr>
            <w:r w:rsidDel="00000000" w:rsidR="00000000" w:rsidRPr="00000000">
              <w:rPr>
                <w:rtl w:val="0"/>
              </w:rPr>
              <w:t xml:space="preserve">27 (33,8)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5">
            <w:pPr>
              <w:widowControl w:val="0"/>
              <w:jc w:val="center"/>
              <w:rPr/>
            </w:pPr>
            <w:r w:rsidDel="00000000" w:rsidR="00000000" w:rsidRPr="00000000">
              <w:rPr>
                <w:rtl w:val="0"/>
              </w:rPr>
              <w:t xml:space="preserve">9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6">
            <w:pPr>
              <w:widowControl w:val="0"/>
              <w:jc w:val="center"/>
              <w:rPr/>
            </w:pPr>
            <w:r w:rsidDel="00000000" w:rsidR="00000000" w:rsidRPr="00000000">
              <w:rPr>
                <w:rtl w:val="0"/>
              </w:rPr>
              <w:t xml:space="preserve">3 (3,8)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7">
            <w:pPr>
              <w:widowControl w:val="0"/>
              <w:jc w:val="center"/>
              <w:rPr/>
            </w:pPr>
            <w:r w:rsidDel="00000000" w:rsidR="00000000" w:rsidRPr="00000000">
              <w:rPr>
                <w:rtl w:val="0"/>
              </w:rPr>
              <w:t xml:space="preserve">4 (5,0)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8">
            <w:pPr>
              <w:widowControl w:val="0"/>
              <w:jc w:val="center"/>
              <w:rPr/>
            </w:pPr>
            <w:r w:rsidDel="00000000" w:rsidR="00000000" w:rsidRPr="00000000">
              <w:rPr>
                <w:rtl w:val="0"/>
              </w:rPr>
              <w:t xml:space="preserve">80</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9">
            <w:pPr>
              <w:widowControl w:val="0"/>
              <w:rPr/>
            </w:pPr>
            <w:r w:rsidDel="00000000" w:rsidR="00000000" w:rsidRPr="00000000">
              <w:rPr>
                <w:rtl w:val="0"/>
              </w:rPr>
              <w:t xml:space="preserve">Multidisciplinar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A">
            <w:pPr>
              <w:widowControl w:val="0"/>
              <w:jc w:val="center"/>
              <w:rPr/>
            </w:pPr>
            <w:r w:rsidDel="00000000" w:rsidR="00000000" w:rsidRPr="00000000">
              <w:rPr>
                <w:rtl w:val="0"/>
              </w:rPr>
              <w:t xml:space="preserve">12 (37,5)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B">
            <w:pPr>
              <w:widowControl w:val="0"/>
              <w:jc w:val="center"/>
              <w:rPr/>
            </w:pPr>
            <w:r w:rsidDel="00000000" w:rsidR="00000000" w:rsidRPr="00000000">
              <w:rPr>
                <w:rtl w:val="0"/>
              </w:rPr>
              <w:t xml:space="preserve">8 (25,0)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C">
            <w:pPr>
              <w:widowControl w:val="0"/>
              <w:jc w:val="center"/>
              <w:rPr/>
            </w:pPr>
            <w:r w:rsidDel="00000000" w:rsidR="00000000" w:rsidRPr="00000000">
              <w:rPr>
                <w:rtl w:val="0"/>
              </w:rPr>
              <w:t xml:space="preserve">5 (15,6)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D">
            <w:pPr>
              <w:widowControl w:val="0"/>
              <w:jc w:val="center"/>
              <w:rPr/>
            </w:pPr>
            <w:r w:rsidDel="00000000" w:rsidR="00000000" w:rsidRPr="00000000">
              <w:rPr>
                <w:rtl w:val="0"/>
              </w:rPr>
              <w:t xml:space="preserve">6 (18,8)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E">
            <w:pPr>
              <w:widowControl w:val="0"/>
              <w:jc w:val="center"/>
              <w:rPr/>
            </w:pPr>
            <w:r w:rsidDel="00000000" w:rsidR="00000000" w:rsidRPr="00000000">
              <w:rPr>
                <w:rtl w:val="0"/>
              </w:rPr>
              <w:t xml:space="preserve">1 (3,1)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F">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0">
            <w:pPr>
              <w:widowControl w:val="0"/>
              <w:jc w:val="center"/>
              <w:rPr/>
            </w:pPr>
            <w:r w:rsidDel="00000000" w:rsidR="00000000" w:rsidRPr="00000000">
              <w:rPr>
                <w:rtl w:val="0"/>
              </w:rPr>
              <w:t xml:space="preserve">32</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1">
            <w:pPr>
              <w:widowControl w:val="0"/>
              <w:rPr/>
            </w:pPr>
            <w:r w:rsidDel="00000000" w:rsidR="00000000" w:rsidRPr="00000000">
              <w:rPr>
                <w:rtl w:val="0"/>
              </w:rPr>
              <w:t xml:space="preserve">Linguística, Letras e Artes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2">
            <w:pPr>
              <w:widowControl w:val="0"/>
              <w:jc w:val="center"/>
              <w:rPr/>
            </w:pPr>
            <w:r w:rsidDel="00000000" w:rsidR="00000000" w:rsidRPr="00000000">
              <w:rPr>
                <w:rtl w:val="0"/>
              </w:rPr>
              <w:t xml:space="preserve">8 (50,0)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3">
            <w:pPr>
              <w:widowControl w:val="0"/>
              <w:jc w:val="center"/>
              <w:rPr/>
            </w:pPr>
            <w:r w:rsidDel="00000000" w:rsidR="00000000" w:rsidRPr="00000000">
              <w:rPr>
                <w:rtl w:val="0"/>
              </w:rPr>
              <w:t xml:space="preserve">5 (31,2)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4">
            <w:pPr>
              <w:widowControl w:val="0"/>
              <w:jc w:val="center"/>
              <w:rPr/>
            </w:pPr>
            <w:r w:rsidDel="00000000" w:rsidR="00000000" w:rsidRPr="00000000">
              <w:rPr>
                <w:rtl w:val="0"/>
              </w:rPr>
              <w:t xml:space="preserve">1 (6,2)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5">
            <w:pPr>
              <w:widowControl w:val="0"/>
              <w:jc w:val="center"/>
              <w:rPr/>
            </w:pPr>
            <w:r w:rsidDel="00000000" w:rsidR="00000000" w:rsidRPr="00000000">
              <w:rPr>
                <w:rtl w:val="0"/>
              </w:rPr>
              <w:t xml:space="preserve">2 (12,5)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6">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7">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8">
            <w:pPr>
              <w:widowControl w:val="0"/>
              <w:jc w:val="center"/>
              <w:rPr/>
            </w:pPr>
            <w:r w:rsidDel="00000000" w:rsidR="00000000" w:rsidRPr="00000000">
              <w:rPr>
                <w:rtl w:val="0"/>
              </w:rPr>
              <w:t xml:space="preserve">16</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9">
            <w:pPr>
              <w:widowControl w:val="0"/>
              <w:rPr/>
            </w:pPr>
            <w:r w:rsidDel="00000000" w:rsidR="00000000" w:rsidRPr="00000000">
              <w:rPr>
                <w:rtl w:val="0"/>
              </w:rPr>
              <w:t xml:space="preserve">Não aplicável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A">
            <w:pPr>
              <w:widowControl w:val="0"/>
              <w:jc w:val="center"/>
              <w:rPr/>
            </w:pPr>
            <w:r w:rsidDel="00000000" w:rsidR="00000000" w:rsidRPr="00000000">
              <w:rPr>
                <w:rtl w:val="0"/>
              </w:rPr>
              <w:t xml:space="preserve">5 (41,7)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B">
            <w:pPr>
              <w:widowControl w:val="0"/>
              <w:jc w:val="center"/>
              <w:rPr/>
            </w:pPr>
            <w:r w:rsidDel="00000000" w:rsidR="00000000" w:rsidRPr="00000000">
              <w:rPr>
                <w:rtl w:val="0"/>
              </w:rPr>
              <w:t xml:space="preserve">2 (16,7)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C">
            <w:pPr>
              <w:widowControl w:val="0"/>
              <w:jc w:val="center"/>
              <w:rPr/>
            </w:pPr>
            <w:r w:rsidDel="00000000" w:rsidR="00000000" w:rsidRPr="00000000">
              <w:rPr>
                <w:rtl w:val="0"/>
              </w:rPr>
              <w:t xml:space="preserve">4 (33,3)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D">
            <w:pPr>
              <w:widowControl w:val="0"/>
              <w:jc w:val="center"/>
              <w:rPr/>
            </w:pPr>
            <w:r w:rsidDel="00000000" w:rsidR="00000000" w:rsidRPr="00000000">
              <w:rPr>
                <w:rtl w:val="0"/>
              </w:rPr>
              <w:t xml:space="preserve">1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E">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F">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0">
            <w:pPr>
              <w:widowControl w:val="0"/>
              <w:jc w:val="center"/>
              <w:rPr/>
            </w:pPr>
            <w:r w:rsidDel="00000000" w:rsidR="00000000" w:rsidRPr="00000000">
              <w:rPr>
                <w:rtl w:val="0"/>
              </w:rPr>
              <w:t xml:space="preserve">12</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1">
            <w:pPr>
              <w:widowControl w:val="0"/>
              <w:rPr/>
            </w:pPr>
            <w:r w:rsidDel="00000000" w:rsidR="00000000" w:rsidRPr="00000000">
              <w:rPr>
                <w:rtl w:val="0"/>
              </w:rPr>
              <w:t xml:space="preserve">C. Sociais Aplicadas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2">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3">
            <w:pPr>
              <w:widowControl w:val="0"/>
              <w:jc w:val="center"/>
              <w:rPr/>
            </w:pPr>
            <w:r w:rsidDel="00000000" w:rsidR="00000000" w:rsidRPr="00000000">
              <w:rPr>
                <w:rtl w:val="0"/>
              </w:rPr>
              <w:t xml:space="preserve">1 (25,0)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4">
            <w:pPr>
              <w:widowControl w:val="0"/>
              <w:jc w:val="center"/>
              <w:rPr/>
            </w:pPr>
            <w:r w:rsidDel="00000000" w:rsidR="00000000" w:rsidRPr="00000000">
              <w:rPr>
                <w:rtl w:val="0"/>
              </w:rPr>
              <w:t xml:space="preserve">2 (50,0)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5">
            <w:pPr>
              <w:widowControl w:val="0"/>
              <w:jc w:val="center"/>
              <w:rPr/>
            </w:pPr>
            <w:r w:rsidDel="00000000" w:rsidR="00000000" w:rsidRPr="00000000">
              <w:rPr>
                <w:rtl w:val="0"/>
              </w:rPr>
              <w:t xml:space="preserve">1 (25,0)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6">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7">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8">
            <w:pPr>
              <w:widowControl w:val="0"/>
              <w:jc w:val="center"/>
              <w:rPr/>
            </w:pPr>
            <w:r w:rsidDel="00000000" w:rsidR="00000000" w:rsidRPr="00000000">
              <w:rPr>
                <w:rtl w:val="0"/>
              </w:rPr>
              <w:t xml:space="preserve">4</w:t>
            </w:r>
            <w:r w:rsidDel="00000000" w:rsidR="00000000" w:rsidRPr="00000000">
              <w:rPr>
                <w:rtl w:val="0"/>
              </w:rPr>
            </w:r>
          </w:p>
        </w:tc>
      </w:tr>
      <w:tr>
        <w:trPr>
          <w:cantSplit w:val="0"/>
          <w:trHeight w:val="14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9">
            <w:pPr>
              <w:widowControl w:val="0"/>
              <w:rPr/>
            </w:pPr>
            <w:r w:rsidDel="00000000" w:rsidR="00000000" w:rsidRPr="00000000">
              <w:rPr>
                <w:rtl w:val="0"/>
              </w:rPr>
              <w:t xml:space="preserve">Engenharias</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A">
            <w:pPr>
              <w:widowControl w:val="0"/>
              <w:jc w:val="center"/>
              <w:rPr/>
            </w:pPr>
            <w:r w:rsidDel="00000000" w:rsidR="00000000" w:rsidRPr="00000000">
              <w:rPr>
                <w:rtl w:val="0"/>
              </w:rPr>
              <w:t xml:space="preserve">2 (66,7)</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B">
            <w:pPr>
              <w:widowControl w:val="0"/>
              <w:jc w:val="center"/>
              <w:rPr/>
            </w:pPr>
            <w:r w:rsidDel="00000000" w:rsidR="00000000" w:rsidRPr="00000000">
              <w:rPr>
                <w:rtl w:val="0"/>
              </w:rPr>
              <w:t xml:space="preserve">1 (33,3)</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C">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D">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E">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F">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0">
            <w:pPr>
              <w:widowControl w:val="0"/>
              <w:jc w:val="center"/>
              <w:rPr/>
            </w:pPr>
            <w:r w:rsidDel="00000000" w:rsidR="00000000" w:rsidRPr="00000000">
              <w:rPr>
                <w:rtl w:val="0"/>
              </w:rPr>
              <w:t xml:space="preserve">3</w:t>
            </w:r>
            <w:r w:rsidDel="00000000" w:rsidR="00000000" w:rsidRPr="00000000">
              <w:rPr>
                <w:rtl w:val="0"/>
              </w:rPr>
            </w:r>
          </w:p>
        </w:tc>
      </w:tr>
      <w:tr>
        <w:trPr>
          <w:cantSplit w:val="0"/>
          <w:trHeight w:val="144" w:hRule="atLeast"/>
          <w:tblHeader w:val="0"/>
        </w:trPr>
        <w:tc>
          <w:tcPr>
            <w:tcBorders>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1">
            <w:pPr>
              <w:widowControl w:val="0"/>
              <w:rPr/>
            </w:pPr>
            <w:r w:rsidDel="00000000" w:rsidR="00000000" w:rsidRPr="00000000">
              <w:rPr>
                <w:b w:val="1"/>
                <w:bCs w:val="1"/>
                <w:rtl w:val="0"/>
              </w:rPr>
              <w:t xml:space="preserve">Total Brasil</w:t>
            </w:r>
            <w:r w:rsidDel="00000000" w:rsidR="00000000" w:rsidRPr="00000000">
              <w:rPr>
                <w:rtl w:val="0"/>
              </w:rPr>
            </w:r>
          </w:p>
        </w:tc>
        <w:tc>
          <w:tcPr>
            <w:tcBorders>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2">
            <w:pPr>
              <w:widowControl w:val="0"/>
              <w:jc w:val="center"/>
              <w:rPr/>
            </w:pPr>
            <w:r w:rsidDel="00000000" w:rsidR="00000000" w:rsidRPr="00000000">
              <w:rPr>
                <w:b w:val="1"/>
                <w:bCs w:val="1"/>
                <w:rtl w:val="0"/>
              </w:rPr>
              <w:t xml:space="preserve">187 (34,6)</w:t>
            </w:r>
            <w:r w:rsidDel="00000000" w:rsidR="00000000" w:rsidRPr="00000000">
              <w:rPr>
                <w:rtl w:val="0"/>
              </w:rPr>
            </w:r>
          </w:p>
        </w:tc>
        <w:tc>
          <w:tcPr>
            <w:tcBorders>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3">
            <w:pPr>
              <w:widowControl w:val="0"/>
              <w:jc w:val="center"/>
              <w:rPr/>
            </w:pPr>
            <w:r w:rsidDel="00000000" w:rsidR="00000000" w:rsidRPr="00000000">
              <w:rPr>
                <w:b w:val="1"/>
                <w:bCs w:val="1"/>
                <w:rtl w:val="0"/>
              </w:rPr>
              <w:t xml:space="preserve">117 (21,6)</w:t>
            </w:r>
            <w:r w:rsidDel="00000000" w:rsidR="00000000" w:rsidRPr="00000000">
              <w:rPr>
                <w:rtl w:val="0"/>
              </w:rPr>
            </w:r>
          </w:p>
        </w:tc>
        <w:tc>
          <w:tcPr>
            <w:tcBorders>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4">
            <w:pPr>
              <w:widowControl w:val="0"/>
              <w:jc w:val="center"/>
              <w:rPr/>
            </w:pPr>
            <w:r w:rsidDel="00000000" w:rsidR="00000000" w:rsidRPr="00000000">
              <w:rPr>
                <w:b w:val="1"/>
                <w:bCs w:val="1"/>
                <w:rtl w:val="0"/>
              </w:rPr>
              <w:t xml:space="preserve">111 (20,5)</w:t>
            </w:r>
            <w:r w:rsidDel="00000000" w:rsidR="00000000" w:rsidRPr="00000000">
              <w:rPr>
                <w:rtl w:val="0"/>
              </w:rPr>
            </w:r>
          </w:p>
        </w:tc>
        <w:tc>
          <w:tcPr>
            <w:tcBorders>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5">
            <w:pPr>
              <w:widowControl w:val="0"/>
              <w:jc w:val="center"/>
              <w:rPr/>
            </w:pPr>
            <w:r w:rsidDel="00000000" w:rsidR="00000000" w:rsidRPr="00000000">
              <w:rPr>
                <w:b w:val="1"/>
                <w:bCs w:val="1"/>
                <w:rtl w:val="0"/>
              </w:rPr>
              <w:t xml:space="preserve">80 (14,8)</w:t>
            </w:r>
            <w:r w:rsidDel="00000000" w:rsidR="00000000" w:rsidRPr="00000000">
              <w:rPr>
                <w:rtl w:val="0"/>
              </w:rPr>
            </w:r>
          </w:p>
        </w:tc>
        <w:tc>
          <w:tcPr>
            <w:tcBorders>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6">
            <w:pPr>
              <w:widowControl w:val="0"/>
              <w:jc w:val="center"/>
              <w:rPr/>
            </w:pPr>
            <w:r w:rsidDel="00000000" w:rsidR="00000000" w:rsidRPr="00000000">
              <w:rPr>
                <w:b w:val="1"/>
                <w:bCs w:val="1"/>
                <w:rtl w:val="0"/>
              </w:rPr>
              <w:t xml:space="preserve">29 (5,4)</w:t>
            </w:r>
            <w:r w:rsidDel="00000000" w:rsidR="00000000" w:rsidRPr="00000000">
              <w:rPr>
                <w:rtl w:val="0"/>
              </w:rPr>
            </w:r>
          </w:p>
        </w:tc>
        <w:tc>
          <w:tcPr>
            <w:tcBorders>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7">
            <w:pPr>
              <w:widowControl w:val="0"/>
              <w:jc w:val="center"/>
              <w:rPr/>
            </w:pPr>
            <w:r w:rsidDel="00000000" w:rsidR="00000000" w:rsidRPr="00000000">
              <w:rPr>
                <w:b w:val="1"/>
                <w:bCs w:val="1"/>
                <w:rtl w:val="0"/>
              </w:rPr>
              <w:t xml:space="preserve">17 (3,1)</w:t>
            </w:r>
            <w:r w:rsidDel="00000000" w:rsidR="00000000" w:rsidRPr="00000000">
              <w:rPr>
                <w:rtl w:val="0"/>
              </w:rPr>
            </w:r>
          </w:p>
        </w:tc>
        <w:tc>
          <w:tcPr>
            <w:tcBorders>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8">
            <w:pPr>
              <w:widowControl w:val="0"/>
              <w:jc w:val="center"/>
              <w:rPr/>
            </w:pPr>
            <w:r w:rsidDel="00000000" w:rsidR="00000000" w:rsidRPr="00000000">
              <w:rPr>
                <w:b w:val="1"/>
                <w:bCs w:val="1"/>
                <w:rtl w:val="0"/>
              </w:rPr>
              <w:t xml:space="preserve">541</w:t>
            </w:r>
            <w:r w:rsidDel="00000000" w:rsidR="00000000" w:rsidRPr="00000000">
              <w:rPr>
                <w:rtl w:val="0"/>
              </w:rPr>
            </w:r>
          </w:p>
        </w:tc>
      </w:tr>
    </w:tbl>
    <w:p w:rsidR="00000000" w:rsidDel="00000000" w:rsidP="00000000" w:rsidRDefault="00000000" w:rsidRPr="00000000" w14:paraId="00000159">
      <w:pPr>
        <w:widowControl w:val="0"/>
        <w:rPr>
          <w:sz w:val="24"/>
          <w:szCs w:val="24"/>
        </w:rPr>
      </w:pPr>
      <w:r w:rsidDel="00000000" w:rsidR="00000000" w:rsidRPr="00000000">
        <w:rPr>
          <w:i w:val="1"/>
          <w:iCs w:val="1"/>
          <w:rtl w:val="0"/>
        </w:rPr>
        <w:t xml:space="preserve">Nota.</w:t>
      </w:r>
      <w:r w:rsidDel="00000000" w:rsidR="00000000" w:rsidRPr="00000000">
        <w:rPr>
          <w:rtl w:val="0"/>
        </w:rPr>
        <w:t xml:space="preserve"> Os valores entre parênteses representam o percentual da área de atuação alocada em cada categoria institucional.</w:t>
      </w:r>
      <w:r w:rsidDel="00000000" w:rsidR="00000000" w:rsidRPr="00000000">
        <w:rPr>
          <w:rtl w:val="0"/>
        </w:rPr>
        <w:t xml:space="preserve"> </w:t>
      </w:r>
      <w:r w:rsidDel="00000000" w:rsidR="00000000" w:rsidRPr="00000000">
        <w:rPr>
          <w:rtl w:val="0"/>
        </w:rPr>
        <w:t xml:space="preserve">Teste de associação de Qui-quadrado: </w:t>
      </w:r>
      <w:r w:rsidDel="00000000" w:rsidR="00000000" w:rsidRPr="00000000">
        <w:rPr>
          <w:i w:val="1"/>
          <w:iCs w:val="1"/>
          <w:sz w:val="24"/>
          <w:szCs w:val="24"/>
          <w:rtl w:val="0"/>
        </w:rPr>
        <w:t xml:space="preserve">χ</w:t>
      </w:r>
      <w:r w:rsidDel="00000000" w:rsidR="00000000" w:rsidRPr="00000000">
        <w:rPr>
          <w:sz w:val="24"/>
          <w:szCs w:val="24"/>
          <w:vertAlign w:val="superscript"/>
          <w:rtl w:val="0"/>
        </w:rPr>
        <w:t xml:space="preserve">2 </w:t>
      </w:r>
      <w:r w:rsidDel="00000000" w:rsidR="00000000" w:rsidRPr="00000000">
        <w:rPr>
          <w:rtl w:val="0"/>
        </w:rPr>
        <w:t xml:space="preserve">(40) = 70,88; </w:t>
      </w:r>
      <w:r w:rsidDel="00000000" w:rsidR="00000000" w:rsidRPr="00000000">
        <w:rPr>
          <w:i w:val="1"/>
          <w:iCs w:val="1"/>
          <w:rtl w:val="0"/>
        </w:rPr>
        <w:t xml:space="preserve">p</w:t>
      </w:r>
      <w:r w:rsidDel="00000000" w:rsidR="00000000" w:rsidRPr="00000000">
        <w:rPr>
          <w:rtl w:val="0"/>
        </w:rPr>
        <w:t xml:space="preserve"> = 0,002; </w:t>
      </w:r>
      <w:r w:rsidDel="00000000" w:rsidR="00000000" w:rsidRPr="00000000">
        <w:rPr>
          <w:i w:val="1"/>
          <w:iCs w:val="1"/>
          <w:rtl w:val="0"/>
        </w:rPr>
        <w:t xml:space="preserve">V</w:t>
      </w:r>
      <w:r w:rsidDel="00000000" w:rsidR="00000000" w:rsidRPr="00000000">
        <w:rPr>
          <w:rtl w:val="0"/>
        </w:rPr>
        <w:t xml:space="preserve"> de Cramer = 0,162.</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34423828125" w:line="240" w:lineRule="auto"/>
        <w:ind w:left="12.65472412109375" w:right="18.9819335937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distribuição d</w:t>
      </w:r>
      <w:r w:rsidDel="00000000" w:rsidR="00000000" w:rsidRPr="00000000">
        <w:rPr>
          <w:sz w:val="24"/>
          <w:szCs w:val="24"/>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 áreas de atuação dos pesquisadores, contudo, não ocorre de forma homogênea entre os diferentes arranjos institucionais. O teste de contingência indica associação estatisticamente significativa </w:t>
      </w:r>
      <w:r w:rsidDel="00000000" w:rsidR="00000000" w:rsidRPr="00000000">
        <w:rPr>
          <w:sz w:val="24"/>
          <w:szCs w:val="24"/>
          <w:rtl w:val="0"/>
        </w:rPr>
        <w:t xml:space="preserve">entre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perfil de atuação e categoria administrativa da instituição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88;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002). Embora a intensidade dessa associação seja moderada (V de Cramer = 0,162), os resultados são compatíveis com uma alocação não aleatória dos campos do saber entre as tipologias institucionais. Em </w:t>
      </w:r>
      <w:r w:rsidDel="00000000" w:rsidR="00000000" w:rsidRPr="00000000">
        <w:rPr>
          <w:sz w:val="24"/>
          <w:szCs w:val="24"/>
          <w:rtl w:val="0"/>
        </w:rPr>
        <w:t xml:space="preserve">termos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interpretativos, esse padrão sugere uma divisão do trabalho científico associada a capacidades instaladas e prioridades institucionais.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583984375" w:line="240" w:lineRule="auto"/>
        <w:ind w:left="14.618377685546875" w:right="0.2172851562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um lado, o sistema público federal e os institutos de pesquisa abrigam a ampla maioria dos pesquisadores das áreas de Exatas, Biológicas e Engenharias. O perfil do pesquisador inserido na Rede Federal e nas Universidades Federais atua em um ecossistema que exige manutenção contínua de laboratórios, aquisição de insumos de alto custo e </w:t>
      </w:r>
      <w:r w:rsidDel="00000000" w:rsidR="00000000" w:rsidRPr="00000000">
        <w:rPr>
          <w:sz w:val="24"/>
          <w:szCs w:val="24"/>
          <w:rtl w:val="0"/>
        </w:rPr>
        <w:t xml:space="preserve">infra estrutura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capital fixo, condições institucionalmente mais frequentes em organizações sustentadas por financiamento estatal direto. É nesse tipo de contexto institucional que se observa maior presença de pesquisadores proponentes recorrentes. De outro lado, o perfil do pesquisador vinculado ao setor privado concentra-se de forma atípica nas Ciências Humanas, agrupando 33,0% dos proponentes e nas Ciências da Saúde, com 33,8%. A inserção e a permanência de pesquisadores da rede privada no PIBIC-EM parece concentrar-se em campos que tendem a demandar menor infraestrutura. O programa reflete, em</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parte, as condições de produção científica do país.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7.411041259765625" w:right="18.980712890625" w:firstLine="712.58895874023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Aprofundando a análise das capacidades instaladas, a avaliação de excelência das Instituições de Ensino Superior, medida pelo Índice Geral de Cursos (IGC)</w:t>
      </w:r>
      <w:r w:rsidDel="00000000" w:rsidR="00000000" w:rsidRPr="00000000">
        <w:rPr>
          <w:sz w:val="24"/>
          <w:szCs w:val="24"/>
          <w:vertAlign w:val="superscript"/>
        </w:rPr>
        <w:footnoteReference w:customMarkFollows="0" w:id="2"/>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adiciona uma nova camada de </w:t>
      </w:r>
      <w:r w:rsidDel="00000000" w:rsidR="00000000" w:rsidRPr="00000000">
        <w:rPr>
          <w:sz w:val="24"/>
          <w:szCs w:val="24"/>
          <w:rtl w:val="0"/>
        </w:rPr>
        <w:t xml:space="preserve">complexidade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ao perfil do programa. O teste de associação aponta uma associação elevada entre </w:t>
      </w:r>
      <w:r w:rsidDel="00000000" w:rsidR="00000000" w:rsidRPr="00000000">
        <w:rPr>
          <w:sz w:val="24"/>
          <w:szCs w:val="24"/>
          <w:rtl w:val="0"/>
        </w:rPr>
        <w:t xml:space="preserve">categoria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administrativa e nível de IGC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111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001; V de Cramer = 0,330). O padrão observado é assimétrico: Universidades Federais aparecem quase exclusivamente na faixa de IGC Alto (98,4%), enquanto Rede IF/CEFET e instituições privadas com fins lucrativos se concentram mais na faixa de IGC Médio. Em termos interpretativos, esse resultado sugere maior presença de instituições públicas federais de IGC elevado na execução do programa.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99609375" w:line="240" w:lineRule="auto"/>
        <w:ind w:left="7.411041259765625" w:right="42.547607421875" w:firstLine="712.58895874023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Essa estratificação da excelência institucional não ocorre no vácuo espacial. Pelo contrário, ela sobrepõe-se à geografia histórica da ciência brasileira. O cruzamento entre a localização geográfica e a categoria de IGC </w:t>
      </w:r>
      <w:r w:rsidDel="00000000" w:rsidR="00000000" w:rsidRPr="00000000">
        <w:rPr>
          <w:sz w:val="24"/>
          <w:szCs w:val="24"/>
          <w:rtl w:val="0"/>
        </w:rPr>
        <w:t xml:space="preserve">evidência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assimetrias territoriais marcantes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77</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001; V de Cramer = 0,276). A região Sul destaca-se por uma sobre-representação de instituições com IGC Alto. Em direção oposta, o Norte e o Centro-Oeste concentram, de maneira estatisticamente significativa, as instituições com IGC Médio, evidenciando uma presença relativa menor de </w:t>
      </w:r>
      <w:r w:rsidDel="00000000" w:rsidR="00000000" w:rsidRPr="00000000">
        <w:rPr>
          <w:sz w:val="24"/>
          <w:szCs w:val="24"/>
          <w:rtl w:val="0"/>
        </w:rPr>
        <w:t xml:space="preserve">pólos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excelência máxima. As regiões Sudeste e Nordeste, por sua vez, apresentam perfis compatíveis com a média da distribuição nacional.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917724609375" w:line="240" w:lineRule="auto"/>
        <w:ind w:left="7.411041259765625" w:right="0.21728515625" w:firstLine="712.58895874023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Segundo os resultados, o IGC aparece como um indicador associado a desigualdades estruturais. A análise sugere que a implementação do PIBIC-EM parece ter relações com as capacidades </w:t>
      </w:r>
      <w:r w:rsidDel="00000000" w:rsidR="00000000" w:rsidRPr="00000000">
        <w:rPr>
          <w:sz w:val="24"/>
          <w:szCs w:val="24"/>
          <w:rtl w:val="0"/>
        </w:rPr>
        <w:t xml:space="preserve">institucionais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previamente instaladas. Esse fenômeno parece reproduzir, ao menos em partes, as disparidades do sistema de educação superior e da rede de pesquisa brasileira. Na prática, isso significa que o estudante do ensino médio na região Sul acessa o programa predominantemente via instituições consolidadas e de alta performance, enquanto o jovem da região Norte o faz por meio de instituições que ainda se encontram em processo de consolidação de sua infraestrutura acadêmica. </w:t>
      </w:r>
    </w:p>
    <w:p w:rsidR="00000000" w:rsidDel="00000000" w:rsidP="00000000" w:rsidRDefault="00000000" w:rsidRPr="00000000" w14:paraId="0000015F">
      <w:pPr>
        <w:pStyle w:val="Heading2"/>
        <w:widowControl w:val="0"/>
        <w:spacing w:before="585.4144287109375" w:line="248.31716537475586" w:lineRule="auto"/>
        <w:ind w:left="16.800079345703125" w:right="42.762451171875" w:firstLine="2.181854248046875"/>
        <w:jc w:val="both"/>
        <w:rPr>
          <w:sz w:val="24"/>
          <w:szCs w:val="24"/>
          <w:vertAlign w:val="baseline"/>
        </w:rPr>
      </w:pPr>
      <w:bookmarkStart w:colFirst="0" w:colLast="0" w:name="_unlskbqct5ma" w:id="10"/>
      <w:bookmarkEnd w:id="10"/>
      <w:r w:rsidDel="00000000" w:rsidR="00000000" w:rsidRPr="00000000">
        <w:rPr>
          <w:sz w:val="24"/>
          <w:szCs w:val="24"/>
          <w:vertAlign w:val="baseline"/>
          <w:rtl w:val="0"/>
        </w:rPr>
        <w:t xml:space="preserve">3.2. Determinantes da Taxa Recorrência no Programa no Contexto das Instituições de Ensino Superior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41064453125" w:line="248.3020305633545" w:lineRule="auto"/>
        <w:ind w:left="12.65472412109375" w:right="12.21801757812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Compreender a participação de pesquisadores no PIBIC-EM revela a morfologia </w:t>
      </w:r>
      <w:r w:rsidDel="00000000" w:rsidR="00000000" w:rsidRPr="00000000">
        <w:rPr>
          <w:sz w:val="24"/>
          <w:szCs w:val="24"/>
          <w:rtl w:val="0"/>
        </w:rPr>
        <w:t xml:space="preserve">microestrutural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 programa, mas não explica sua dinâmica interna de sustentação. Como a adesão ao edital é um ato essencialmente voluntário por parte dos pesquisadores-orientadores, a viabilidade de longo prazo desta política científica parece estar associada à sua capacidade de retenção. Em outras palavras, para que o programa cumpra seu princípio basilar de atração de jovens talentos e democratização da ciência, é preciso que os pesquisadores não apenas acessem o edital de forma episódica, mas que tornem a orientação no nível médio uma prática recorrente em seus grupos de pesquisa.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61669921875" w:line="248.3078384399414" w:lineRule="auto"/>
        <w:ind w:left="14.618377685546875" w:right="42.7624511718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Autores como Vasques </w:t>
      </w:r>
      <w:r w:rsidDel="00000000" w:rsidR="00000000" w:rsidRPr="00000000">
        <w:rPr>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Oliveira (2020) e Oliveira </w:t>
      </w:r>
      <w:r w:rsidDel="00000000" w:rsidR="00000000" w:rsidRPr="00000000">
        <w:rPr>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Bianchetti (2018) defendem a premissa de que a estruturação de políticas públicas de CT&amp;I passa por assimetrias regionais e pelo prestígio acadêmico das instituições. Esse contexto pode influenciar não apenas o acesso aos recursos, mas também a capacidade de concentrá-los ao longo do tempo. No entanto, ao isolarmos as variáveis no modelo multivariado (N = 496)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Pr>
        <w:footnoteReference w:customMarkFollows="0" w:id="3"/>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os resultados não oferecem suporte à hipótese de forte associação geográfica com a recorrência, conforme pode ser visto na Tabela 4. A região geográfica da IES à qual o pesquisador está vinculado não se mostrou um preditor estatisticamente significativo para a sua recorrência no PIBIC-EM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428). </w:t>
      </w:r>
    </w:p>
    <w:p w:rsidR="00000000" w:rsidDel="00000000" w:rsidP="00000000" w:rsidRDefault="00000000" w:rsidRPr="00000000" w14:paraId="00000162">
      <w:pPr>
        <w:widowControl w:val="0"/>
        <w:spacing w:before="279.79461669921875" w:line="248.3078384399414" w:lineRule="auto"/>
        <w:ind w:left="14.618377685546875" w:right="42.762451171875" w:firstLine="0"/>
        <w:jc w:val="both"/>
        <w:rPr>
          <w:i w:val="1"/>
          <w:iCs w:val="1"/>
          <w:sz w:val="24"/>
          <w:szCs w:val="24"/>
        </w:rPr>
      </w:pPr>
      <w:r w:rsidDel="00000000" w:rsidR="00000000" w:rsidRPr="00000000">
        <w:rPr>
          <w:b w:val="1"/>
          <w:bCs w:val="1"/>
          <w:sz w:val="24"/>
          <w:szCs w:val="24"/>
          <w:rtl w:val="0"/>
        </w:rPr>
        <w:t xml:space="preserve">Tabela 4: </w:t>
      </w:r>
      <w:r w:rsidDel="00000000" w:rsidR="00000000" w:rsidRPr="00000000">
        <w:rPr>
          <w:i w:val="1"/>
          <w:iCs w:val="1"/>
          <w:sz w:val="24"/>
          <w:szCs w:val="24"/>
          <w:rtl w:val="0"/>
        </w:rPr>
        <w:t xml:space="preserve">Modelos de Regressão Quasi-Poisson para Frequência de Recorrência de Pesquisadores no PIBIC-EM (2014-2024)</w:t>
      </w:r>
    </w:p>
    <w:tbl>
      <w:tblPr>
        <w:tblStyle w:val="Table4"/>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1440"/>
        <w:gridCol w:w="1440"/>
        <w:gridCol w:w="1440"/>
        <w:gridCol w:w="1440"/>
        <w:tblGridChange w:id="0">
          <w:tblGrid>
            <w:gridCol w:w="3765"/>
            <w:gridCol w:w="1440"/>
            <w:gridCol w:w="1440"/>
            <w:gridCol w:w="1440"/>
            <w:gridCol w:w="1440"/>
          </w:tblGrid>
        </w:tblGridChange>
      </w:tblGrid>
      <w:tr>
        <w:trPr>
          <w:cantSplit w:val="0"/>
          <w:trHeight w:val="144" w:hRule="atLeast"/>
          <w:tblHeader w:val="0"/>
        </w:trPr>
        <w:tc>
          <w:tcPr>
            <w:tcBorders>
              <w:top w:color="1f1f1f" w:space="0" w:sz="12" w:val="single"/>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63">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Variáveis Preditoras</w:t>
            </w:r>
            <w:r w:rsidDel="00000000" w:rsidR="00000000" w:rsidRPr="00000000">
              <w:rPr>
                <w:rtl w:val="0"/>
              </w:rPr>
            </w:r>
          </w:p>
        </w:tc>
        <w:tc>
          <w:tcPr>
            <w:tcBorders>
              <w:top w:color="1f1f1f" w:space="0" w:sz="12" w:val="single"/>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64">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Modelo 1</w:t>
            </w:r>
            <w:r w:rsidDel="00000000" w:rsidR="00000000" w:rsidRPr="00000000">
              <w:rPr>
                <w:rtl w:val="0"/>
              </w:rPr>
            </w:r>
          </w:p>
        </w:tc>
        <w:tc>
          <w:tcPr>
            <w:tcBorders>
              <w:top w:color="1f1f1f" w:space="0" w:sz="12" w:val="single"/>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65">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Modelo 2</w:t>
            </w:r>
            <w:r w:rsidDel="00000000" w:rsidR="00000000" w:rsidRPr="00000000">
              <w:rPr>
                <w:rtl w:val="0"/>
              </w:rPr>
            </w:r>
          </w:p>
        </w:tc>
        <w:tc>
          <w:tcPr>
            <w:tcBorders>
              <w:top w:color="1f1f1f" w:space="0" w:sz="12" w:val="single"/>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66">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Modelo 3</w:t>
            </w:r>
            <w:r w:rsidDel="00000000" w:rsidR="00000000" w:rsidRPr="00000000">
              <w:rPr>
                <w:rtl w:val="0"/>
              </w:rPr>
            </w:r>
          </w:p>
        </w:tc>
        <w:tc>
          <w:tcPr>
            <w:tcBorders>
              <w:top w:color="1f1f1f" w:space="0" w:sz="12" w:val="single"/>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67">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Modelo 4</w:t>
            </w:r>
            <w:r w:rsidDel="00000000" w:rsidR="00000000" w:rsidRPr="00000000">
              <w:rPr>
                <w:rtl w:val="0"/>
              </w:rPr>
            </w:r>
          </w:p>
        </w:tc>
      </w:tr>
      <w:tr>
        <w:trPr>
          <w:cantSplit w:val="0"/>
          <w:trHeight w:val="144" w:hRule="atLeast"/>
          <w:tblHeader w:val="0"/>
        </w:trPr>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168">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Intercepto</w:t>
            </w:r>
            <w:r w:rsidDel="00000000" w:rsidR="00000000" w:rsidRPr="00000000">
              <w:rPr>
                <w:rtl w:val="0"/>
              </w:rPr>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169">
            <w:pPr>
              <w:widowControl w:val="0"/>
              <w:spacing w:after="0" w:line="240" w:lineRule="auto"/>
              <w:jc w:val="center"/>
              <w:rPr>
                <w:color w:val="1f1f1f"/>
                <w:sz w:val="24"/>
                <w:szCs w:val="24"/>
              </w:rPr>
            </w:pPr>
            <w:r w:rsidDel="00000000" w:rsidR="00000000" w:rsidRPr="00000000">
              <w:rPr>
                <w:color w:val="1f1f1f"/>
                <w:sz w:val="24"/>
                <w:szCs w:val="24"/>
                <w:rtl w:val="0"/>
              </w:rPr>
              <w:t xml:space="preserve">1.910***</w:t>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16A">
            <w:pPr>
              <w:widowControl w:val="0"/>
              <w:spacing w:after="0" w:line="240" w:lineRule="auto"/>
              <w:jc w:val="center"/>
              <w:rPr>
                <w:color w:val="1f1f1f"/>
                <w:sz w:val="24"/>
                <w:szCs w:val="24"/>
              </w:rPr>
            </w:pPr>
            <w:r w:rsidDel="00000000" w:rsidR="00000000" w:rsidRPr="00000000">
              <w:rPr>
                <w:color w:val="1f1f1f"/>
                <w:sz w:val="24"/>
                <w:szCs w:val="24"/>
                <w:rtl w:val="0"/>
              </w:rPr>
              <w:t xml:space="preserve">1.843***</w:t>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16B">
            <w:pPr>
              <w:widowControl w:val="0"/>
              <w:spacing w:after="0" w:line="240" w:lineRule="auto"/>
              <w:jc w:val="center"/>
              <w:rPr>
                <w:color w:val="1f1f1f"/>
                <w:sz w:val="24"/>
                <w:szCs w:val="24"/>
              </w:rPr>
            </w:pPr>
            <w:r w:rsidDel="00000000" w:rsidR="00000000" w:rsidRPr="00000000">
              <w:rPr>
                <w:color w:val="1f1f1f"/>
                <w:sz w:val="24"/>
                <w:szCs w:val="24"/>
                <w:rtl w:val="0"/>
              </w:rPr>
              <w:t xml:space="preserve">1.567**</w:t>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16C">
            <w:pPr>
              <w:widowControl w:val="0"/>
              <w:spacing w:after="0" w:line="240" w:lineRule="auto"/>
              <w:jc w:val="center"/>
              <w:rPr>
                <w:color w:val="1f1f1f"/>
                <w:sz w:val="24"/>
                <w:szCs w:val="24"/>
              </w:rPr>
            </w:pPr>
            <w:r w:rsidDel="00000000" w:rsidR="00000000" w:rsidRPr="00000000">
              <w:rPr>
                <w:color w:val="1f1f1f"/>
                <w:sz w:val="24"/>
                <w:szCs w:val="24"/>
                <w:rtl w:val="0"/>
              </w:rPr>
              <w:t xml:space="preserve">1.586**</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6D">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6E">
            <w:pPr>
              <w:widowControl w:val="0"/>
              <w:spacing w:after="0" w:line="240" w:lineRule="auto"/>
              <w:jc w:val="center"/>
              <w:rPr>
                <w:color w:val="1f1f1f"/>
                <w:sz w:val="24"/>
                <w:szCs w:val="24"/>
              </w:rPr>
            </w:pPr>
            <w:r w:rsidDel="00000000" w:rsidR="00000000" w:rsidRPr="00000000">
              <w:rPr>
                <w:color w:val="1f1f1f"/>
                <w:sz w:val="24"/>
                <w:szCs w:val="24"/>
                <w:rtl w:val="0"/>
              </w:rPr>
              <w:t xml:space="preserve">(0.036)</w:t>
            </w:r>
          </w:p>
        </w:tc>
        <w:tc>
          <w:tcPr>
            <w:tcMar>
              <w:top w:w="0.0" w:type="dxa"/>
              <w:left w:w="0.0" w:type="dxa"/>
              <w:bottom w:w="0.0" w:type="dxa"/>
              <w:right w:w="0.0" w:type="dxa"/>
            </w:tcMar>
            <w:vAlign w:val="center"/>
          </w:tcPr>
          <w:p w:rsidR="00000000" w:rsidDel="00000000" w:rsidP="00000000" w:rsidRDefault="00000000" w:rsidRPr="00000000" w14:paraId="0000016F">
            <w:pPr>
              <w:widowControl w:val="0"/>
              <w:spacing w:after="0" w:line="240" w:lineRule="auto"/>
              <w:jc w:val="center"/>
              <w:rPr>
                <w:color w:val="1f1f1f"/>
                <w:sz w:val="24"/>
                <w:szCs w:val="24"/>
              </w:rPr>
            </w:pPr>
            <w:r w:rsidDel="00000000" w:rsidR="00000000" w:rsidRPr="00000000">
              <w:rPr>
                <w:color w:val="1f1f1f"/>
                <w:sz w:val="24"/>
                <w:szCs w:val="24"/>
                <w:rtl w:val="0"/>
              </w:rPr>
              <w:t xml:space="preserve">(0.041)</w:t>
            </w:r>
          </w:p>
        </w:tc>
        <w:tc>
          <w:tcPr>
            <w:tcMar>
              <w:top w:w="0.0" w:type="dxa"/>
              <w:left w:w="0.0" w:type="dxa"/>
              <w:bottom w:w="0.0" w:type="dxa"/>
              <w:right w:w="0.0" w:type="dxa"/>
            </w:tcMar>
            <w:vAlign w:val="center"/>
          </w:tcPr>
          <w:p w:rsidR="00000000" w:rsidDel="00000000" w:rsidP="00000000" w:rsidRDefault="00000000" w:rsidRPr="00000000" w14:paraId="00000170">
            <w:pPr>
              <w:widowControl w:val="0"/>
              <w:spacing w:after="0" w:line="240" w:lineRule="auto"/>
              <w:jc w:val="center"/>
              <w:rPr>
                <w:color w:val="1f1f1f"/>
                <w:sz w:val="24"/>
                <w:szCs w:val="24"/>
              </w:rPr>
            </w:pPr>
            <w:r w:rsidDel="00000000" w:rsidR="00000000" w:rsidRPr="00000000">
              <w:rPr>
                <w:color w:val="1f1f1f"/>
                <w:sz w:val="24"/>
                <w:szCs w:val="24"/>
                <w:rtl w:val="0"/>
              </w:rPr>
              <w:t xml:space="preserve">(0.148)</w:t>
            </w:r>
          </w:p>
        </w:tc>
        <w:tc>
          <w:tcPr>
            <w:tcMar>
              <w:top w:w="0.0" w:type="dxa"/>
              <w:left w:w="0.0" w:type="dxa"/>
              <w:bottom w:w="0.0" w:type="dxa"/>
              <w:right w:w="0.0" w:type="dxa"/>
            </w:tcMar>
            <w:vAlign w:val="center"/>
          </w:tcPr>
          <w:p w:rsidR="00000000" w:rsidDel="00000000" w:rsidP="00000000" w:rsidRDefault="00000000" w:rsidRPr="00000000" w14:paraId="00000171">
            <w:pPr>
              <w:widowControl w:val="0"/>
              <w:spacing w:after="0" w:line="240" w:lineRule="auto"/>
              <w:jc w:val="center"/>
              <w:rPr>
                <w:color w:val="1f1f1f"/>
                <w:sz w:val="24"/>
                <w:szCs w:val="24"/>
              </w:rPr>
            </w:pPr>
            <w:r w:rsidDel="00000000" w:rsidR="00000000" w:rsidRPr="00000000">
              <w:rPr>
                <w:color w:val="1f1f1f"/>
                <w:sz w:val="24"/>
                <w:szCs w:val="24"/>
                <w:rtl w:val="0"/>
              </w:rPr>
              <w:t xml:space="preserve">(0.147)</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72">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Categoria Administrativa</w:t>
            </w:r>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(Ref: Univ. Federal)</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73">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74">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75">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76">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77">
            <w:pPr>
              <w:widowControl w:val="0"/>
              <w:spacing w:after="0" w:line="240" w:lineRule="auto"/>
              <w:jc w:val="both"/>
              <w:rPr>
                <w:color w:val="1f1f1f"/>
                <w:sz w:val="24"/>
                <w:szCs w:val="24"/>
              </w:rPr>
            </w:pPr>
            <w:r w:rsidDel="00000000" w:rsidR="00000000" w:rsidRPr="00000000">
              <w:rPr>
                <w:color w:val="1f1f1f"/>
                <w:sz w:val="24"/>
                <w:szCs w:val="24"/>
                <w:rtl w:val="0"/>
              </w:rPr>
              <w:t xml:space="preserve">    Especial</w:t>
            </w:r>
          </w:p>
        </w:tc>
        <w:tc>
          <w:tcPr>
            <w:tcMar>
              <w:top w:w="0.0" w:type="dxa"/>
              <w:left w:w="0.0" w:type="dxa"/>
              <w:bottom w:w="0.0" w:type="dxa"/>
              <w:right w:w="0.0" w:type="dxa"/>
            </w:tcMar>
            <w:vAlign w:val="center"/>
          </w:tcPr>
          <w:p w:rsidR="00000000" w:rsidDel="00000000" w:rsidP="00000000" w:rsidRDefault="00000000" w:rsidRPr="00000000" w14:paraId="00000178">
            <w:pPr>
              <w:widowControl w:val="0"/>
              <w:spacing w:after="0" w:line="240" w:lineRule="auto"/>
              <w:jc w:val="center"/>
              <w:rPr>
                <w:color w:val="1f1f1f"/>
                <w:sz w:val="24"/>
                <w:szCs w:val="24"/>
              </w:rPr>
            </w:pPr>
            <w:r w:rsidDel="00000000" w:rsidR="00000000" w:rsidRPr="00000000">
              <w:rPr>
                <w:color w:val="1f1f1f"/>
                <w:sz w:val="24"/>
                <w:szCs w:val="24"/>
                <w:rtl w:val="0"/>
              </w:rPr>
              <w:t xml:space="preserve">1.000</w:t>
            </w:r>
          </w:p>
        </w:tc>
        <w:tc>
          <w:tcPr>
            <w:tcMar>
              <w:top w:w="0.0" w:type="dxa"/>
              <w:left w:w="0.0" w:type="dxa"/>
              <w:bottom w:w="0.0" w:type="dxa"/>
              <w:right w:w="0.0" w:type="dxa"/>
            </w:tcMar>
            <w:vAlign w:val="center"/>
          </w:tcPr>
          <w:p w:rsidR="00000000" w:rsidDel="00000000" w:rsidP="00000000" w:rsidRDefault="00000000" w:rsidRPr="00000000" w14:paraId="00000179">
            <w:pPr>
              <w:widowControl w:val="0"/>
              <w:spacing w:after="0" w:line="240" w:lineRule="auto"/>
              <w:jc w:val="center"/>
              <w:rPr>
                <w:color w:val="1f1f1f"/>
                <w:sz w:val="24"/>
                <w:szCs w:val="24"/>
              </w:rPr>
            </w:pPr>
            <w:r w:rsidDel="00000000" w:rsidR="00000000" w:rsidRPr="00000000">
              <w:rPr>
                <w:color w:val="1f1f1f"/>
                <w:sz w:val="24"/>
                <w:szCs w:val="24"/>
                <w:rtl w:val="0"/>
              </w:rPr>
              <w:t xml:space="preserve">0.970</w:t>
            </w:r>
          </w:p>
        </w:tc>
        <w:tc>
          <w:tcPr>
            <w:tcMar>
              <w:top w:w="0.0" w:type="dxa"/>
              <w:left w:w="0.0" w:type="dxa"/>
              <w:bottom w:w="0.0" w:type="dxa"/>
              <w:right w:w="0.0" w:type="dxa"/>
            </w:tcMar>
            <w:vAlign w:val="center"/>
          </w:tcPr>
          <w:p w:rsidR="00000000" w:rsidDel="00000000" w:rsidP="00000000" w:rsidRDefault="00000000" w:rsidRPr="00000000" w14:paraId="0000017A">
            <w:pPr>
              <w:widowControl w:val="0"/>
              <w:spacing w:after="0" w:line="240" w:lineRule="auto"/>
              <w:jc w:val="center"/>
              <w:rPr>
                <w:color w:val="1f1f1f"/>
                <w:sz w:val="24"/>
                <w:szCs w:val="24"/>
              </w:rPr>
            </w:pPr>
            <w:r w:rsidDel="00000000" w:rsidR="00000000" w:rsidRPr="00000000">
              <w:rPr>
                <w:color w:val="1f1f1f"/>
                <w:sz w:val="24"/>
                <w:szCs w:val="24"/>
                <w:rtl w:val="0"/>
              </w:rPr>
              <w:t xml:space="preserve">0.996</w:t>
            </w:r>
          </w:p>
        </w:tc>
        <w:tc>
          <w:tcPr>
            <w:tcMar>
              <w:top w:w="0.0" w:type="dxa"/>
              <w:left w:w="0.0" w:type="dxa"/>
              <w:bottom w:w="0.0" w:type="dxa"/>
              <w:right w:w="0.0" w:type="dxa"/>
            </w:tcMar>
            <w:vAlign w:val="center"/>
          </w:tcPr>
          <w:p w:rsidR="00000000" w:rsidDel="00000000" w:rsidP="00000000" w:rsidRDefault="00000000" w:rsidRPr="00000000" w14:paraId="0000017B">
            <w:pPr>
              <w:widowControl w:val="0"/>
              <w:spacing w:after="0" w:line="240" w:lineRule="auto"/>
              <w:jc w:val="center"/>
              <w:rPr>
                <w:color w:val="1f1f1f"/>
                <w:sz w:val="24"/>
                <w:szCs w:val="24"/>
              </w:rPr>
            </w:pPr>
            <w:r w:rsidDel="00000000" w:rsidR="00000000" w:rsidRPr="00000000">
              <w:rPr>
                <w:color w:val="1f1f1f"/>
                <w:sz w:val="24"/>
                <w:szCs w:val="24"/>
                <w:rtl w:val="0"/>
              </w:rPr>
              <w:t xml:space="preserve">1.049</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7C">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7D">
            <w:pPr>
              <w:widowControl w:val="0"/>
              <w:spacing w:after="0" w:line="240" w:lineRule="auto"/>
              <w:jc w:val="center"/>
              <w:rPr>
                <w:color w:val="1f1f1f"/>
                <w:sz w:val="24"/>
                <w:szCs w:val="24"/>
              </w:rPr>
            </w:pPr>
            <w:r w:rsidDel="00000000" w:rsidR="00000000" w:rsidRPr="00000000">
              <w:rPr>
                <w:color w:val="1f1f1f"/>
                <w:sz w:val="24"/>
                <w:szCs w:val="24"/>
                <w:rtl w:val="0"/>
              </w:rPr>
              <w:t xml:space="preserve">(0.158)</w:t>
            </w:r>
          </w:p>
        </w:tc>
        <w:tc>
          <w:tcPr>
            <w:tcMar>
              <w:top w:w="0.0" w:type="dxa"/>
              <w:left w:w="0.0" w:type="dxa"/>
              <w:bottom w:w="0.0" w:type="dxa"/>
              <w:right w:w="0.0" w:type="dxa"/>
            </w:tcMar>
            <w:vAlign w:val="center"/>
          </w:tcPr>
          <w:p w:rsidR="00000000" w:rsidDel="00000000" w:rsidP="00000000" w:rsidRDefault="00000000" w:rsidRPr="00000000" w14:paraId="0000017E">
            <w:pPr>
              <w:widowControl w:val="0"/>
              <w:spacing w:after="0" w:line="240" w:lineRule="auto"/>
              <w:jc w:val="center"/>
              <w:rPr>
                <w:color w:val="1f1f1f"/>
                <w:sz w:val="24"/>
                <w:szCs w:val="24"/>
              </w:rPr>
            </w:pPr>
            <w:r w:rsidDel="00000000" w:rsidR="00000000" w:rsidRPr="00000000">
              <w:rPr>
                <w:color w:val="1f1f1f"/>
                <w:sz w:val="24"/>
                <w:szCs w:val="24"/>
                <w:rtl w:val="0"/>
              </w:rPr>
              <w:t xml:space="preserve">(0.160)</w:t>
            </w:r>
          </w:p>
        </w:tc>
        <w:tc>
          <w:tcPr>
            <w:tcMar>
              <w:top w:w="0.0" w:type="dxa"/>
              <w:left w:w="0.0" w:type="dxa"/>
              <w:bottom w:w="0.0" w:type="dxa"/>
              <w:right w:w="0.0" w:type="dxa"/>
            </w:tcMar>
            <w:vAlign w:val="center"/>
          </w:tcPr>
          <w:p w:rsidR="00000000" w:rsidDel="00000000" w:rsidP="00000000" w:rsidRDefault="00000000" w:rsidRPr="00000000" w14:paraId="0000017F">
            <w:pPr>
              <w:widowControl w:val="0"/>
              <w:spacing w:after="0" w:line="240" w:lineRule="auto"/>
              <w:jc w:val="center"/>
              <w:rPr>
                <w:color w:val="1f1f1f"/>
                <w:sz w:val="24"/>
                <w:szCs w:val="24"/>
              </w:rPr>
            </w:pPr>
            <w:r w:rsidDel="00000000" w:rsidR="00000000" w:rsidRPr="00000000">
              <w:rPr>
                <w:color w:val="1f1f1f"/>
                <w:sz w:val="24"/>
                <w:szCs w:val="24"/>
                <w:rtl w:val="0"/>
              </w:rPr>
              <w:t xml:space="preserve">(0.167)</w:t>
            </w:r>
          </w:p>
        </w:tc>
        <w:tc>
          <w:tcPr>
            <w:tcMar>
              <w:top w:w="0.0" w:type="dxa"/>
              <w:left w:w="0.0" w:type="dxa"/>
              <w:bottom w:w="0.0" w:type="dxa"/>
              <w:right w:w="0.0" w:type="dxa"/>
            </w:tcMar>
            <w:vAlign w:val="center"/>
          </w:tcPr>
          <w:p w:rsidR="00000000" w:rsidDel="00000000" w:rsidP="00000000" w:rsidRDefault="00000000" w:rsidRPr="00000000" w14:paraId="00000180">
            <w:pPr>
              <w:widowControl w:val="0"/>
              <w:spacing w:after="0" w:line="240" w:lineRule="auto"/>
              <w:jc w:val="center"/>
              <w:rPr>
                <w:color w:val="1f1f1f"/>
                <w:sz w:val="24"/>
                <w:szCs w:val="24"/>
              </w:rPr>
            </w:pPr>
            <w:r w:rsidDel="00000000" w:rsidR="00000000" w:rsidRPr="00000000">
              <w:rPr>
                <w:color w:val="1f1f1f"/>
                <w:sz w:val="24"/>
                <w:szCs w:val="24"/>
                <w:rtl w:val="0"/>
              </w:rPr>
              <w:t xml:space="preserve">(0.168)</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81">
            <w:pPr>
              <w:widowControl w:val="0"/>
              <w:spacing w:after="0" w:line="240" w:lineRule="auto"/>
              <w:jc w:val="both"/>
              <w:rPr>
                <w:color w:val="1f1f1f"/>
                <w:sz w:val="24"/>
                <w:szCs w:val="24"/>
              </w:rPr>
            </w:pPr>
            <w:r w:rsidDel="00000000" w:rsidR="00000000" w:rsidRPr="00000000">
              <w:rPr>
                <w:color w:val="1f1f1f"/>
                <w:sz w:val="24"/>
                <w:szCs w:val="24"/>
                <w:rtl w:val="0"/>
              </w:rPr>
              <w:t xml:space="preserve">    IF/CEFET</w:t>
            </w:r>
          </w:p>
        </w:tc>
        <w:tc>
          <w:tcPr>
            <w:tcMar>
              <w:top w:w="0.0" w:type="dxa"/>
              <w:left w:w="0.0" w:type="dxa"/>
              <w:bottom w:w="0.0" w:type="dxa"/>
              <w:right w:w="0.0" w:type="dxa"/>
            </w:tcMar>
            <w:vAlign w:val="center"/>
          </w:tcPr>
          <w:p w:rsidR="00000000" w:rsidDel="00000000" w:rsidP="00000000" w:rsidRDefault="00000000" w:rsidRPr="00000000" w14:paraId="00000182">
            <w:pPr>
              <w:widowControl w:val="0"/>
              <w:spacing w:after="0" w:line="240" w:lineRule="auto"/>
              <w:jc w:val="center"/>
              <w:rPr>
                <w:color w:val="1f1f1f"/>
                <w:sz w:val="24"/>
                <w:szCs w:val="24"/>
              </w:rPr>
            </w:pPr>
            <w:r w:rsidDel="00000000" w:rsidR="00000000" w:rsidRPr="00000000">
              <w:rPr>
                <w:color w:val="1f1f1f"/>
                <w:sz w:val="24"/>
                <w:szCs w:val="24"/>
                <w:rtl w:val="0"/>
              </w:rPr>
              <w:t xml:space="preserve">1.100</w:t>
            </w:r>
          </w:p>
        </w:tc>
        <w:tc>
          <w:tcPr>
            <w:tcMar>
              <w:top w:w="0.0" w:type="dxa"/>
              <w:left w:w="0.0" w:type="dxa"/>
              <w:bottom w:w="0.0" w:type="dxa"/>
              <w:right w:w="0.0" w:type="dxa"/>
            </w:tcMar>
            <w:vAlign w:val="center"/>
          </w:tcPr>
          <w:p w:rsidR="00000000" w:rsidDel="00000000" w:rsidP="00000000" w:rsidRDefault="00000000" w:rsidRPr="00000000" w14:paraId="00000183">
            <w:pPr>
              <w:widowControl w:val="0"/>
              <w:spacing w:after="0" w:line="240" w:lineRule="auto"/>
              <w:jc w:val="center"/>
              <w:rPr>
                <w:color w:val="1f1f1f"/>
                <w:sz w:val="24"/>
                <w:szCs w:val="24"/>
              </w:rPr>
            </w:pPr>
            <w:r w:rsidDel="00000000" w:rsidR="00000000" w:rsidRPr="00000000">
              <w:rPr>
                <w:color w:val="1f1f1f"/>
                <w:sz w:val="24"/>
                <w:szCs w:val="24"/>
                <w:rtl w:val="0"/>
              </w:rPr>
              <w:t xml:space="preserve">1.110</w:t>
            </w:r>
          </w:p>
        </w:tc>
        <w:tc>
          <w:tcPr>
            <w:tcMar>
              <w:top w:w="0.0" w:type="dxa"/>
              <w:left w:w="0.0" w:type="dxa"/>
              <w:bottom w:w="0.0" w:type="dxa"/>
              <w:right w:w="0.0" w:type="dxa"/>
            </w:tcMar>
            <w:vAlign w:val="center"/>
          </w:tcPr>
          <w:p w:rsidR="00000000" w:rsidDel="00000000" w:rsidP="00000000" w:rsidRDefault="00000000" w:rsidRPr="00000000" w14:paraId="00000184">
            <w:pPr>
              <w:widowControl w:val="0"/>
              <w:spacing w:after="0" w:line="240" w:lineRule="auto"/>
              <w:jc w:val="center"/>
              <w:rPr>
                <w:color w:val="1f1f1f"/>
                <w:sz w:val="24"/>
                <w:szCs w:val="24"/>
              </w:rPr>
            </w:pPr>
            <w:r w:rsidDel="00000000" w:rsidR="00000000" w:rsidRPr="00000000">
              <w:rPr>
                <w:color w:val="1f1f1f"/>
                <w:sz w:val="24"/>
                <w:szCs w:val="24"/>
                <w:rtl w:val="0"/>
              </w:rPr>
              <w:t xml:space="preserve">1.122</w:t>
            </w:r>
          </w:p>
        </w:tc>
        <w:tc>
          <w:tcPr>
            <w:tcMar>
              <w:top w:w="0.0" w:type="dxa"/>
              <w:left w:w="0.0" w:type="dxa"/>
              <w:bottom w:w="0.0" w:type="dxa"/>
              <w:right w:w="0.0" w:type="dxa"/>
            </w:tcMar>
            <w:vAlign w:val="center"/>
          </w:tcPr>
          <w:p w:rsidR="00000000" w:rsidDel="00000000" w:rsidP="00000000" w:rsidRDefault="00000000" w:rsidRPr="00000000" w14:paraId="00000185">
            <w:pPr>
              <w:widowControl w:val="0"/>
              <w:spacing w:after="0" w:line="240" w:lineRule="auto"/>
              <w:jc w:val="center"/>
              <w:rPr>
                <w:color w:val="1f1f1f"/>
                <w:sz w:val="24"/>
                <w:szCs w:val="24"/>
              </w:rPr>
            </w:pPr>
            <w:r w:rsidDel="00000000" w:rsidR="00000000" w:rsidRPr="00000000">
              <w:rPr>
                <w:color w:val="1f1f1f"/>
                <w:sz w:val="24"/>
                <w:szCs w:val="24"/>
                <w:rtl w:val="0"/>
              </w:rPr>
              <w:t xml:space="preserve">1.182*</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86">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87">
            <w:pPr>
              <w:widowControl w:val="0"/>
              <w:spacing w:after="0" w:line="240" w:lineRule="auto"/>
              <w:jc w:val="center"/>
              <w:rPr>
                <w:color w:val="1f1f1f"/>
                <w:sz w:val="24"/>
                <w:szCs w:val="24"/>
              </w:rPr>
            </w:pPr>
            <w:r w:rsidDel="00000000" w:rsidR="00000000" w:rsidRPr="00000000">
              <w:rPr>
                <w:color w:val="1f1f1f"/>
                <w:sz w:val="24"/>
                <w:szCs w:val="24"/>
                <w:rtl w:val="0"/>
              </w:rPr>
              <w:t xml:space="preserve">(0.066)</w:t>
            </w:r>
          </w:p>
        </w:tc>
        <w:tc>
          <w:tcPr>
            <w:tcMar>
              <w:top w:w="0.0" w:type="dxa"/>
              <w:left w:w="0.0" w:type="dxa"/>
              <w:bottom w:w="0.0" w:type="dxa"/>
              <w:right w:w="0.0" w:type="dxa"/>
            </w:tcMar>
            <w:vAlign w:val="center"/>
          </w:tcPr>
          <w:p w:rsidR="00000000" w:rsidDel="00000000" w:rsidP="00000000" w:rsidRDefault="00000000" w:rsidRPr="00000000" w14:paraId="00000188">
            <w:pPr>
              <w:widowControl w:val="0"/>
              <w:spacing w:after="0" w:line="240" w:lineRule="auto"/>
              <w:jc w:val="center"/>
              <w:rPr>
                <w:color w:val="1f1f1f"/>
                <w:sz w:val="24"/>
                <w:szCs w:val="24"/>
              </w:rPr>
            </w:pPr>
            <w:r w:rsidDel="00000000" w:rsidR="00000000" w:rsidRPr="00000000">
              <w:rPr>
                <w:color w:val="1f1f1f"/>
                <w:sz w:val="24"/>
                <w:szCs w:val="24"/>
                <w:rtl w:val="0"/>
              </w:rPr>
              <w:t xml:space="preserve">(0.067)</w:t>
            </w:r>
          </w:p>
        </w:tc>
        <w:tc>
          <w:tcPr>
            <w:tcMar>
              <w:top w:w="0.0" w:type="dxa"/>
              <w:left w:w="0.0" w:type="dxa"/>
              <w:bottom w:w="0.0" w:type="dxa"/>
              <w:right w:w="0.0" w:type="dxa"/>
            </w:tcMar>
            <w:vAlign w:val="center"/>
          </w:tcPr>
          <w:p w:rsidR="00000000" w:rsidDel="00000000" w:rsidP="00000000" w:rsidRDefault="00000000" w:rsidRPr="00000000" w14:paraId="00000189">
            <w:pPr>
              <w:widowControl w:val="0"/>
              <w:spacing w:after="0" w:line="240" w:lineRule="auto"/>
              <w:jc w:val="center"/>
              <w:rPr>
                <w:color w:val="1f1f1f"/>
                <w:sz w:val="24"/>
                <w:szCs w:val="24"/>
              </w:rPr>
            </w:pPr>
            <w:r w:rsidDel="00000000" w:rsidR="00000000" w:rsidRPr="00000000">
              <w:rPr>
                <w:color w:val="1f1f1f"/>
                <w:sz w:val="24"/>
                <w:szCs w:val="24"/>
                <w:rtl w:val="0"/>
              </w:rPr>
              <w:t xml:space="preserve">(0.071)</w:t>
            </w:r>
          </w:p>
        </w:tc>
        <w:tc>
          <w:tcPr>
            <w:tcMar>
              <w:top w:w="0.0" w:type="dxa"/>
              <w:left w:w="0.0" w:type="dxa"/>
              <w:bottom w:w="0.0" w:type="dxa"/>
              <w:right w:w="0.0" w:type="dxa"/>
            </w:tcMar>
            <w:vAlign w:val="center"/>
          </w:tcPr>
          <w:p w:rsidR="00000000" w:rsidDel="00000000" w:rsidP="00000000" w:rsidRDefault="00000000" w:rsidRPr="00000000" w14:paraId="0000018A">
            <w:pPr>
              <w:widowControl w:val="0"/>
              <w:spacing w:after="0" w:line="240" w:lineRule="auto"/>
              <w:jc w:val="center"/>
              <w:rPr>
                <w:color w:val="1f1f1f"/>
                <w:sz w:val="24"/>
                <w:szCs w:val="24"/>
              </w:rPr>
            </w:pPr>
            <w:r w:rsidDel="00000000" w:rsidR="00000000" w:rsidRPr="00000000">
              <w:rPr>
                <w:color w:val="1f1f1f"/>
                <w:sz w:val="24"/>
                <w:szCs w:val="24"/>
                <w:rtl w:val="0"/>
              </w:rPr>
              <w:t xml:space="preserve">(0.075)</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8B">
            <w:pPr>
              <w:widowControl w:val="0"/>
              <w:spacing w:after="0" w:line="240" w:lineRule="auto"/>
              <w:jc w:val="both"/>
              <w:rPr>
                <w:color w:val="1f1f1f"/>
                <w:sz w:val="24"/>
                <w:szCs w:val="24"/>
              </w:rPr>
            </w:pPr>
            <w:r w:rsidDel="00000000" w:rsidR="00000000" w:rsidRPr="00000000">
              <w:rPr>
                <w:color w:val="1f1f1f"/>
                <w:sz w:val="24"/>
                <w:szCs w:val="24"/>
                <w:rtl w:val="0"/>
              </w:rPr>
              <w:t xml:space="preserve">    Privada Com Fins Lucrativos</w:t>
            </w:r>
          </w:p>
        </w:tc>
        <w:tc>
          <w:tcPr>
            <w:tcMar>
              <w:top w:w="0.0" w:type="dxa"/>
              <w:left w:w="0.0" w:type="dxa"/>
              <w:bottom w:w="0.0" w:type="dxa"/>
              <w:right w:w="0.0" w:type="dxa"/>
            </w:tcMar>
            <w:vAlign w:val="center"/>
          </w:tcPr>
          <w:p w:rsidR="00000000" w:rsidDel="00000000" w:rsidP="00000000" w:rsidRDefault="00000000" w:rsidRPr="00000000" w14:paraId="0000018C">
            <w:pPr>
              <w:widowControl w:val="0"/>
              <w:spacing w:after="0" w:line="240" w:lineRule="auto"/>
              <w:jc w:val="center"/>
              <w:rPr>
                <w:color w:val="1f1f1f"/>
                <w:sz w:val="24"/>
                <w:szCs w:val="24"/>
              </w:rPr>
            </w:pPr>
            <w:r w:rsidDel="00000000" w:rsidR="00000000" w:rsidRPr="00000000">
              <w:rPr>
                <w:color w:val="1f1f1f"/>
                <w:sz w:val="24"/>
                <w:szCs w:val="24"/>
                <w:rtl w:val="0"/>
              </w:rPr>
              <w:t xml:space="preserve">1.310*</w:t>
            </w:r>
          </w:p>
        </w:tc>
        <w:tc>
          <w:tcPr>
            <w:tcMar>
              <w:top w:w="0.0" w:type="dxa"/>
              <w:left w:w="0.0" w:type="dxa"/>
              <w:bottom w:w="0.0" w:type="dxa"/>
              <w:right w:w="0.0" w:type="dxa"/>
            </w:tcMar>
            <w:vAlign w:val="center"/>
          </w:tcPr>
          <w:p w:rsidR="00000000" w:rsidDel="00000000" w:rsidP="00000000" w:rsidRDefault="00000000" w:rsidRPr="00000000" w14:paraId="0000018D">
            <w:pPr>
              <w:widowControl w:val="0"/>
              <w:spacing w:after="0" w:line="240" w:lineRule="auto"/>
              <w:jc w:val="center"/>
              <w:rPr>
                <w:color w:val="1f1f1f"/>
                <w:sz w:val="24"/>
                <w:szCs w:val="24"/>
              </w:rPr>
            </w:pPr>
            <w:r w:rsidDel="00000000" w:rsidR="00000000" w:rsidRPr="00000000">
              <w:rPr>
                <w:color w:val="1f1f1f"/>
                <w:sz w:val="24"/>
                <w:szCs w:val="24"/>
                <w:rtl w:val="0"/>
              </w:rPr>
              <w:t xml:space="preserve">1.298*</w:t>
            </w:r>
          </w:p>
        </w:tc>
        <w:tc>
          <w:tcPr>
            <w:tcMar>
              <w:top w:w="0.0" w:type="dxa"/>
              <w:left w:w="0.0" w:type="dxa"/>
              <w:bottom w:w="0.0" w:type="dxa"/>
              <w:right w:w="0.0" w:type="dxa"/>
            </w:tcMar>
            <w:vAlign w:val="center"/>
          </w:tcPr>
          <w:p w:rsidR="00000000" w:rsidDel="00000000" w:rsidP="00000000" w:rsidRDefault="00000000" w:rsidRPr="00000000" w14:paraId="0000018E">
            <w:pPr>
              <w:widowControl w:val="0"/>
              <w:spacing w:after="0" w:line="240" w:lineRule="auto"/>
              <w:jc w:val="center"/>
              <w:rPr>
                <w:color w:val="1f1f1f"/>
                <w:sz w:val="24"/>
                <w:szCs w:val="24"/>
              </w:rPr>
            </w:pPr>
            <w:r w:rsidDel="00000000" w:rsidR="00000000" w:rsidRPr="00000000">
              <w:rPr>
                <w:color w:val="1f1f1f"/>
                <w:sz w:val="24"/>
                <w:szCs w:val="24"/>
                <w:rtl w:val="0"/>
              </w:rPr>
              <w:t xml:space="preserve">1.336*</w:t>
            </w:r>
          </w:p>
        </w:tc>
        <w:tc>
          <w:tcPr>
            <w:tcMar>
              <w:top w:w="0.0" w:type="dxa"/>
              <w:left w:w="0.0" w:type="dxa"/>
              <w:bottom w:w="0.0" w:type="dxa"/>
              <w:right w:w="0.0" w:type="dxa"/>
            </w:tcMar>
            <w:vAlign w:val="center"/>
          </w:tcPr>
          <w:p w:rsidR="00000000" w:rsidDel="00000000" w:rsidP="00000000" w:rsidRDefault="00000000" w:rsidRPr="00000000" w14:paraId="0000018F">
            <w:pPr>
              <w:widowControl w:val="0"/>
              <w:spacing w:after="0" w:line="240" w:lineRule="auto"/>
              <w:jc w:val="center"/>
              <w:rPr>
                <w:color w:val="1f1f1f"/>
                <w:sz w:val="24"/>
                <w:szCs w:val="24"/>
              </w:rPr>
            </w:pPr>
            <w:r w:rsidDel="00000000" w:rsidR="00000000" w:rsidRPr="00000000">
              <w:rPr>
                <w:color w:val="1f1f1f"/>
                <w:sz w:val="24"/>
                <w:szCs w:val="24"/>
                <w:rtl w:val="0"/>
              </w:rPr>
              <w:t xml:space="preserve">1.411**</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90">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91">
            <w:pPr>
              <w:widowControl w:val="0"/>
              <w:spacing w:after="0" w:line="240" w:lineRule="auto"/>
              <w:jc w:val="center"/>
              <w:rPr>
                <w:color w:val="1f1f1f"/>
                <w:sz w:val="24"/>
                <w:szCs w:val="24"/>
              </w:rPr>
            </w:pPr>
            <w:r w:rsidDel="00000000" w:rsidR="00000000" w:rsidRPr="00000000">
              <w:rPr>
                <w:color w:val="1f1f1f"/>
                <w:sz w:val="24"/>
                <w:szCs w:val="24"/>
                <w:rtl w:val="0"/>
              </w:rPr>
              <w:t xml:space="preserve">(0.117)</w:t>
            </w:r>
          </w:p>
        </w:tc>
        <w:tc>
          <w:tcPr>
            <w:tcMar>
              <w:top w:w="0.0" w:type="dxa"/>
              <w:left w:w="0.0" w:type="dxa"/>
              <w:bottom w:w="0.0" w:type="dxa"/>
              <w:right w:w="0.0" w:type="dxa"/>
            </w:tcMar>
            <w:vAlign w:val="center"/>
          </w:tcPr>
          <w:p w:rsidR="00000000" w:rsidDel="00000000" w:rsidP="00000000" w:rsidRDefault="00000000" w:rsidRPr="00000000" w14:paraId="00000192">
            <w:pPr>
              <w:widowControl w:val="0"/>
              <w:spacing w:after="0" w:line="240" w:lineRule="auto"/>
              <w:jc w:val="center"/>
              <w:rPr>
                <w:color w:val="1f1f1f"/>
                <w:sz w:val="24"/>
                <w:szCs w:val="24"/>
              </w:rPr>
            </w:pPr>
            <w:r w:rsidDel="00000000" w:rsidR="00000000" w:rsidRPr="00000000">
              <w:rPr>
                <w:color w:val="1f1f1f"/>
                <w:sz w:val="24"/>
                <w:szCs w:val="24"/>
                <w:rtl w:val="0"/>
              </w:rPr>
              <w:t xml:space="preserve">(0.118)</w:t>
            </w:r>
          </w:p>
        </w:tc>
        <w:tc>
          <w:tcPr>
            <w:tcMar>
              <w:top w:w="0.0" w:type="dxa"/>
              <w:left w:w="0.0" w:type="dxa"/>
              <w:bottom w:w="0.0" w:type="dxa"/>
              <w:right w:w="0.0" w:type="dxa"/>
            </w:tcMar>
            <w:vAlign w:val="center"/>
          </w:tcPr>
          <w:p w:rsidR="00000000" w:rsidDel="00000000" w:rsidP="00000000" w:rsidRDefault="00000000" w:rsidRPr="00000000" w14:paraId="00000193">
            <w:pPr>
              <w:widowControl w:val="0"/>
              <w:spacing w:after="0" w:line="240" w:lineRule="auto"/>
              <w:jc w:val="center"/>
              <w:rPr>
                <w:color w:val="1f1f1f"/>
                <w:sz w:val="24"/>
                <w:szCs w:val="24"/>
              </w:rPr>
            </w:pPr>
            <w:r w:rsidDel="00000000" w:rsidR="00000000" w:rsidRPr="00000000">
              <w:rPr>
                <w:color w:val="1f1f1f"/>
                <w:sz w:val="24"/>
                <w:szCs w:val="24"/>
                <w:rtl w:val="0"/>
              </w:rPr>
              <w:t xml:space="preserve">(0.130)</w:t>
            </w:r>
          </w:p>
        </w:tc>
        <w:tc>
          <w:tcPr>
            <w:tcMar>
              <w:top w:w="0.0" w:type="dxa"/>
              <w:left w:w="0.0" w:type="dxa"/>
              <w:bottom w:w="0.0" w:type="dxa"/>
              <w:right w:w="0.0" w:type="dxa"/>
            </w:tcMar>
            <w:vAlign w:val="center"/>
          </w:tcPr>
          <w:p w:rsidR="00000000" w:rsidDel="00000000" w:rsidP="00000000" w:rsidRDefault="00000000" w:rsidRPr="00000000" w14:paraId="00000194">
            <w:pPr>
              <w:widowControl w:val="0"/>
              <w:spacing w:after="0" w:line="240" w:lineRule="auto"/>
              <w:jc w:val="center"/>
              <w:rPr>
                <w:color w:val="1f1f1f"/>
                <w:sz w:val="24"/>
                <w:szCs w:val="24"/>
              </w:rPr>
            </w:pPr>
            <w:r w:rsidDel="00000000" w:rsidR="00000000" w:rsidRPr="00000000">
              <w:rPr>
                <w:color w:val="1f1f1f"/>
                <w:sz w:val="24"/>
                <w:szCs w:val="24"/>
                <w:rtl w:val="0"/>
              </w:rPr>
              <w:t xml:space="preserve">(0.132)</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95">
            <w:pPr>
              <w:widowControl w:val="0"/>
              <w:spacing w:after="0" w:line="240" w:lineRule="auto"/>
              <w:jc w:val="both"/>
              <w:rPr>
                <w:color w:val="1f1f1f"/>
                <w:sz w:val="24"/>
                <w:szCs w:val="24"/>
              </w:rPr>
            </w:pPr>
            <w:r w:rsidDel="00000000" w:rsidR="00000000" w:rsidRPr="00000000">
              <w:rPr>
                <w:color w:val="1f1f1f"/>
                <w:sz w:val="24"/>
                <w:szCs w:val="24"/>
                <w:rtl w:val="0"/>
              </w:rPr>
              <w:t xml:space="preserve">    Privada Sem Fins Lucrativos</w:t>
            </w:r>
          </w:p>
        </w:tc>
        <w:tc>
          <w:tcPr>
            <w:tcMar>
              <w:top w:w="0.0" w:type="dxa"/>
              <w:left w:w="0.0" w:type="dxa"/>
              <w:bottom w:w="0.0" w:type="dxa"/>
              <w:right w:w="0.0" w:type="dxa"/>
            </w:tcMar>
            <w:vAlign w:val="center"/>
          </w:tcPr>
          <w:p w:rsidR="00000000" w:rsidDel="00000000" w:rsidP="00000000" w:rsidRDefault="00000000" w:rsidRPr="00000000" w14:paraId="00000196">
            <w:pPr>
              <w:widowControl w:val="0"/>
              <w:spacing w:after="0" w:line="240" w:lineRule="auto"/>
              <w:jc w:val="center"/>
              <w:rPr>
                <w:color w:val="1f1f1f"/>
                <w:sz w:val="24"/>
                <w:szCs w:val="24"/>
              </w:rPr>
            </w:pPr>
            <w:r w:rsidDel="00000000" w:rsidR="00000000" w:rsidRPr="00000000">
              <w:rPr>
                <w:color w:val="1f1f1f"/>
                <w:sz w:val="24"/>
                <w:szCs w:val="24"/>
                <w:rtl w:val="0"/>
              </w:rPr>
              <w:t xml:space="preserve">1.270***</w:t>
            </w:r>
          </w:p>
        </w:tc>
        <w:tc>
          <w:tcPr>
            <w:tcMar>
              <w:top w:w="0.0" w:type="dxa"/>
              <w:left w:w="0.0" w:type="dxa"/>
              <w:bottom w:w="0.0" w:type="dxa"/>
              <w:right w:w="0.0" w:type="dxa"/>
            </w:tcMar>
            <w:vAlign w:val="center"/>
          </w:tcPr>
          <w:p w:rsidR="00000000" w:rsidDel="00000000" w:rsidP="00000000" w:rsidRDefault="00000000" w:rsidRPr="00000000" w14:paraId="00000197">
            <w:pPr>
              <w:widowControl w:val="0"/>
              <w:spacing w:after="0" w:line="240" w:lineRule="auto"/>
              <w:jc w:val="center"/>
              <w:rPr>
                <w:color w:val="1f1f1f"/>
                <w:sz w:val="24"/>
                <w:szCs w:val="24"/>
              </w:rPr>
            </w:pPr>
            <w:r w:rsidDel="00000000" w:rsidR="00000000" w:rsidRPr="00000000">
              <w:rPr>
                <w:color w:val="1f1f1f"/>
                <w:sz w:val="24"/>
                <w:szCs w:val="24"/>
                <w:rtl w:val="0"/>
              </w:rPr>
              <w:t xml:space="preserve">1.213**</w:t>
            </w:r>
          </w:p>
        </w:tc>
        <w:tc>
          <w:tcPr>
            <w:tcMar>
              <w:top w:w="0.0" w:type="dxa"/>
              <w:left w:w="0.0" w:type="dxa"/>
              <w:bottom w:w="0.0" w:type="dxa"/>
              <w:right w:w="0.0" w:type="dxa"/>
            </w:tcMar>
            <w:vAlign w:val="center"/>
          </w:tcPr>
          <w:p w:rsidR="00000000" w:rsidDel="00000000" w:rsidP="00000000" w:rsidRDefault="00000000" w:rsidRPr="00000000" w14:paraId="00000198">
            <w:pPr>
              <w:widowControl w:val="0"/>
              <w:spacing w:after="0" w:line="240" w:lineRule="auto"/>
              <w:jc w:val="center"/>
              <w:rPr>
                <w:color w:val="1f1f1f"/>
                <w:sz w:val="24"/>
                <w:szCs w:val="24"/>
              </w:rPr>
            </w:pPr>
            <w:r w:rsidDel="00000000" w:rsidR="00000000" w:rsidRPr="00000000">
              <w:rPr>
                <w:color w:val="1f1f1f"/>
                <w:sz w:val="24"/>
                <w:szCs w:val="24"/>
                <w:rtl w:val="0"/>
              </w:rPr>
              <w:t xml:space="preserve">1.232**</w:t>
            </w:r>
          </w:p>
        </w:tc>
        <w:tc>
          <w:tcPr>
            <w:tcMar>
              <w:top w:w="0.0" w:type="dxa"/>
              <w:left w:w="0.0" w:type="dxa"/>
              <w:bottom w:w="0.0" w:type="dxa"/>
              <w:right w:w="0.0" w:type="dxa"/>
            </w:tcMar>
            <w:vAlign w:val="center"/>
          </w:tcPr>
          <w:p w:rsidR="00000000" w:rsidDel="00000000" w:rsidP="00000000" w:rsidRDefault="00000000" w:rsidRPr="00000000" w14:paraId="00000199">
            <w:pPr>
              <w:widowControl w:val="0"/>
              <w:spacing w:after="0" w:line="240" w:lineRule="auto"/>
              <w:jc w:val="center"/>
              <w:rPr>
                <w:color w:val="1f1f1f"/>
                <w:sz w:val="24"/>
                <w:szCs w:val="24"/>
              </w:rPr>
            </w:pPr>
            <w:r w:rsidDel="00000000" w:rsidR="00000000" w:rsidRPr="00000000">
              <w:rPr>
                <w:color w:val="1f1f1f"/>
                <w:sz w:val="24"/>
                <w:szCs w:val="24"/>
                <w:rtl w:val="0"/>
              </w:rPr>
              <w:t xml:space="preserve">1.279**</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9A">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9B">
            <w:pPr>
              <w:widowControl w:val="0"/>
              <w:spacing w:after="0" w:line="240" w:lineRule="auto"/>
              <w:jc w:val="center"/>
              <w:rPr>
                <w:color w:val="1f1f1f"/>
                <w:sz w:val="24"/>
                <w:szCs w:val="24"/>
              </w:rPr>
            </w:pPr>
            <w:r w:rsidDel="00000000" w:rsidR="00000000" w:rsidRPr="00000000">
              <w:rPr>
                <w:color w:val="1f1f1f"/>
                <w:sz w:val="24"/>
                <w:szCs w:val="24"/>
                <w:rtl w:val="0"/>
              </w:rPr>
              <w:t xml:space="preserve">(0.069)</w:t>
            </w:r>
          </w:p>
        </w:tc>
        <w:tc>
          <w:tcPr>
            <w:tcMar>
              <w:top w:w="0.0" w:type="dxa"/>
              <w:left w:w="0.0" w:type="dxa"/>
              <w:bottom w:w="0.0" w:type="dxa"/>
              <w:right w:w="0.0" w:type="dxa"/>
            </w:tcMar>
            <w:vAlign w:val="center"/>
          </w:tcPr>
          <w:p w:rsidR="00000000" w:rsidDel="00000000" w:rsidP="00000000" w:rsidRDefault="00000000" w:rsidRPr="00000000" w14:paraId="0000019C">
            <w:pPr>
              <w:widowControl w:val="0"/>
              <w:spacing w:after="0" w:line="240" w:lineRule="auto"/>
              <w:jc w:val="center"/>
              <w:rPr>
                <w:color w:val="1f1f1f"/>
                <w:sz w:val="24"/>
                <w:szCs w:val="24"/>
              </w:rPr>
            </w:pPr>
            <w:r w:rsidDel="00000000" w:rsidR="00000000" w:rsidRPr="00000000">
              <w:rPr>
                <w:color w:val="1f1f1f"/>
                <w:sz w:val="24"/>
                <w:szCs w:val="24"/>
                <w:rtl w:val="0"/>
              </w:rPr>
              <w:t xml:space="preserve">(0.074)</w:t>
            </w:r>
          </w:p>
        </w:tc>
        <w:tc>
          <w:tcPr>
            <w:tcMar>
              <w:top w:w="0.0" w:type="dxa"/>
              <w:left w:w="0.0" w:type="dxa"/>
              <w:bottom w:w="0.0" w:type="dxa"/>
              <w:right w:w="0.0" w:type="dxa"/>
            </w:tcMar>
            <w:vAlign w:val="center"/>
          </w:tcPr>
          <w:p w:rsidR="00000000" w:rsidDel="00000000" w:rsidP="00000000" w:rsidRDefault="00000000" w:rsidRPr="00000000" w14:paraId="0000019D">
            <w:pPr>
              <w:widowControl w:val="0"/>
              <w:spacing w:after="0" w:line="240" w:lineRule="auto"/>
              <w:jc w:val="center"/>
              <w:rPr>
                <w:color w:val="1f1f1f"/>
                <w:sz w:val="24"/>
                <w:szCs w:val="24"/>
              </w:rPr>
            </w:pPr>
            <w:r w:rsidDel="00000000" w:rsidR="00000000" w:rsidRPr="00000000">
              <w:rPr>
                <w:color w:val="1f1f1f"/>
                <w:sz w:val="24"/>
                <w:szCs w:val="24"/>
                <w:rtl w:val="0"/>
              </w:rPr>
              <w:t xml:space="preserve">(0.079)</w:t>
            </w:r>
          </w:p>
        </w:tc>
        <w:tc>
          <w:tcPr>
            <w:tcMar>
              <w:top w:w="0.0" w:type="dxa"/>
              <w:left w:w="0.0" w:type="dxa"/>
              <w:bottom w:w="0.0" w:type="dxa"/>
              <w:right w:w="0.0" w:type="dxa"/>
            </w:tcMar>
            <w:vAlign w:val="center"/>
          </w:tcPr>
          <w:p w:rsidR="00000000" w:rsidDel="00000000" w:rsidP="00000000" w:rsidRDefault="00000000" w:rsidRPr="00000000" w14:paraId="0000019E">
            <w:pPr>
              <w:widowControl w:val="0"/>
              <w:spacing w:after="0" w:line="240" w:lineRule="auto"/>
              <w:jc w:val="center"/>
              <w:rPr>
                <w:color w:val="1f1f1f"/>
                <w:sz w:val="24"/>
                <w:szCs w:val="24"/>
              </w:rPr>
            </w:pPr>
            <w:r w:rsidDel="00000000" w:rsidR="00000000" w:rsidRPr="00000000">
              <w:rPr>
                <w:color w:val="1f1f1f"/>
                <w:sz w:val="24"/>
                <w:szCs w:val="24"/>
                <w:rtl w:val="0"/>
              </w:rPr>
              <w:t xml:space="preserve">(0.081)</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9F">
            <w:pPr>
              <w:widowControl w:val="0"/>
              <w:spacing w:after="0" w:line="240" w:lineRule="auto"/>
              <w:jc w:val="both"/>
              <w:rPr>
                <w:color w:val="1f1f1f"/>
                <w:sz w:val="24"/>
                <w:szCs w:val="24"/>
              </w:rPr>
            </w:pPr>
            <w:r w:rsidDel="00000000" w:rsidR="00000000" w:rsidRPr="00000000">
              <w:rPr>
                <w:color w:val="1f1f1f"/>
                <w:sz w:val="24"/>
                <w:szCs w:val="24"/>
                <w:rtl w:val="0"/>
              </w:rPr>
              <w:t xml:space="preserve">    Pública Estadual</w:t>
            </w:r>
          </w:p>
        </w:tc>
        <w:tc>
          <w:tcPr>
            <w:tcMar>
              <w:top w:w="0.0" w:type="dxa"/>
              <w:left w:w="0.0" w:type="dxa"/>
              <w:bottom w:w="0.0" w:type="dxa"/>
              <w:right w:w="0.0" w:type="dxa"/>
            </w:tcMar>
            <w:vAlign w:val="center"/>
          </w:tcPr>
          <w:p w:rsidR="00000000" w:rsidDel="00000000" w:rsidP="00000000" w:rsidRDefault="00000000" w:rsidRPr="00000000" w14:paraId="000001A0">
            <w:pPr>
              <w:widowControl w:val="0"/>
              <w:spacing w:after="0" w:line="240" w:lineRule="auto"/>
              <w:jc w:val="center"/>
              <w:rPr>
                <w:color w:val="1f1f1f"/>
                <w:sz w:val="24"/>
                <w:szCs w:val="24"/>
              </w:rPr>
            </w:pPr>
            <w:r w:rsidDel="00000000" w:rsidR="00000000" w:rsidRPr="00000000">
              <w:rPr>
                <w:color w:val="1f1f1f"/>
                <w:sz w:val="24"/>
                <w:szCs w:val="24"/>
                <w:rtl w:val="0"/>
              </w:rPr>
              <w:t xml:space="preserve">1.080</w:t>
            </w:r>
          </w:p>
        </w:tc>
        <w:tc>
          <w:tcPr>
            <w:tcMar>
              <w:top w:w="0.0" w:type="dxa"/>
              <w:left w:w="0.0" w:type="dxa"/>
              <w:bottom w:w="0.0" w:type="dxa"/>
              <w:right w:w="0.0" w:type="dxa"/>
            </w:tcMar>
            <w:vAlign w:val="center"/>
          </w:tcPr>
          <w:p w:rsidR="00000000" w:rsidDel="00000000" w:rsidP="00000000" w:rsidRDefault="00000000" w:rsidRPr="00000000" w14:paraId="000001A1">
            <w:pPr>
              <w:widowControl w:val="0"/>
              <w:spacing w:after="0" w:line="240" w:lineRule="auto"/>
              <w:jc w:val="center"/>
              <w:rPr>
                <w:color w:val="1f1f1f"/>
                <w:sz w:val="24"/>
                <w:szCs w:val="24"/>
              </w:rPr>
            </w:pPr>
            <w:r w:rsidDel="00000000" w:rsidR="00000000" w:rsidRPr="00000000">
              <w:rPr>
                <w:color w:val="1f1f1f"/>
                <w:sz w:val="24"/>
                <w:szCs w:val="24"/>
                <w:rtl w:val="0"/>
              </w:rPr>
              <w:t xml:space="preserve">1.059</w:t>
            </w:r>
          </w:p>
        </w:tc>
        <w:tc>
          <w:tcPr>
            <w:tcMar>
              <w:top w:w="0.0" w:type="dxa"/>
              <w:left w:w="0.0" w:type="dxa"/>
              <w:bottom w:w="0.0" w:type="dxa"/>
              <w:right w:w="0.0" w:type="dxa"/>
            </w:tcMar>
            <w:vAlign w:val="center"/>
          </w:tcPr>
          <w:p w:rsidR="00000000" w:rsidDel="00000000" w:rsidP="00000000" w:rsidRDefault="00000000" w:rsidRPr="00000000" w14:paraId="000001A2">
            <w:pPr>
              <w:widowControl w:val="0"/>
              <w:spacing w:after="0" w:line="240" w:lineRule="auto"/>
              <w:jc w:val="center"/>
              <w:rPr>
                <w:color w:val="1f1f1f"/>
                <w:sz w:val="24"/>
                <w:szCs w:val="24"/>
              </w:rPr>
            </w:pPr>
            <w:r w:rsidDel="00000000" w:rsidR="00000000" w:rsidRPr="00000000">
              <w:rPr>
                <w:color w:val="1f1f1f"/>
                <w:sz w:val="24"/>
                <w:szCs w:val="24"/>
                <w:rtl w:val="0"/>
              </w:rPr>
              <w:t xml:space="preserve">1.079</w:t>
            </w:r>
          </w:p>
        </w:tc>
        <w:tc>
          <w:tcPr>
            <w:tcMar>
              <w:top w:w="0.0" w:type="dxa"/>
              <w:left w:w="0.0" w:type="dxa"/>
              <w:bottom w:w="0.0" w:type="dxa"/>
              <w:right w:w="0.0" w:type="dxa"/>
            </w:tcMar>
            <w:vAlign w:val="center"/>
          </w:tcPr>
          <w:p w:rsidR="00000000" w:rsidDel="00000000" w:rsidP="00000000" w:rsidRDefault="00000000" w:rsidRPr="00000000" w14:paraId="000001A3">
            <w:pPr>
              <w:widowControl w:val="0"/>
              <w:spacing w:after="0" w:line="240" w:lineRule="auto"/>
              <w:jc w:val="center"/>
              <w:rPr>
                <w:color w:val="1f1f1f"/>
                <w:sz w:val="24"/>
                <w:szCs w:val="24"/>
              </w:rPr>
            </w:pPr>
            <w:r w:rsidDel="00000000" w:rsidR="00000000" w:rsidRPr="00000000">
              <w:rPr>
                <w:color w:val="1f1f1f"/>
                <w:sz w:val="24"/>
                <w:szCs w:val="24"/>
                <w:rtl w:val="0"/>
              </w:rPr>
              <w:t xml:space="preserve">1.082</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A4">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A5">
            <w:pPr>
              <w:widowControl w:val="0"/>
              <w:spacing w:after="0" w:line="240" w:lineRule="auto"/>
              <w:jc w:val="center"/>
              <w:rPr>
                <w:color w:val="1f1f1f"/>
                <w:sz w:val="24"/>
                <w:szCs w:val="24"/>
              </w:rPr>
            </w:pPr>
            <w:r w:rsidDel="00000000" w:rsidR="00000000" w:rsidRPr="00000000">
              <w:rPr>
                <w:color w:val="1f1f1f"/>
                <w:sz w:val="24"/>
                <w:szCs w:val="24"/>
                <w:rtl w:val="0"/>
              </w:rPr>
              <w:t xml:space="preserve">(0.075)</w:t>
            </w:r>
          </w:p>
        </w:tc>
        <w:tc>
          <w:tcPr>
            <w:tcMar>
              <w:top w:w="0.0" w:type="dxa"/>
              <w:left w:w="0.0" w:type="dxa"/>
              <w:bottom w:w="0.0" w:type="dxa"/>
              <w:right w:w="0.0" w:type="dxa"/>
            </w:tcMar>
            <w:vAlign w:val="center"/>
          </w:tcPr>
          <w:p w:rsidR="00000000" w:rsidDel="00000000" w:rsidP="00000000" w:rsidRDefault="00000000" w:rsidRPr="00000000" w14:paraId="000001A6">
            <w:pPr>
              <w:widowControl w:val="0"/>
              <w:spacing w:after="0" w:line="240" w:lineRule="auto"/>
              <w:jc w:val="center"/>
              <w:rPr>
                <w:color w:val="1f1f1f"/>
                <w:sz w:val="24"/>
                <w:szCs w:val="24"/>
              </w:rPr>
            </w:pPr>
            <w:r w:rsidDel="00000000" w:rsidR="00000000" w:rsidRPr="00000000">
              <w:rPr>
                <w:color w:val="1f1f1f"/>
                <w:sz w:val="24"/>
                <w:szCs w:val="24"/>
                <w:rtl w:val="0"/>
              </w:rPr>
              <w:t xml:space="preserve">(0.075)</w:t>
            </w:r>
          </w:p>
        </w:tc>
        <w:tc>
          <w:tcPr>
            <w:tcMar>
              <w:top w:w="0.0" w:type="dxa"/>
              <w:left w:w="0.0" w:type="dxa"/>
              <w:bottom w:w="0.0" w:type="dxa"/>
              <w:right w:w="0.0" w:type="dxa"/>
            </w:tcMar>
            <w:vAlign w:val="center"/>
          </w:tcPr>
          <w:p w:rsidR="00000000" w:rsidDel="00000000" w:rsidP="00000000" w:rsidRDefault="00000000" w:rsidRPr="00000000" w14:paraId="000001A7">
            <w:pPr>
              <w:widowControl w:val="0"/>
              <w:spacing w:after="0" w:line="240" w:lineRule="auto"/>
              <w:jc w:val="center"/>
              <w:rPr>
                <w:color w:val="1f1f1f"/>
                <w:sz w:val="24"/>
                <w:szCs w:val="24"/>
              </w:rPr>
            </w:pPr>
            <w:r w:rsidDel="00000000" w:rsidR="00000000" w:rsidRPr="00000000">
              <w:rPr>
                <w:color w:val="1f1f1f"/>
                <w:sz w:val="24"/>
                <w:szCs w:val="24"/>
                <w:rtl w:val="0"/>
              </w:rPr>
              <w:t xml:space="preserve">(0.078)</w:t>
            </w:r>
          </w:p>
        </w:tc>
        <w:tc>
          <w:tcPr>
            <w:tcMar>
              <w:top w:w="0.0" w:type="dxa"/>
              <w:left w:w="0.0" w:type="dxa"/>
              <w:bottom w:w="0.0" w:type="dxa"/>
              <w:right w:w="0.0" w:type="dxa"/>
            </w:tcMar>
            <w:vAlign w:val="center"/>
          </w:tcPr>
          <w:p w:rsidR="00000000" w:rsidDel="00000000" w:rsidP="00000000" w:rsidRDefault="00000000" w:rsidRPr="00000000" w14:paraId="000001A8">
            <w:pPr>
              <w:widowControl w:val="0"/>
              <w:spacing w:after="0" w:line="240" w:lineRule="auto"/>
              <w:jc w:val="center"/>
              <w:rPr>
                <w:color w:val="1f1f1f"/>
                <w:sz w:val="24"/>
                <w:szCs w:val="24"/>
              </w:rPr>
            </w:pPr>
            <w:r w:rsidDel="00000000" w:rsidR="00000000" w:rsidRPr="00000000">
              <w:rPr>
                <w:color w:val="1f1f1f"/>
                <w:sz w:val="24"/>
                <w:szCs w:val="24"/>
                <w:rtl w:val="0"/>
              </w:rPr>
              <w:t xml:space="preserve">(0.077)</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A9">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Região Geográfica</w:t>
            </w:r>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(Ref: Sudeste)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AA">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AB">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AC">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AD">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AE">
            <w:pPr>
              <w:widowControl w:val="0"/>
              <w:spacing w:after="0" w:line="240" w:lineRule="auto"/>
              <w:jc w:val="both"/>
              <w:rPr>
                <w:color w:val="1f1f1f"/>
                <w:sz w:val="24"/>
                <w:szCs w:val="24"/>
              </w:rPr>
            </w:pPr>
            <w:r w:rsidDel="00000000" w:rsidR="00000000" w:rsidRPr="00000000">
              <w:rPr>
                <w:color w:val="1f1f1f"/>
                <w:sz w:val="24"/>
                <w:szCs w:val="24"/>
                <w:rtl w:val="0"/>
              </w:rPr>
              <w:t xml:space="preserve">    Centro-Oeste</w:t>
            </w:r>
          </w:p>
        </w:tc>
        <w:tc>
          <w:tcPr>
            <w:tcMar>
              <w:top w:w="0.0" w:type="dxa"/>
              <w:left w:w="0.0" w:type="dxa"/>
              <w:bottom w:w="0.0" w:type="dxa"/>
              <w:right w:w="0.0" w:type="dxa"/>
            </w:tcMar>
            <w:vAlign w:val="center"/>
          </w:tcPr>
          <w:p w:rsidR="00000000" w:rsidDel="00000000" w:rsidP="00000000" w:rsidRDefault="00000000" w:rsidRPr="00000000" w14:paraId="000001AF">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B0">
            <w:pPr>
              <w:widowControl w:val="0"/>
              <w:spacing w:after="0" w:line="240" w:lineRule="auto"/>
              <w:jc w:val="center"/>
              <w:rPr>
                <w:color w:val="1f1f1f"/>
                <w:sz w:val="24"/>
                <w:szCs w:val="24"/>
              </w:rPr>
            </w:pPr>
            <w:r w:rsidDel="00000000" w:rsidR="00000000" w:rsidRPr="00000000">
              <w:rPr>
                <w:color w:val="1f1f1f"/>
                <w:sz w:val="24"/>
                <w:szCs w:val="24"/>
                <w:rtl w:val="0"/>
              </w:rPr>
              <w:t xml:space="preserve">0.866</w:t>
            </w:r>
          </w:p>
        </w:tc>
        <w:tc>
          <w:tcPr>
            <w:tcMar>
              <w:top w:w="0.0" w:type="dxa"/>
              <w:left w:w="0.0" w:type="dxa"/>
              <w:bottom w:w="0.0" w:type="dxa"/>
              <w:right w:w="0.0" w:type="dxa"/>
            </w:tcMar>
            <w:vAlign w:val="center"/>
          </w:tcPr>
          <w:p w:rsidR="00000000" w:rsidDel="00000000" w:rsidP="00000000" w:rsidRDefault="00000000" w:rsidRPr="00000000" w14:paraId="000001B1">
            <w:pPr>
              <w:widowControl w:val="0"/>
              <w:spacing w:after="0" w:line="240" w:lineRule="auto"/>
              <w:jc w:val="center"/>
              <w:rPr>
                <w:color w:val="1f1f1f"/>
                <w:sz w:val="24"/>
                <w:szCs w:val="24"/>
              </w:rPr>
            </w:pPr>
            <w:r w:rsidDel="00000000" w:rsidR="00000000" w:rsidRPr="00000000">
              <w:rPr>
                <w:color w:val="1f1f1f"/>
                <w:sz w:val="24"/>
                <w:szCs w:val="24"/>
                <w:rtl w:val="0"/>
              </w:rPr>
              <w:t xml:space="preserve">0.877</w:t>
            </w:r>
          </w:p>
        </w:tc>
        <w:tc>
          <w:tcPr>
            <w:tcMar>
              <w:top w:w="0.0" w:type="dxa"/>
              <w:left w:w="0.0" w:type="dxa"/>
              <w:bottom w:w="0.0" w:type="dxa"/>
              <w:right w:w="0.0" w:type="dxa"/>
            </w:tcMar>
            <w:vAlign w:val="center"/>
          </w:tcPr>
          <w:p w:rsidR="00000000" w:rsidDel="00000000" w:rsidP="00000000" w:rsidRDefault="00000000" w:rsidRPr="00000000" w14:paraId="000001B2">
            <w:pPr>
              <w:widowControl w:val="0"/>
              <w:spacing w:after="0" w:line="240" w:lineRule="auto"/>
              <w:jc w:val="center"/>
              <w:rPr>
                <w:color w:val="1f1f1f"/>
                <w:sz w:val="24"/>
                <w:szCs w:val="24"/>
              </w:rPr>
            </w:pPr>
            <w:r w:rsidDel="00000000" w:rsidR="00000000" w:rsidRPr="00000000">
              <w:rPr>
                <w:color w:val="1f1f1f"/>
                <w:sz w:val="24"/>
                <w:szCs w:val="24"/>
                <w:rtl w:val="0"/>
              </w:rPr>
              <w:t xml:space="preserve">0.896</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B3">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B4">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B5">
            <w:pPr>
              <w:widowControl w:val="0"/>
              <w:spacing w:after="0" w:line="240" w:lineRule="auto"/>
              <w:jc w:val="center"/>
              <w:rPr>
                <w:color w:val="1f1f1f"/>
                <w:sz w:val="24"/>
                <w:szCs w:val="24"/>
              </w:rPr>
            </w:pPr>
            <w:r w:rsidDel="00000000" w:rsidR="00000000" w:rsidRPr="00000000">
              <w:rPr>
                <w:color w:val="1f1f1f"/>
                <w:sz w:val="24"/>
                <w:szCs w:val="24"/>
                <w:rtl w:val="0"/>
              </w:rPr>
              <w:t xml:space="preserve">(0.097)</w:t>
            </w:r>
          </w:p>
        </w:tc>
        <w:tc>
          <w:tcPr>
            <w:tcMar>
              <w:top w:w="0.0" w:type="dxa"/>
              <w:left w:w="0.0" w:type="dxa"/>
              <w:bottom w:w="0.0" w:type="dxa"/>
              <w:right w:w="0.0" w:type="dxa"/>
            </w:tcMar>
            <w:vAlign w:val="center"/>
          </w:tcPr>
          <w:p w:rsidR="00000000" w:rsidDel="00000000" w:rsidP="00000000" w:rsidRDefault="00000000" w:rsidRPr="00000000" w14:paraId="000001B6">
            <w:pPr>
              <w:widowControl w:val="0"/>
              <w:spacing w:after="0" w:line="240" w:lineRule="auto"/>
              <w:jc w:val="center"/>
              <w:rPr>
                <w:color w:val="1f1f1f"/>
                <w:sz w:val="24"/>
                <w:szCs w:val="24"/>
              </w:rPr>
            </w:pPr>
            <w:r w:rsidDel="00000000" w:rsidR="00000000" w:rsidRPr="00000000">
              <w:rPr>
                <w:color w:val="1f1f1f"/>
                <w:sz w:val="24"/>
                <w:szCs w:val="24"/>
                <w:rtl w:val="0"/>
              </w:rPr>
              <w:t xml:space="preserve">(0.100)</w:t>
            </w:r>
          </w:p>
        </w:tc>
        <w:tc>
          <w:tcPr>
            <w:tcMar>
              <w:top w:w="0.0" w:type="dxa"/>
              <w:left w:w="0.0" w:type="dxa"/>
              <w:bottom w:w="0.0" w:type="dxa"/>
              <w:right w:w="0.0" w:type="dxa"/>
            </w:tcMar>
            <w:vAlign w:val="center"/>
          </w:tcPr>
          <w:p w:rsidR="00000000" w:rsidDel="00000000" w:rsidP="00000000" w:rsidRDefault="00000000" w:rsidRPr="00000000" w14:paraId="000001B7">
            <w:pPr>
              <w:widowControl w:val="0"/>
              <w:spacing w:after="0" w:line="240" w:lineRule="auto"/>
              <w:jc w:val="center"/>
              <w:rPr>
                <w:color w:val="1f1f1f"/>
                <w:sz w:val="24"/>
                <w:szCs w:val="24"/>
              </w:rPr>
            </w:pPr>
            <w:r w:rsidDel="00000000" w:rsidR="00000000" w:rsidRPr="00000000">
              <w:rPr>
                <w:color w:val="1f1f1f"/>
                <w:sz w:val="24"/>
                <w:szCs w:val="24"/>
                <w:rtl w:val="0"/>
              </w:rPr>
              <w:t xml:space="preserve">(0.100)</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B8">
            <w:pPr>
              <w:widowControl w:val="0"/>
              <w:spacing w:after="0" w:line="240" w:lineRule="auto"/>
              <w:jc w:val="both"/>
              <w:rPr>
                <w:color w:val="1f1f1f"/>
                <w:sz w:val="24"/>
                <w:szCs w:val="24"/>
              </w:rPr>
            </w:pPr>
            <w:r w:rsidDel="00000000" w:rsidR="00000000" w:rsidRPr="00000000">
              <w:rPr>
                <w:color w:val="1f1f1f"/>
                <w:sz w:val="24"/>
                <w:szCs w:val="24"/>
                <w:rtl w:val="0"/>
              </w:rPr>
              <w:t xml:space="preserve">    Nordeste</w:t>
            </w:r>
          </w:p>
        </w:tc>
        <w:tc>
          <w:tcPr>
            <w:tcMar>
              <w:top w:w="0.0" w:type="dxa"/>
              <w:left w:w="0.0" w:type="dxa"/>
              <w:bottom w:w="0.0" w:type="dxa"/>
              <w:right w:w="0.0" w:type="dxa"/>
            </w:tcMar>
            <w:vAlign w:val="center"/>
          </w:tcPr>
          <w:p w:rsidR="00000000" w:rsidDel="00000000" w:rsidP="00000000" w:rsidRDefault="00000000" w:rsidRPr="00000000" w14:paraId="000001B9">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BA">
            <w:pPr>
              <w:widowControl w:val="0"/>
              <w:spacing w:after="0" w:line="240" w:lineRule="auto"/>
              <w:jc w:val="center"/>
              <w:rPr>
                <w:color w:val="1f1f1f"/>
                <w:sz w:val="24"/>
                <w:szCs w:val="24"/>
              </w:rPr>
            </w:pPr>
            <w:r w:rsidDel="00000000" w:rsidR="00000000" w:rsidRPr="00000000">
              <w:rPr>
                <w:color w:val="1f1f1f"/>
                <w:sz w:val="24"/>
                <w:szCs w:val="24"/>
                <w:rtl w:val="0"/>
              </w:rPr>
              <w:t xml:space="preserve">1.016</w:t>
            </w:r>
          </w:p>
        </w:tc>
        <w:tc>
          <w:tcPr>
            <w:tcMar>
              <w:top w:w="0.0" w:type="dxa"/>
              <w:left w:w="0.0" w:type="dxa"/>
              <w:bottom w:w="0.0" w:type="dxa"/>
              <w:right w:w="0.0" w:type="dxa"/>
            </w:tcMar>
            <w:vAlign w:val="center"/>
          </w:tcPr>
          <w:p w:rsidR="00000000" w:rsidDel="00000000" w:rsidP="00000000" w:rsidRDefault="00000000" w:rsidRPr="00000000" w14:paraId="000001BB">
            <w:pPr>
              <w:widowControl w:val="0"/>
              <w:spacing w:after="0" w:line="240" w:lineRule="auto"/>
              <w:jc w:val="center"/>
              <w:rPr>
                <w:color w:val="1f1f1f"/>
                <w:sz w:val="24"/>
                <w:szCs w:val="24"/>
              </w:rPr>
            </w:pPr>
            <w:r w:rsidDel="00000000" w:rsidR="00000000" w:rsidRPr="00000000">
              <w:rPr>
                <w:color w:val="1f1f1f"/>
                <w:sz w:val="24"/>
                <w:szCs w:val="24"/>
                <w:rtl w:val="0"/>
              </w:rPr>
              <w:t xml:space="preserve">1.020</w:t>
            </w:r>
          </w:p>
        </w:tc>
        <w:tc>
          <w:tcPr>
            <w:tcMar>
              <w:top w:w="0.0" w:type="dxa"/>
              <w:left w:w="0.0" w:type="dxa"/>
              <w:bottom w:w="0.0" w:type="dxa"/>
              <w:right w:w="0.0" w:type="dxa"/>
            </w:tcMar>
            <w:vAlign w:val="center"/>
          </w:tcPr>
          <w:p w:rsidR="00000000" w:rsidDel="00000000" w:rsidP="00000000" w:rsidRDefault="00000000" w:rsidRPr="00000000" w14:paraId="000001BC">
            <w:pPr>
              <w:widowControl w:val="0"/>
              <w:spacing w:after="0" w:line="240" w:lineRule="auto"/>
              <w:jc w:val="center"/>
              <w:rPr>
                <w:color w:val="1f1f1f"/>
                <w:sz w:val="24"/>
                <w:szCs w:val="24"/>
              </w:rPr>
            </w:pPr>
            <w:r w:rsidDel="00000000" w:rsidR="00000000" w:rsidRPr="00000000">
              <w:rPr>
                <w:color w:val="1f1f1f"/>
                <w:sz w:val="24"/>
                <w:szCs w:val="24"/>
                <w:rtl w:val="0"/>
              </w:rPr>
              <w:t xml:space="preserve">1.045</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BD">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BE">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BF">
            <w:pPr>
              <w:widowControl w:val="0"/>
              <w:spacing w:after="0" w:line="240" w:lineRule="auto"/>
              <w:jc w:val="center"/>
              <w:rPr>
                <w:color w:val="1f1f1f"/>
                <w:sz w:val="24"/>
                <w:szCs w:val="24"/>
              </w:rPr>
            </w:pPr>
            <w:r w:rsidDel="00000000" w:rsidR="00000000" w:rsidRPr="00000000">
              <w:rPr>
                <w:color w:val="1f1f1f"/>
                <w:sz w:val="24"/>
                <w:szCs w:val="24"/>
                <w:rtl w:val="0"/>
              </w:rPr>
              <w:t xml:space="preserve">(0.068)</w:t>
            </w:r>
          </w:p>
        </w:tc>
        <w:tc>
          <w:tcPr>
            <w:tcMar>
              <w:top w:w="0.0" w:type="dxa"/>
              <w:left w:w="0.0" w:type="dxa"/>
              <w:bottom w:w="0.0" w:type="dxa"/>
              <w:right w:w="0.0" w:type="dxa"/>
            </w:tcMar>
            <w:vAlign w:val="center"/>
          </w:tcPr>
          <w:p w:rsidR="00000000" w:rsidDel="00000000" w:rsidP="00000000" w:rsidRDefault="00000000" w:rsidRPr="00000000" w14:paraId="000001C0">
            <w:pPr>
              <w:widowControl w:val="0"/>
              <w:spacing w:after="0" w:line="240" w:lineRule="auto"/>
              <w:jc w:val="center"/>
              <w:rPr>
                <w:color w:val="1f1f1f"/>
                <w:sz w:val="24"/>
                <w:szCs w:val="24"/>
              </w:rPr>
            </w:pPr>
            <w:r w:rsidDel="00000000" w:rsidR="00000000" w:rsidRPr="00000000">
              <w:rPr>
                <w:color w:val="1f1f1f"/>
                <w:sz w:val="24"/>
                <w:szCs w:val="24"/>
                <w:rtl w:val="0"/>
              </w:rPr>
              <w:t xml:space="preserve">(0.068)</w:t>
            </w:r>
          </w:p>
        </w:tc>
        <w:tc>
          <w:tcPr>
            <w:tcMar>
              <w:top w:w="0.0" w:type="dxa"/>
              <w:left w:w="0.0" w:type="dxa"/>
              <w:bottom w:w="0.0" w:type="dxa"/>
              <w:right w:w="0.0" w:type="dxa"/>
            </w:tcMar>
            <w:vAlign w:val="center"/>
          </w:tcPr>
          <w:p w:rsidR="00000000" w:rsidDel="00000000" w:rsidP="00000000" w:rsidRDefault="00000000" w:rsidRPr="00000000" w14:paraId="000001C1">
            <w:pPr>
              <w:widowControl w:val="0"/>
              <w:spacing w:after="0" w:line="240" w:lineRule="auto"/>
              <w:jc w:val="center"/>
              <w:rPr>
                <w:color w:val="1f1f1f"/>
                <w:sz w:val="24"/>
                <w:szCs w:val="24"/>
              </w:rPr>
            </w:pPr>
            <w:r w:rsidDel="00000000" w:rsidR="00000000" w:rsidRPr="00000000">
              <w:rPr>
                <w:color w:val="1f1f1f"/>
                <w:sz w:val="24"/>
                <w:szCs w:val="24"/>
                <w:rtl w:val="0"/>
              </w:rPr>
              <w:t xml:space="preserve">(0.069)</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C2">
            <w:pPr>
              <w:widowControl w:val="0"/>
              <w:spacing w:after="0" w:line="240" w:lineRule="auto"/>
              <w:jc w:val="both"/>
              <w:rPr>
                <w:color w:val="1f1f1f"/>
                <w:sz w:val="24"/>
                <w:szCs w:val="24"/>
              </w:rPr>
            </w:pPr>
            <w:r w:rsidDel="00000000" w:rsidR="00000000" w:rsidRPr="00000000">
              <w:rPr>
                <w:color w:val="1f1f1f"/>
                <w:sz w:val="24"/>
                <w:szCs w:val="24"/>
                <w:rtl w:val="0"/>
              </w:rPr>
              <w:t xml:space="preserve">    Norte</w:t>
            </w:r>
          </w:p>
        </w:tc>
        <w:tc>
          <w:tcPr>
            <w:tcMar>
              <w:top w:w="0.0" w:type="dxa"/>
              <w:left w:w="0.0" w:type="dxa"/>
              <w:bottom w:w="0.0" w:type="dxa"/>
              <w:right w:w="0.0" w:type="dxa"/>
            </w:tcMar>
            <w:vAlign w:val="center"/>
          </w:tcPr>
          <w:p w:rsidR="00000000" w:rsidDel="00000000" w:rsidP="00000000" w:rsidRDefault="00000000" w:rsidRPr="00000000" w14:paraId="000001C3">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C4">
            <w:pPr>
              <w:widowControl w:val="0"/>
              <w:spacing w:after="0" w:line="240" w:lineRule="auto"/>
              <w:jc w:val="center"/>
              <w:rPr>
                <w:color w:val="1f1f1f"/>
                <w:sz w:val="24"/>
                <w:szCs w:val="24"/>
              </w:rPr>
            </w:pPr>
            <w:r w:rsidDel="00000000" w:rsidR="00000000" w:rsidRPr="00000000">
              <w:rPr>
                <w:color w:val="1f1f1f"/>
                <w:sz w:val="24"/>
                <w:szCs w:val="24"/>
                <w:rtl w:val="0"/>
              </w:rPr>
              <w:t xml:space="preserve">0.893</w:t>
            </w:r>
          </w:p>
        </w:tc>
        <w:tc>
          <w:tcPr>
            <w:tcMar>
              <w:top w:w="0.0" w:type="dxa"/>
              <w:left w:w="0.0" w:type="dxa"/>
              <w:bottom w:w="0.0" w:type="dxa"/>
              <w:right w:w="0.0" w:type="dxa"/>
            </w:tcMar>
            <w:vAlign w:val="center"/>
          </w:tcPr>
          <w:p w:rsidR="00000000" w:rsidDel="00000000" w:rsidP="00000000" w:rsidRDefault="00000000" w:rsidRPr="00000000" w14:paraId="000001C5">
            <w:pPr>
              <w:widowControl w:val="0"/>
              <w:spacing w:after="0" w:line="240" w:lineRule="auto"/>
              <w:jc w:val="center"/>
              <w:rPr>
                <w:color w:val="1f1f1f"/>
                <w:sz w:val="24"/>
                <w:szCs w:val="24"/>
              </w:rPr>
            </w:pPr>
            <w:r w:rsidDel="00000000" w:rsidR="00000000" w:rsidRPr="00000000">
              <w:rPr>
                <w:color w:val="1f1f1f"/>
                <w:sz w:val="24"/>
                <w:szCs w:val="24"/>
                <w:rtl w:val="0"/>
              </w:rPr>
              <w:t xml:space="preserve">0.926</w:t>
            </w:r>
          </w:p>
        </w:tc>
        <w:tc>
          <w:tcPr>
            <w:tcMar>
              <w:top w:w="0.0" w:type="dxa"/>
              <w:left w:w="0.0" w:type="dxa"/>
              <w:bottom w:w="0.0" w:type="dxa"/>
              <w:right w:w="0.0" w:type="dxa"/>
            </w:tcMar>
            <w:vAlign w:val="center"/>
          </w:tcPr>
          <w:p w:rsidR="00000000" w:rsidDel="00000000" w:rsidP="00000000" w:rsidRDefault="00000000" w:rsidRPr="00000000" w14:paraId="000001C6">
            <w:pPr>
              <w:widowControl w:val="0"/>
              <w:spacing w:after="0" w:line="240" w:lineRule="auto"/>
              <w:jc w:val="center"/>
              <w:rPr>
                <w:color w:val="1f1f1f"/>
                <w:sz w:val="24"/>
                <w:szCs w:val="24"/>
              </w:rPr>
            </w:pPr>
            <w:r w:rsidDel="00000000" w:rsidR="00000000" w:rsidRPr="00000000">
              <w:rPr>
                <w:color w:val="1f1f1f"/>
                <w:sz w:val="24"/>
                <w:szCs w:val="24"/>
                <w:rtl w:val="0"/>
              </w:rPr>
              <w:t xml:space="preserve">0.970</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C7">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C8">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C9">
            <w:pPr>
              <w:widowControl w:val="0"/>
              <w:spacing w:after="0" w:line="240" w:lineRule="auto"/>
              <w:jc w:val="center"/>
              <w:rPr>
                <w:color w:val="1f1f1f"/>
                <w:sz w:val="24"/>
                <w:szCs w:val="24"/>
              </w:rPr>
            </w:pPr>
            <w:r w:rsidDel="00000000" w:rsidR="00000000" w:rsidRPr="00000000">
              <w:rPr>
                <w:color w:val="1f1f1f"/>
                <w:sz w:val="24"/>
                <w:szCs w:val="24"/>
                <w:rtl w:val="0"/>
              </w:rPr>
              <w:t xml:space="preserve">(0.093)</w:t>
            </w:r>
          </w:p>
        </w:tc>
        <w:tc>
          <w:tcPr>
            <w:tcMar>
              <w:top w:w="0.0" w:type="dxa"/>
              <w:left w:w="0.0" w:type="dxa"/>
              <w:bottom w:w="0.0" w:type="dxa"/>
              <w:right w:w="0.0" w:type="dxa"/>
            </w:tcMar>
            <w:vAlign w:val="center"/>
          </w:tcPr>
          <w:p w:rsidR="00000000" w:rsidDel="00000000" w:rsidP="00000000" w:rsidRDefault="00000000" w:rsidRPr="00000000" w14:paraId="000001CA">
            <w:pPr>
              <w:widowControl w:val="0"/>
              <w:spacing w:after="0" w:line="240" w:lineRule="auto"/>
              <w:jc w:val="center"/>
              <w:rPr>
                <w:color w:val="1f1f1f"/>
                <w:sz w:val="24"/>
                <w:szCs w:val="24"/>
              </w:rPr>
            </w:pPr>
            <w:r w:rsidDel="00000000" w:rsidR="00000000" w:rsidRPr="00000000">
              <w:rPr>
                <w:color w:val="1f1f1f"/>
                <w:sz w:val="24"/>
                <w:szCs w:val="24"/>
                <w:rtl w:val="0"/>
              </w:rPr>
              <w:t xml:space="preserve">(0.098)</w:t>
            </w:r>
          </w:p>
        </w:tc>
        <w:tc>
          <w:tcPr>
            <w:tcMar>
              <w:top w:w="0.0" w:type="dxa"/>
              <w:left w:w="0.0" w:type="dxa"/>
              <w:bottom w:w="0.0" w:type="dxa"/>
              <w:right w:w="0.0" w:type="dxa"/>
            </w:tcMar>
            <w:vAlign w:val="center"/>
          </w:tcPr>
          <w:p w:rsidR="00000000" w:rsidDel="00000000" w:rsidP="00000000" w:rsidRDefault="00000000" w:rsidRPr="00000000" w14:paraId="000001CB">
            <w:pPr>
              <w:widowControl w:val="0"/>
              <w:spacing w:after="0" w:line="240" w:lineRule="auto"/>
              <w:jc w:val="center"/>
              <w:rPr>
                <w:color w:val="1f1f1f"/>
                <w:sz w:val="24"/>
                <w:szCs w:val="24"/>
              </w:rPr>
            </w:pPr>
            <w:r w:rsidDel="00000000" w:rsidR="00000000" w:rsidRPr="00000000">
              <w:rPr>
                <w:color w:val="1f1f1f"/>
                <w:sz w:val="24"/>
                <w:szCs w:val="24"/>
                <w:rtl w:val="0"/>
              </w:rPr>
              <w:t xml:space="preserve">(0.100)</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CC">
            <w:pPr>
              <w:widowControl w:val="0"/>
              <w:spacing w:after="0" w:line="240" w:lineRule="auto"/>
              <w:jc w:val="both"/>
              <w:rPr>
                <w:color w:val="1f1f1f"/>
                <w:sz w:val="24"/>
                <w:szCs w:val="24"/>
              </w:rPr>
            </w:pPr>
            <w:r w:rsidDel="00000000" w:rsidR="00000000" w:rsidRPr="00000000">
              <w:rPr>
                <w:color w:val="1f1f1f"/>
                <w:sz w:val="24"/>
                <w:szCs w:val="24"/>
                <w:rtl w:val="0"/>
              </w:rPr>
              <w:t xml:space="preserve">    Sul</w:t>
            </w:r>
          </w:p>
        </w:tc>
        <w:tc>
          <w:tcPr>
            <w:tcMar>
              <w:top w:w="0.0" w:type="dxa"/>
              <w:left w:w="0.0" w:type="dxa"/>
              <w:bottom w:w="0.0" w:type="dxa"/>
              <w:right w:w="0.0" w:type="dxa"/>
            </w:tcMar>
            <w:vAlign w:val="center"/>
          </w:tcPr>
          <w:p w:rsidR="00000000" w:rsidDel="00000000" w:rsidP="00000000" w:rsidRDefault="00000000" w:rsidRPr="00000000" w14:paraId="000001CD">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CE">
            <w:pPr>
              <w:widowControl w:val="0"/>
              <w:spacing w:after="0" w:line="240" w:lineRule="auto"/>
              <w:jc w:val="center"/>
              <w:rPr>
                <w:color w:val="1f1f1f"/>
                <w:sz w:val="24"/>
                <w:szCs w:val="24"/>
              </w:rPr>
            </w:pPr>
            <w:r w:rsidDel="00000000" w:rsidR="00000000" w:rsidRPr="00000000">
              <w:rPr>
                <w:color w:val="1f1f1f"/>
                <w:sz w:val="24"/>
                <w:szCs w:val="24"/>
                <w:rtl w:val="0"/>
              </w:rPr>
              <w:t xml:space="preserve">1.077</w:t>
            </w:r>
          </w:p>
        </w:tc>
        <w:tc>
          <w:tcPr>
            <w:tcMar>
              <w:top w:w="0.0" w:type="dxa"/>
              <w:left w:w="0.0" w:type="dxa"/>
              <w:bottom w:w="0.0" w:type="dxa"/>
              <w:right w:w="0.0" w:type="dxa"/>
            </w:tcMar>
            <w:vAlign w:val="center"/>
          </w:tcPr>
          <w:p w:rsidR="00000000" w:rsidDel="00000000" w:rsidP="00000000" w:rsidRDefault="00000000" w:rsidRPr="00000000" w14:paraId="000001CF">
            <w:pPr>
              <w:widowControl w:val="0"/>
              <w:spacing w:after="0" w:line="240" w:lineRule="auto"/>
              <w:jc w:val="center"/>
              <w:rPr>
                <w:color w:val="1f1f1f"/>
                <w:sz w:val="24"/>
                <w:szCs w:val="24"/>
              </w:rPr>
            </w:pPr>
            <w:r w:rsidDel="00000000" w:rsidR="00000000" w:rsidRPr="00000000">
              <w:rPr>
                <w:color w:val="1f1f1f"/>
                <w:sz w:val="24"/>
                <w:szCs w:val="24"/>
                <w:rtl w:val="0"/>
              </w:rPr>
              <w:t xml:space="preserve">1.071</w:t>
            </w:r>
          </w:p>
        </w:tc>
        <w:tc>
          <w:tcPr>
            <w:tcMar>
              <w:top w:w="0.0" w:type="dxa"/>
              <w:left w:w="0.0" w:type="dxa"/>
              <w:bottom w:w="0.0" w:type="dxa"/>
              <w:right w:w="0.0" w:type="dxa"/>
            </w:tcMar>
            <w:vAlign w:val="center"/>
          </w:tcPr>
          <w:p w:rsidR="00000000" w:rsidDel="00000000" w:rsidP="00000000" w:rsidRDefault="00000000" w:rsidRPr="00000000" w14:paraId="000001D0">
            <w:pPr>
              <w:widowControl w:val="0"/>
              <w:spacing w:after="0" w:line="240" w:lineRule="auto"/>
              <w:jc w:val="center"/>
              <w:rPr>
                <w:color w:val="1f1f1f"/>
                <w:sz w:val="24"/>
                <w:szCs w:val="24"/>
              </w:rPr>
            </w:pPr>
            <w:r w:rsidDel="00000000" w:rsidR="00000000" w:rsidRPr="00000000">
              <w:rPr>
                <w:color w:val="1f1f1f"/>
                <w:sz w:val="24"/>
                <w:szCs w:val="24"/>
                <w:rtl w:val="0"/>
              </w:rPr>
              <w:t xml:space="preserve">1.079</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D1">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D2">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D3">
            <w:pPr>
              <w:widowControl w:val="0"/>
              <w:spacing w:after="0" w:line="240" w:lineRule="auto"/>
              <w:jc w:val="center"/>
              <w:rPr>
                <w:color w:val="1f1f1f"/>
                <w:sz w:val="24"/>
                <w:szCs w:val="24"/>
              </w:rPr>
            </w:pPr>
            <w:r w:rsidDel="00000000" w:rsidR="00000000" w:rsidRPr="00000000">
              <w:rPr>
                <w:color w:val="1f1f1f"/>
                <w:sz w:val="24"/>
                <w:szCs w:val="24"/>
                <w:rtl w:val="0"/>
              </w:rPr>
              <w:t xml:space="preserve">(0.065)</w:t>
            </w:r>
          </w:p>
        </w:tc>
        <w:tc>
          <w:tcPr>
            <w:tcMar>
              <w:top w:w="0.0" w:type="dxa"/>
              <w:left w:w="0.0" w:type="dxa"/>
              <w:bottom w:w="0.0" w:type="dxa"/>
              <w:right w:w="0.0" w:type="dxa"/>
            </w:tcMar>
            <w:vAlign w:val="center"/>
          </w:tcPr>
          <w:p w:rsidR="00000000" w:rsidDel="00000000" w:rsidP="00000000" w:rsidRDefault="00000000" w:rsidRPr="00000000" w14:paraId="000001D4">
            <w:pPr>
              <w:widowControl w:val="0"/>
              <w:spacing w:after="0" w:line="240" w:lineRule="auto"/>
              <w:jc w:val="center"/>
              <w:rPr>
                <w:color w:val="1f1f1f"/>
                <w:sz w:val="24"/>
                <w:szCs w:val="24"/>
              </w:rPr>
            </w:pPr>
            <w:r w:rsidDel="00000000" w:rsidR="00000000" w:rsidRPr="00000000">
              <w:rPr>
                <w:color w:val="1f1f1f"/>
                <w:sz w:val="24"/>
                <w:szCs w:val="24"/>
                <w:rtl w:val="0"/>
              </w:rPr>
              <w:t xml:space="preserve">(0.066)</w:t>
            </w:r>
          </w:p>
        </w:tc>
        <w:tc>
          <w:tcPr>
            <w:tcMar>
              <w:top w:w="0.0" w:type="dxa"/>
              <w:left w:w="0.0" w:type="dxa"/>
              <w:bottom w:w="0.0" w:type="dxa"/>
              <w:right w:w="0.0" w:type="dxa"/>
            </w:tcMar>
            <w:vAlign w:val="center"/>
          </w:tcPr>
          <w:p w:rsidR="00000000" w:rsidDel="00000000" w:rsidP="00000000" w:rsidRDefault="00000000" w:rsidRPr="00000000" w14:paraId="000001D5">
            <w:pPr>
              <w:widowControl w:val="0"/>
              <w:spacing w:after="0" w:line="240" w:lineRule="auto"/>
              <w:jc w:val="center"/>
              <w:rPr>
                <w:color w:val="1f1f1f"/>
                <w:sz w:val="24"/>
                <w:szCs w:val="24"/>
              </w:rPr>
            </w:pPr>
            <w:r w:rsidDel="00000000" w:rsidR="00000000" w:rsidRPr="00000000">
              <w:rPr>
                <w:color w:val="1f1f1f"/>
                <w:sz w:val="24"/>
                <w:szCs w:val="24"/>
                <w:rtl w:val="0"/>
              </w:rPr>
              <w:t xml:space="preserve">(0.066)</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D6">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Capacidade Instalada</w:t>
            </w:r>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(Ref: IGC Alto)</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D7">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D8">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D9">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DA">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DB">
            <w:pPr>
              <w:widowControl w:val="0"/>
              <w:spacing w:after="0" w:line="240" w:lineRule="auto"/>
              <w:jc w:val="both"/>
              <w:rPr>
                <w:color w:val="1f1f1f"/>
                <w:sz w:val="24"/>
                <w:szCs w:val="24"/>
              </w:rPr>
            </w:pPr>
            <w:r w:rsidDel="00000000" w:rsidR="00000000" w:rsidRPr="00000000">
              <w:rPr>
                <w:color w:val="1f1f1f"/>
                <w:sz w:val="24"/>
                <w:szCs w:val="24"/>
                <w:rtl w:val="0"/>
              </w:rPr>
              <w:t xml:space="preserve">    IGC Médio</w:t>
            </w:r>
          </w:p>
        </w:tc>
        <w:tc>
          <w:tcPr>
            <w:tcMar>
              <w:top w:w="0.0" w:type="dxa"/>
              <w:left w:w="0.0" w:type="dxa"/>
              <w:bottom w:w="0.0" w:type="dxa"/>
              <w:right w:w="0.0" w:type="dxa"/>
            </w:tcMar>
            <w:vAlign w:val="center"/>
          </w:tcPr>
          <w:p w:rsidR="00000000" w:rsidDel="00000000" w:rsidP="00000000" w:rsidRDefault="00000000" w:rsidRPr="00000000" w14:paraId="000001DC">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DD">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DE">
            <w:pPr>
              <w:widowControl w:val="0"/>
              <w:spacing w:after="0" w:line="240" w:lineRule="auto"/>
              <w:jc w:val="center"/>
              <w:rPr>
                <w:color w:val="1f1f1f"/>
                <w:sz w:val="24"/>
                <w:szCs w:val="24"/>
              </w:rPr>
            </w:pPr>
            <w:r w:rsidDel="00000000" w:rsidR="00000000" w:rsidRPr="00000000">
              <w:rPr>
                <w:color w:val="1f1f1f"/>
                <w:sz w:val="24"/>
                <w:szCs w:val="24"/>
                <w:rtl w:val="0"/>
              </w:rPr>
              <w:t xml:space="preserve">0.965</w:t>
            </w:r>
          </w:p>
        </w:tc>
        <w:tc>
          <w:tcPr>
            <w:tcMar>
              <w:top w:w="0.0" w:type="dxa"/>
              <w:left w:w="0.0" w:type="dxa"/>
              <w:bottom w:w="0.0" w:type="dxa"/>
              <w:right w:w="0.0" w:type="dxa"/>
            </w:tcMar>
            <w:vAlign w:val="center"/>
          </w:tcPr>
          <w:p w:rsidR="00000000" w:rsidDel="00000000" w:rsidP="00000000" w:rsidRDefault="00000000" w:rsidRPr="00000000" w14:paraId="000001DF">
            <w:pPr>
              <w:widowControl w:val="0"/>
              <w:spacing w:after="0" w:line="240" w:lineRule="auto"/>
              <w:jc w:val="center"/>
              <w:rPr>
                <w:color w:val="1f1f1f"/>
                <w:sz w:val="24"/>
                <w:szCs w:val="24"/>
              </w:rPr>
            </w:pPr>
            <w:r w:rsidDel="00000000" w:rsidR="00000000" w:rsidRPr="00000000">
              <w:rPr>
                <w:color w:val="1f1f1f"/>
                <w:sz w:val="24"/>
                <w:szCs w:val="24"/>
                <w:rtl w:val="0"/>
              </w:rPr>
              <w:t xml:space="preserve">0.956</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E0">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1">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2">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3">
            <w:pPr>
              <w:widowControl w:val="0"/>
              <w:spacing w:after="0" w:line="240" w:lineRule="auto"/>
              <w:jc w:val="center"/>
              <w:rPr>
                <w:color w:val="1f1f1f"/>
                <w:sz w:val="24"/>
                <w:szCs w:val="24"/>
              </w:rPr>
            </w:pPr>
            <w:r w:rsidDel="00000000" w:rsidR="00000000" w:rsidRPr="00000000">
              <w:rPr>
                <w:color w:val="1f1f1f"/>
                <w:sz w:val="24"/>
                <w:szCs w:val="24"/>
                <w:rtl w:val="0"/>
              </w:rPr>
              <w:t xml:space="preserve">(0.072)</w:t>
            </w:r>
          </w:p>
        </w:tc>
        <w:tc>
          <w:tcPr>
            <w:tcMar>
              <w:top w:w="0.0" w:type="dxa"/>
              <w:left w:w="0.0" w:type="dxa"/>
              <w:bottom w:w="0.0" w:type="dxa"/>
              <w:right w:w="0.0" w:type="dxa"/>
            </w:tcMar>
            <w:vAlign w:val="center"/>
          </w:tcPr>
          <w:p w:rsidR="00000000" w:rsidDel="00000000" w:rsidP="00000000" w:rsidRDefault="00000000" w:rsidRPr="00000000" w14:paraId="000001E4">
            <w:pPr>
              <w:widowControl w:val="0"/>
              <w:spacing w:after="0" w:line="240" w:lineRule="auto"/>
              <w:jc w:val="center"/>
              <w:rPr>
                <w:color w:val="1f1f1f"/>
                <w:sz w:val="24"/>
                <w:szCs w:val="24"/>
              </w:rPr>
            </w:pPr>
            <w:r w:rsidDel="00000000" w:rsidR="00000000" w:rsidRPr="00000000">
              <w:rPr>
                <w:color w:val="1f1f1f"/>
                <w:sz w:val="24"/>
                <w:szCs w:val="24"/>
                <w:rtl w:val="0"/>
              </w:rPr>
              <w:t xml:space="preserve">(0.072)</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E5">
            <w:pPr>
              <w:widowControl w:val="0"/>
              <w:spacing w:after="0" w:line="240" w:lineRule="auto"/>
              <w:jc w:val="both"/>
              <w:rPr>
                <w:color w:val="1f1f1f"/>
                <w:sz w:val="24"/>
                <w:szCs w:val="24"/>
              </w:rPr>
            </w:pPr>
            <w:r w:rsidDel="00000000" w:rsidR="00000000" w:rsidRPr="00000000">
              <w:rPr>
                <w:color w:val="1f1f1f"/>
                <w:sz w:val="24"/>
                <w:szCs w:val="24"/>
                <w:rtl w:val="0"/>
              </w:rPr>
              <w:t xml:space="preserve">    Sem IGC</w:t>
            </w:r>
          </w:p>
        </w:tc>
        <w:tc>
          <w:tcPr>
            <w:tcMar>
              <w:top w:w="0.0" w:type="dxa"/>
              <w:left w:w="0.0" w:type="dxa"/>
              <w:bottom w:w="0.0" w:type="dxa"/>
              <w:right w:w="0.0" w:type="dxa"/>
            </w:tcMar>
            <w:vAlign w:val="center"/>
          </w:tcPr>
          <w:p w:rsidR="00000000" w:rsidDel="00000000" w:rsidP="00000000" w:rsidRDefault="00000000" w:rsidRPr="00000000" w14:paraId="000001E6">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7">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8">
            <w:pPr>
              <w:widowControl w:val="0"/>
              <w:spacing w:after="0" w:line="240" w:lineRule="auto"/>
              <w:jc w:val="center"/>
              <w:rPr>
                <w:color w:val="1f1f1f"/>
                <w:sz w:val="24"/>
                <w:szCs w:val="24"/>
              </w:rPr>
            </w:pPr>
            <w:r w:rsidDel="00000000" w:rsidR="00000000" w:rsidRPr="00000000">
              <w:rPr>
                <w:color w:val="1f1f1f"/>
                <w:sz w:val="24"/>
                <w:szCs w:val="24"/>
                <w:rtl w:val="0"/>
              </w:rPr>
              <w:t xml:space="preserve">0.596</w:t>
            </w:r>
          </w:p>
        </w:tc>
        <w:tc>
          <w:tcPr>
            <w:tcMar>
              <w:top w:w="0.0" w:type="dxa"/>
              <w:left w:w="0.0" w:type="dxa"/>
              <w:bottom w:w="0.0" w:type="dxa"/>
              <w:right w:w="0.0" w:type="dxa"/>
            </w:tcMar>
            <w:vAlign w:val="center"/>
          </w:tcPr>
          <w:p w:rsidR="00000000" w:rsidDel="00000000" w:rsidP="00000000" w:rsidRDefault="00000000" w:rsidRPr="00000000" w14:paraId="000001E9">
            <w:pPr>
              <w:widowControl w:val="0"/>
              <w:spacing w:after="0" w:line="240" w:lineRule="auto"/>
              <w:jc w:val="center"/>
              <w:rPr>
                <w:color w:val="1f1f1f"/>
                <w:sz w:val="24"/>
                <w:szCs w:val="24"/>
              </w:rPr>
            </w:pPr>
            <w:r w:rsidDel="00000000" w:rsidR="00000000" w:rsidRPr="00000000">
              <w:rPr>
                <w:color w:val="1f1f1f"/>
                <w:sz w:val="24"/>
                <w:szCs w:val="24"/>
                <w:rtl w:val="0"/>
              </w:rPr>
              <w:t xml:space="preserve">0.593</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EA">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B">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C">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D">
            <w:pPr>
              <w:widowControl w:val="0"/>
              <w:spacing w:after="0" w:line="240" w:lineRule="auto"/>
              <w:jc w:val="center"/>
              <w:rPr>
                <w:color w:val="1f1f1f"/>
                <w:sz w:val="24"/>
                <w:szCs w:val="24"/>
              </w:rPr>
            </w:pPr>
            <w:r w:rsidDel="00000000" w:rsidR="00000000" w:rsidRPr="00000000">
              <w:rPr>
                <w:color w:val="1f1f1f"/>
                <w:sz w:val="24"/>
                <w:szCs w:val="24"/>
                <w:rtl w:val="0"/>
              </w:rPr>
              <w:t xml:space="preserve">(0.439)</w:t>
            </w:r>
          </w:p>
        </w:tc>
        <w:tc>
          <w:tcPr>
            <w:tcMar>
              <w:top w:w="0.0" w:type="dxa"/>
              <w:left w:w="0.0" w:type="dxa"/>
              <w:bottom w:w="0.0" w:type="dxa"/>
              <w:right w:w="0.0" w:type="dxa"/>
            </w:tcMar>
            <w:vAlign w:val="center"/>
          </w:tcPr>
          <w:p w:rsidR="00000000" w:rsidDel="00000000" w:rsidP="00000000" w:rsidRDefault="00000000" w:rsidRPr="00000000" w14:paraId="000001EE">
            <w:pPr>
              <w:widowControl w:val="0"/>
              <w:spacing w:after="0" w:line="240" w:lineRule="auto"/>
              <w:jc w:val="center"/>
              <w:rPr>
                <w:color w:val="1f1f1f"/>
                <w:sz w:val="24"/>
                <w:szCs w:val="24"/>
              </w:rPr>
            </w:pPr>
            <w:r w:rsidDel="00000000" w:rsidR="00000000" w:rsidRPr="00000000">
              <w:rPr>
                <w:color w:val="1f1f1f"/>
                <w:sz w:val="24"/>
                <w:szCs w:val="24"/>
                <w:rtl w:val="0"/>
              </w:rPr>
              <w:t xml:space="preserve">(0.437)</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EF">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Capital Científico</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0">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1">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2">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3">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F4">
            <w:pPr>
              <w:widowControl w:val="0"/>
              <w:spacing w:after="0" w:line="240" w:lineRule="auto"/>
              <w:jc w:val="both"/>
              <w:rPr>
                <w:color w:val="1f1f1f"/>
                <w:sz w:val="24"/>
                <w:szCs w:val="24"/>
              </w:rPr>
            </w:pPr>
            <w:r w:rsidDel="00000000" w:rsidR="00000000" w:rsidRPr="00000000">
              <w:rPr>
                <w:color w:val="1f1f1f"/>
                <w:sz w:val="24"/>
                <w:szCs w:val="24"/>
                <w:rtl w:val="0"/>
              </w:rPr>
              <w:t xml:space="preserve">    Índice H do Pesquisador</w:t>
            </w:r>
          </w:p>
        </w:tc>
        <w:tc>
          <w:tcPr>
            <w:tcMar>
              <w:top w:w="0.0" w:type="dxa"/>
              <w:left w:w="0.0" w:type="dxa"/>
              <w:bottom w:w="0.0" w:type="dxa"/>
              <w:right w:w="0.0" w:type="dxa"/>
            </w:tcMar>
            <w:vAlign w:val="center"/>
          </w:tcPr>
          <w:p w:rsidR="00000000" w:rsidDel="00000000" w:rsidP="00000000" w:rsidRDefault="00000000" w:rsidRPr="00000000" w14:paraId="000001F5">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6">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7">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8">
            <w:pPr>
              <w:widowControl w:val="0"/>
              <w:spacing w:after="0" w:line="240" w:lineRule="auto"/>
              <w:jc w:val="center"/>
              <w:rPr>
                <w:color w:val="1f1f1f"/>
                <w:sz w:val="24"/>
                <w:szCs w:val="24"/>
              </w:rPr>
            </w:pPr>
            <w:r w:rsidDel="00000000" w:rsidR="00000000" w:rsidRPr="00000000">
              <w:rPr>
                <w:color w:val="1f1f1f"/>
                <w:sz w:val="24"/>
                <w:szCs w:val="24"/>
                <w:rtl w:val="0"/>
              </w:rPr>
              <w:t xml:space="preserve">1.004*</w:t>
            </w:r>
          </w:p>
        </w:tc>
      </w:tr>
      <w:tr>
        <w:trPr>
          <w:cantSplit w:val="0"/>
          <w:trHeight w:val="144" w:hRule="atLeast"/>
          <w:tblHeader w:val="0"/>
        </w:trPr>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F9">
            <w:pPr>
              <w:widowControl w:val="0"/>
              <w:spacing w:after="0" w:line="240" w:lineRule="auto"/>
              <w:jc w:val="both"/>
              <w:rPr>
                <w:color w:val="1f1f1f"/>
                <w:sz w:val="24"/>
                <w:szCs w:val="24"/>
              </w:rPr>
            </w:pPr>
            <w:r w:rsidDel="00000000" w:rsidR="00000000" w:rsidRPr="00000000">
              <w:rPr>
                <w:rtl w:val="0"/>
              </w:rPr>
            </w:r>
          </w:p>
        </w:tc>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FA">
            <w:pPr>
              <w:widowControl w:val="0"/>
              <w:spacing w:after="0" w:line="240" w:lineRule="auto"/>
              <w:jc w:val="center"/>
              <w:rPr>
                <w:color w:val="1f1f1f"/>
                <w:sz w:val="24"/>
                <w:szCs w:val="24"/>
              </w:rPr>
            </w:pPr>
            <w:r w:rsidDel="00000000" w:rsidR="00000000" w:rsidRPr="00000000">
              <w:rPr>
                <w:rtl w:val="0"/>
              </w:rPr>
            </w:r>
          </w:p>
        </w:tc>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FB">
            <w:pPr>
              <w:widowControl w:val="0"/>
              <w:spacing w:after="0" w:line="240" w:lineRule="auto"/>
              <w:jc w:val="center"/>
              <w:rPr>
                <w:color w:val="1f1f1f"/>
                <w:sz w:val="24"/>
                <w:szCs w:val="24"/>
              </w:rPr>
            </w:pPr>
            <w:r w:rsidDel="00000000" w:rsidR="00000000" w:rsidRPr="00000000">
              <w:rPr>
                <w:rtl w:val="0"/>
              </w:rPr>
            </w:r>
          </w:p>
        </w:tc>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FC">
            <w:pPr>
              <w:widowControl w:val="0"/>
              <w:spacing w:after="0" w:line="240" w:lineRule="auto"/>
              <w:jc w:val="center"/>
              <w:rPr>
                <w:color w:val="1f1f1f"/>
                <w:sz w:val="24"/>
                <w:szCs w:val="24"/>
              </w:rPr>
            </w:pPr>
            <w:r w:rsidDel="00000000" w:rsidR="00000000" w:rsidRPr="00000000">
              <w:rPr>
                <w:rtl w:val="0"/>
              </w:rPr>
            </w:r>
          </w:p>
        </w:tc>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FD">
            <w:pPr>
              <w:widowControl w:val="0"/>
              <w:spacing w:after="0" w:line="240" w:lineRule="auto"/>
              <w:jc w:val="center"/>
              <w:rPr>
                <w:color w:val="1f1f1f"/>
                <w:sz w:val="24"/>
                <w:szCs w:val="24"/>
              </w:rPr>
            </w:pPr>
            <w:r w:rsidDel="00000000" w:rsidR="00000000" w:rsidRPr="00000000">
              <w:rPr>
                <w:color w:val="1f1f1f"/>
                <w:sz w:val="24"/>
                <w:szCs w:val="24"/>
                <w:rtl w:val="0"/>
              </w:rPr>
              <w:t xml:space="preserve">(0.002)</w:t>
            </w:r>
          </w:p>
        </w:tc>
      </w:tr>
      <w:tr>
        <w:trPr>
          <w:cantSplit w:val="0"/>
          <w:trHeight w:val="144" w:hRule="atLeast"/>
          <w:tblHeader w:val="0"/>
        </w:trPr>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1FE">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Estatísticas de Ajuste</w:t>
            </w:r>
            <w:r w:rsidDel="00000000" w:rsidR="00000000" w:rsidRPr="00000000">
              <w:rPr>
                <w:rtl w:val="0"/>
              </w:rPr>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1FF">
            <w:pPr>
              <w:widowControl w:val="0"/>
              <w:spacing w:after="0" w:line="240" w:lineRule="auto"/>
              <w:jc w:val="both"/>
              <w:rPr>
                <w:color w:val="1f1f1f"/>
                <w:sz w:val="24"/>
                <w:szCs w:val="24"/>
              </w:rPr>
            </w:pPr>
            <w:r w:rsidDel="00000000" w:rsidR="00000000" w:rsidRPr="00000000">
              <w:rPr>
                <w:rtl w:val="0"/>
              </w:rPr>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200">
            <w:pPr>
              <w:widowControl w:val="0"/>
              <w:spacing w:after="0" w:line="240" w:lineRule="auto"/>
              <w:jc w:val="both"/>
              <w:rPr>
                <w:color w:val="1f1f1f"/>
                <w:sz w:val="24"/>
                <w:szCs w:val="24"/>
              </w:rPr>
            </w:pPr>
            <w:r w:rsidDel="00000000" w:rsidR="00000000" w:rsidRPr="00000000">
              <w:rPr>
                <w:rtl w:val="0"/>
              </w:rPr>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201">
            <w:pPr>
              <w:widowControl w:val="0"/>
              <w:spacing w:after="0" w:line="240" w:lineRule="auto"/>
              <w:jc w:val="both"/>
              <w:rPr>
                <w:color w:val="1f1f1f"/>
                <w:sz w:val="24"/>
                <w:szCs w:val="24"/>
              </w:rPr>
            </w:pPr>
            <w:r w:rsidDel="00000000" w:rsidR="00000000" w:rsidRPr="00000000">
              <w:rPr>
                <w:rtl w:val="0"/>
              </w:rPr>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202">
            <w:pPr>
              <w:widowControl w:val="0"/>
              <w:spacing w:after="0" w:line="240" w:lineRule="auto"/>
              <w:jc w:val="both"/>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203">
            <w:pPr>
              <w:widowControl w:val="0"/>
              <w:spacing w:after="0" w:line="240" w:lineRule="auto"/>
              <w:jc w:val="both"/>
              <w:rPr>
                <w:color w:val="1f1f1f"/>
                <w:sz w:val="24"/>
                <w:szCs w:val="24"/>
              </w:rPr>
            </w:pPr>
            <w:r w:rsidDel="00000000" w:rsidR="00000000" w:rsidRPr="00000000">
              <w:rPr>
                <w:color w:val="1f1f1f"/>
                <w:sz w:val="24"/>
                <w:szCs w:val="24"/>
                <w:rtl w:val="0"/>
              </w:rPr>
              <w:t xml:space="preserve">    Tamanho da Amostra (</w:t>
            </w:r>
            <w:r w:rsidDel="00000000" w:rsidR="00000000" w:rsidRPr="00000000">
              <w:rPr>
                <w:i w:val="1"/>
                <w:iCs w:val="1"/>
                <w:color w:val="1f1f1f"/>
                <w:sz w:val="24"/>
                <w:szCs w:val="24"/>
                <w:rtl w:val="0"/>
              </w:rPr>
              <w:t xml:space="preserve">N</w:t>
            </w:r>
            <w:r w:rsidDel="00000000" w:rsidR="00000000" w:rsidRPr="00000000">
              <w:rPr>
                <w:color w:val="1f1f1f"/>
                <w:sz w:val="24"/>
                <w:szCs w:val="24"/>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0204">
            <w:pPr>
              <w:widowControl w:val="0"/>
              <w:spacing w:after="0" w:line="240" w:lineRule="auto"/>
              <w:jc w:val="center"/>
              <w:rPr>
                <w:color w:val="1f1f1f"/>
                <w:sz w:val="24"/>
                <w:szCs w:val="24"/>
              </w:rPr>
            </w:pPr>
            <w:r w:rsidDel="00000000" w:rsidR="00000000" w:rsidRPr="00000000">
              <w:rPr>
                <w:color w:val="1f1f1f"/>
                <w:sz w:val="24"/>
                <w:szCs w:val="24"/>
                <w:rtl w:val="0"/>
              </w:rPr>
              <w:t xml:space="preserve">496</w:t>
            </w:r>
          </w:p>
        </w:tc>
        <w:tc>
          <w:tcPr>
            <w:tcMar>
              <w:top w:w="0.0" w:type="dxa"/>
              <w:left w:w="0.0" w:type="dxa"/>
              <w:bottom w:w="0.0" w:type="dxa"/>
              <w:right w:w="0.0" w:type="dxa"/>
            </w:tcMar>
            <w:vAlign w:val="center"/>
          </w:tcPr>
          <w:p w:rsidR="00000000" w:rsidDel="00000000" w:rsidP="00000000" w:rsidRDefault="00000000" w:rsidRPr="00000000" w14:paraId="00000205">
            <w:pPr>
              <w:widowControl w:val="0"/>
              <w:spacing w:after="0" w:line="240" w:lineRule="auto"/>
              <w:jc w:val="center"/>
              <w:rPr>
                <w:color w:val="1f1f1f"/>
                <w:sz w:val="24"/>
                <w:szCs w:val="24"/>
              </w:rPr>
            </w:pPr>
            <w:r w:rsidDel="00000000" w:rsidR="00000000" w:rsidRPr="00000000">
              <w:rPr>
                <w:color w:val="1f1f1f"/>
                <w:sz w:val="24"/>
                <w:szCs w:val="24"/>
                <w:rtl w:val="0"/>
              </w:rPr>
              <w:t xml:space="preserve">496</w:t>
            </w:r>
          </w:p>
        </w:tc>
        <w:tc>
          <w:tcPr>
            <w:tcMar>
              <w:top w:w="0.0" w:type="dxa"/>
              <w:left w:w="0.0" w:type="dxa"/>
              <w:bottom w:w="0.0" w:type="dxa"/>
              <w:right w:w="0.0" w:type="dxa"/>
            </w:tcMar>
            <w:vAlign w:val="center"/>
          </w:tcPr>
          <w:p w:rsidR="00000000" w:rsidDel="00000000" w:rsidP="00000000" w:rsidRDefault="00000000" w:rsidRPr="00000000" w14:paraId="00000206">
            <w:pPr>
              <w:widowControl w:val="0"/>
              <w:spacing w:after="0" w:line="240" w:lineRule="auto"/>
              <w:jc w:val="center"/>
              <w:rPr>
                <w:color w:val="1f1f1f"/>
                <w:sz w:val="24"/>
                <w:szCs w:val="24"/>
              </w:rPr>
            </w:pPr>
            <w:r w:rsidDel="00000000" w:rsidR="00000000" w:rsidRPr="00000000">
              <w:rPr>
                <w:color w:val="1f1f1f"/>
                <w:sz w:val="24"/>
                <w:szCs w:val="24"/>
                <w:rtl w:val="0"/>
              </w:rPr>
              <w:t xml:space="preserve">496</w:t>
            </w:r>
          </w:p>
        </w:tc>
        <w:tc>
          <w:tcPr>
            <w:tcMar>
              <w:top w:w="0.0" w:type="dxa"/>
              <w:left w:w="0.0" w:type="dxa"/>
              <w:bottom w:w="0.0" w:type="dxa"/>
              <w:right w:w="0.0" w:type="dxa"/>
            </w:tcMar>
            <w:vAlign w:val="center"/>
          </w:tcPr>
          <w:p w:rsidR="00000000" w:rsidDel="00000000" w:rsidP="00000000" w:rsidRDefault="00000000" w:rsidRPr="00000000" w14:paraId="00000207">
            <w:pPr>
              <w:widowControl w:val="0"/>
              <w:spacing w:after="0" w:line="240" w:lineRule="auto"/>
              <w:jc w:val="center"/>
              <w:rPr>
                <w:color w:val="1f1f1f"/>
                <w:sz w:val="24"/>
                <w:szCs w:val="24"/>
              </w:rPr>
            </w:pPr>
            <w:r w:rsidDel="00000000" w:rsidR="00000000" w:rsidRPr="00000000">
              <w:rPr>
                <w:color w:val="1f1f1f"/>
                <w:sz w:val="24"/>
                <w:szCs w:val="24"/>
                <w:rtl w:val="0"/>
              </w:rPr>
              <w:t xml:space="preserve">496</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208">
            <w:pPr>
              <w:widowControl w:val="0"/>
              <w:spacing w:after="0" w:line="240" w:lineRule="auto"/>
              <w:jc w:val="both"/>
              <w:rPr>
                <w:color w:val="1f1f1f"/>
                <w:sz w:val="24"/>
                <w:szCs w:val="24"/>
              </w:rPr>
            </w:pPr>
            <w:r w:rsidDel="00000000" w:rsidR="00000000" w:rsidRPr="00000000">
              <w:rPr>
                <w:color w:val="1f1f1f"/>
                <w:sz w:val="24"/>
                <w:szCs w:val="24"/>
                <w:rtl w:val="0"/>
              </w:rPr>
              <w:t xml:space="preserve">    Deviance</w:t>
            </w:r>
          </w:p>
        </w:tc>
        <w:tc>
          <w:tcPr>
            <w:tcMar>
              <w:top w:w="0.0" w:type="dxa"/>
              <w:left w:w="0.0" w:type="dxa"/>
              <w:bottom w:w="0.0" w:type="dxa"/>
              <w:right w:w="0.0" w:type="dxa"/>
            </w:tcMar>
            <w:vAlign w:val="center"/>
          </w:tcPr>
          <w:p w:rsidR="00000000" w:rsidDel="00000000" w:rsidP="00000000" w:rsidRDefault="00000000" w:rsidRPr="00000000" w14:paraId="00000209">
            <w:pPr>
              <w:widowControl w:val="0"/>
              <w:spacing w:after="0" w:line="240" w:lineRule="auto"/>
              <w:jc w:val="center"/>
              <w:rPr>
                <w:color w:val="1f1f1f"/>
                <w:sz w:val="24"/>
                <w:szCs w:val="24"/>
              </w:rPr>
            </w:pPr>
            <w:r w:rsidDel="00000000" w:rsidR="00000000" w:rsidRPr="00000000">
              <w:rPr>
                <w:color w:val="1f1f1f"/>
                <w:sz w:val="24"/>
                <w:szCs w:val="24"/>
                <w:rtl w:val="0"/>
              </w:rPr>
              <w:t xml:space="preserve">239.143</w:t>
            </w:r>
          </w:p>
        </w:tc>
        <w:tc>
          <w:tcPr>
            <w:tcMar>
              <w:top w:w="0.0" w:type="dxa"/>
              <w:left w:w="0.0" w:type="dxa"/>
              <w:bottom w:w="0.0" w:type="dxa"/>
              <w:right w:w="0.0" w:type="dxa"/>
            </w:tcMar>
            <w:vAlign w:val="center"/>
          </w:tcPr>
          <w:p w:rsidR="00000000" w:rsidDel="00000000" w:rsidP="00000000" w:rsidRDefault="00000000" w:rsidRPr="00000000" w14:paraId="0000020A">
            <w:pPr>
              <w:widowControl w:val="0"/>
              <w:spacing w:after="0" w:line="240" w:lineRule="auto"/>
              <w:jc w:val="center"/>
              <w:rPr>
                <w:color w:val="1f1f1f"/>
                <w:sz w:val="24"/>
                <w:szCs w:val="24"/>
              </w:rPr>
            </w:pPr>
            <w:r w:rsidDel="00000000" w:rsidR="00000000" w:rsidRPr="00000000">
              <w:rPr>
                <w:color w:val="1f1f1f"/>
                <w:sz w:val="24"/>
                <w:szCs w:val="24"/>
                <w:rtl w:val="0"/>
              </w:rPr>
              <w:t xml:space="preserve">235.383</w:t>
            </w:r>
          </w:p>
        </w:tc>
        <w:tc>
          <w:tcPr>
            <w:tcMar>
              <w:top w:w="0.0" w:type="dxa"/>
              <w:left w:w="0.0" w:type="dxa"/>
              <w:bottom w:w="0.0" w:type="dxa"/>
              <w:right w:w="0.0" w:type="dxa"/>
            </w:tcMar>
            <w:vAlign w:val="center"/>
          </w:tcPr>
          <w:p w:rsidR="00000000" w:rsidDel="00000000" w:rsidP="00000000" w:rsidRDefault="00000000" w:rsidRPr="00000000" w14:paraId="0000020B">
            <w:pPr>
              <w:widowControl w:val="0"/>
              <w:spacing w:after="0" w:line="240" w:lineRule="auto"/>
              <w:jc w:val="center"/>
              <w:rPr>
                <w:color w:val="1f1f1f"/>
                <w:sz w:val="24"/>
                <w:szCs w:val="24"/>
              </w:rPr>
            </w:pPr>
            <w:r w:rsidDel="00000000" w:rsidR="00000000" w:rsidRPr="00000000">
              <w:rPr>
                <w:color w:val="1f1f1f"/>
                <w:sz w:val="24"/>
                <w:szCs w:val="24"/>
                <w:rtl w:val="0"/>
              </w:rPr>
              <w:t xml:space="preserve">234.409</w:t>
            </w:r>
          </w:p>
        </w:tc>
        <w:tc>
          <w:tcPr>
            <w:tcMar>
              <w:top w:w="0.0" w:type="dxa"/>
              <w:left w:w="0.0" w:type="dxa"/>
              <w:bottom w:w="0.0" w:type="dxa"/>
              <w:right w:w="0.0" w:type="dxa"/>
            </w:tcMar>
            <w:vAlign w:val="center"/>
          </w:tcPr>
          <w:p w:rsidR="00000000" w:rsidDel="00000000" w:rsidP="00000000" w:rsidRDefault="00000000" w:rsidRPr="00000000" w14:paraId="0000020C">
            <w:pPr>
              <w:widowControl w:val="0"/>
              <w:spacing w:after="0" w:line="240" w:lineRule="auto"/>
              <w:jc w:val="center"/>
              <w:rPr>
                <w:color w:val="1f1f1f"/>
                <w:sz w:val="24"/>
                <w:szCs w:val="24"/>
              </w:rPr>
            </w:pPr>
            <w:r w:rsidDel="00000000" w:rsidR="00000000" w:rsidRPr="00000000">
              <w:rPr>
                <w:color w:val="1f1f1f"/>
                <w:sz w:val="24"/>
                <w:szCs w:val="24"/>
                <w:rtl w:val="0"/>
              </w:rPr>
              <w:t xml:space="preserve">232.068</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20D">
            <w:pPr>
              <w:widowControl w:val="0"/>
              <w:spacing w:after="0" w:line="240" w:lineRule="auto"/>
              <w:jc w:val="both"/>
              <w:rPr>
                <w:color w:val="1f1f1f"/>
                <w:sz w:val="24"/>
                <w:szCs w:val="24"/>
              </w:rPr>
            </w:pPr>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R</w:t>
            </w:r>
            <w:r w:rsidDel="00000000" w:rsidR="00000000" w:rsidRPr="00000000">
              <w:rPr>
                <w:color w:val="1f1f1f"/>
                <w:sz w:val="24"/>
                <w:szCs w:val="24"/>
                <w:rtl w:val="0"/>
              </w:rPr>
              <w:t xml:space="preserve">²</w:t>
            </w:r>
          </w:p>
        </w:tc>
        <w:tc>
          <w:tcPr>
            <w:tcMar>
              <w:top w:w="0.0" w:type="dxa"/>
              <w:left w:w="0.0" w:type="dxa"/>
              <w:bottom w:w="0.0" w:type="dxa"/>
              <w:right w:w="0.0" w:type="dxa"/>
            </w:tcMar>
            <w:vAlign w:val="center"/>
          </w:tcPr>
          <w:p w:rsidR="00000000" w:rsidDel="00000000" w:rsidP="00000000" w:rsidRDefault="00000000" w:rsidRPr="00000000" w14:paraId="0000020E">
            <w:pPr>
              <w:widowControl w:val="0"/>
              <w:spacing w:after="0" w:line="240" w:lineRule="auto"/>
              <w:jc w:val="center"/>
              <w:rPr>
                <w:color w:val="1f1f1f"/>
                <w:sz w:val="24"/>
                <w:szCs w:val="24"/>
              </w:rPr>
            </w:pPr>
            <w:r w:rsidDel="00000000" w:rsidR="00000000" w:rsidRPr="00000000">
              <w:rPr>
                <w:color w:val="1f1f1f"/>
                <w:sz w:val="24"/>
                <w:szCs w:val="24"/>
                <w:rtl w:val="0"/>
              </w:rPr>
              <w:t xml:space="preserve">.032</w:t>
            </w:r>
          </w:p>
        </w:tc>
        <w:tc>
          <w:tcPr>
            <w:tcMar>
              <w:top w:w="0.0" w:type="dxa"/>
              <w:left w:w="0.0" w:type="dxa"/>
              <w:bottom w:w="0.0" w:type="dxa"/>
              <w:right w:w="0.0" w:type="dxa"/>
            </w:tcMar>
            <w:vAlign w:val="center"/>
          </w:tcPr>
          <w:p w:rsidR="00000000" w:rsidDel="00000000" w:rsidP="00000000" w:rsidRDefault="00000000" w:rsidRPr="00000000" w14:paraId="0000020F">
            <w:pPr>
              <w:widowControl w:val="0"/>
              <w:spacing w:after="0" w:line="240" w:lineRule="auto"/>
              <w:jc w:val="center"/>
              <w:rPr>
                <w:color w:val="1f1f1f"/>
                <w:sz w:val="24"/>
                <w:szCs w:val="24"/>
              </w:rPr>
            </w:pPr>
            <w:r w:rsidDel="00000000" w:rsidR="00000000" w:rsidRPr="00000000">
              <w:rPr>
                <w:color w:val="1f1f1f"/>
                <w:sz w:val="24"/>
                <w:szCs w:val="24"/>
                <w:rtl w:val="0"/>
              </w:rPr>
              <w:t xml:space="preserve">.048</w:t>
            </w:r>
          </w:p>
        </w:tc>
        <w:tc>
          <w:tcPr>
            <w:tcMar>
              <w:top w:w="0.0" w:type="dxa"/>
              <w:left w:w="0.0" w:type="dxa"/>
              <w:bottom w:w="0.0" w:type="dxa"/>
              <w:right w:w="0.0" w:type="dxa"/>
            </w:tcMar>
            <w:vAlign w:val="center"/>
          </w:tcPr>
          <w:p w:rsidR="00000000" w:rsidDel="00000000" w:rsidP="00000000" w:rsidRDefault="00000000" w:rsidRPr="00000000" w14:paraId="00000210">
            <w:pPr>
              <w:widowControl w:val="0"/>
              <w:spacing w:after="0" w:line="240" w:lineRule="auto"/>
              <w:jc w:val="center"/>
              <w:rPr>
                <w:color w:val="1f1f1f"/>
                <w:sz w:val="24"/>
                <w:szCs w:val="24"/>
              </w:rPr>
            </w:pPr>
            <w:r w:rsidDel="00000000" w:rsidR="00000000" w:rsidRPr="00000000">
              <w:rPr>
                <w:color w:val="1f1f1f"/>
                <w:sz w:val="24"/>
                <w:szCs w:val="24"/>
                <w:rtl w:val="0"/>
              </w:rPr>
              <w:t xml:space="preserve">.052</w:t>
            </w:r>
          </w:p>
        </w:tc>
        <w:tc>
          <w:tcPr>
            <w:tcMar>
              <w:top w:w="0.0" w:type="dxa"/>
              <w:left w:w="0.0" w:type="dxa"/>
              <w:bottom w:w="0.0" w:type="dxa"/>
              <w:right w:w="0.0" w:type="dxa"/>
            </w:tcMar>
            <w:vAlign w:val="center"/>
          </w:tcPr>
          <w:p w:rsidR="00000000" w:rsidDel="00000000" w:rsidP="00000000" w:rsidRDefault="00000000" w:rsidRPr="00000000" w14:paraId="00000211">
            <w:pPr>
              <w:widowControl w:val="0"/>
              <w:spacing w:after="0" w:line="240" w:lineRule="auto"/>
              <w:jc w:val="center"/>
              <w:rPr>
                <w:color w:val="1f1f1f"/>
                <w:sz w:val="24"/>
                <w:szCs w:val="24"/>
              </w:rPr>
            </w:pPr>
            <w:r w:rsidDel="00000000" w:rsidR="00000000" w:rsidRPr="00000000">
              <w:rPr>
                <w:color w:val="1f1f1f"/>
                <w:sz w:val="24"/>
                <w:szCs w:val="24"/>
                <w:rtl w:val="0"/>
              </w:rPr>
              <w:t xml:space="preserve">.061</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212">
            <w:pPr>
              <w:widowControl w:val="0"/>
              <w:spacing w:after="0" w:line="240" w:lineRule="auto"/>
              <w:jc w:val="both"/>
              <w:rPr>
                <w:color w:val="1f1f1f"/>
                <w:sz w:val="24"/>
                <w:szCs w:val="24"/>
              </w:rPr>
            </w:pPr>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R</w:t>
            </w:r>
            <w:r w:rsidDel="00000000" w:rsidR="00000000" w:rsidRPr="00000000">
              <w:rPr>
                <w:color w:val="1f1f1f"/>
                <w:sz w:val="24"/>
                <w:szCs w:val="24"/>
                <w:rtl w:val="0"/>
              </w:rPr>
              <w:t xml:space="preserve">² Ajustado</w:t>
            </w:r>
          </w:p>
        </w:tc>
        <w:tc>
          <w:tcPr>
            <w:tcMar>
              <w:top w:w="0.0" w:type="dxa"/>
              <w:left w:w="0.0" w:type="dxa"/>
              <w:bottom w:w="0.0" w:type="dxa"/>
              <w:right w:w="0.0" w:type="dxa"/>
            </w:tcMar>
            <w:vAlign w:val="center"/>
          </w:tcPr>
          <w:p w:rsidR="00000000" w:rsidDel="00000000" w:rsidP="00000000" w:rsidRDefault="00000000" w:rsidRPr="00000000" w14:paraId="00000213">
            <w:pPr>
              <w:widowControl w:val="0"/>
              <w:spacing w:after="0" w:line="240" w:lineRule="auto"/>
              <w:jc w:val="center"/>
              <w:rPr>
                <w:color w:val="1f1f1f"/>
                <w:sz w:val="24"/>
                <w:szCs w:val="24"/>
              </w:rPr>
            </w:pPr>
            <w:r w:rsidDel="00000000" w:rsidR="00000000" w:rsidRPr="00000000">
              <w:rPr>
                <w:color w:val="1f1f1f"/>
                <w:sz w:val="24"/>
                <w:szCs w:val="24"/>
                <w:rtl w:val="0"/>
              </w:rPr>
              <w:t xml:space="preserve">.012</w:t>
            </w:r>
          </w:p>
        </w:tc>
        <w:tc>
          <w:tcPr>
            <w:tcMar>
              <w:top w:w="0.0" w:type="dxa"/>
              <w:left w:w="0.0" w:type="dxa"/>
              <w:bottom w:w="0.0" w:type="dxa"/>
              <w:right w:w="0.0" w:type="dxa"/>
            </w:tcMar>
            <w:vAlign w:val="center"/>
          </w:tcPr>
          <w:p w:rsidR="00000000" w:rsidDel="00000000" w:rsidP="00000000" w:rsidRDefault="00000000" w:rsidRPr="00000000" w14:paraId="00000214">
            <w:pPr>
              <w:widowControl w:val="0"/>
              <w:spacing w:after="0" w:line="240" w:lineRule="auto"/>
              <w:jc w:val="center"/>
              <w:rPr>
                <w:color w:val="1f1f1f"/>
                <w:sz w:val="24"/>
                <w:szCs w:val="24"/>
              </w:rPr>
            </w:pPr>
            <w:r w:rsidDel="00000000" w:rsidR="00000000" w:rsidRPr="00000000">
              <w:rPr>
                <w:color w:val="1f1f1f"/>
                <w:sz w:val="24"/>
                <w:szCs w:val="24"/>
                <w:rtl w:val="0"/>
              </w:rPr>
              <w:t xml:space="preserve">.011</w:t>
            </w:r>
          </w:p>
        </w:tc>
        <w:tc>
          <w:tcPr>
            <w:tcMar>
              <w:top w:w="0.0" w:type="dxa"/>
              <w:left w:w="0.0" w:type="dxa"/>
              <w:bottom w:w="0.0" w:type="dxa"/>
              <w:right w:w="0.0" w:type="dxa"/>
            </w:tcMar>
            <w:vAlign w:val="center"/>
          </w:tcPr>
          <w:p w:rsidR="00000000" w:rsidDel="00000000" w:rsidP="00000000" w:rsidRDefault="00000000" w:rsidRPr="00000000" w14:paraId="00000215">
            <w:pPr>
              <w:widowControl w:val="0"/>
              <w:spacing w:after="0" w:line="240" w:lineRule="auto"/>
              <w:jc w:val="center"/>
              <w:rPr>
                <w:color w:val="1f1f1f"/>
                <w:sz w:val="24"/>
                <w:szCs w:val="24"/>
              </w:rPr>
            </w:pPr>
            <w:r w:rsidDel="00000000" w:rsidR="00000000" w:rsidRPr="00000000">
              <w:rPr>
                <w:color w:val="1f1f1f"/>
                <w:sz w:val="24"/>
                <w:szCs w:val="24"/>
                <w:rtl w:val="0"/>
              </w:rPr>
              <w:t xml:space="preserve">.007</w:t>
            </w:r>
          </w:p>
        </w:tc>
        <w:tc>
          <w:tcPr>
            <w:tcMar>
              <w:top w:w="0.0" w:type="dxa"/>
              <w:left w:w="0.0" w:type="dxa"/>
              <w:bottom w:w="0.0" w:type="dxa"/>
              <w:right w:w="0.0" w:type="dxa"/>
            </w:tcMar>
            <w:vAlign w:val="center"/>
          </w:tcPr>
          <w:p w:rsidR="00000000" w:rsidDel="00000000" w:rsidP="00000000" w:rsidRDefault="00000000" w:rsidRPr="00000000" w14:paraId="00000216">
            <w:pPr>
              <w:widowControl w:val="0"/>
              <w:spacing w:after="0" w:line="240" w:lineRule="auto"/>
              <w:jc w:val="center"/>
              <w:rPr>
                <w:color w:val="1f1f1f"/>
                <w:sz w:val="24"/>
                <w:szCs w:val="24"/>
              </w:rPr>
            </w:pPr>
            <w:r w:rsidDel="00000000" w:rsidR="00000000" w:rsidRPr="00000000">
              <w:rPr>
                <w:color w:val="1f1f1f"/>
                <w:sz w:val="24"/>
                <w:szCs w:val="24"/>
                <w:rtl w:val="0"/>
              </w:rPr>
              <w:t xml:space="preserve">.012</w:t>
            </w:r>
          </w:p>
        </w:tc>
      </w:tr>
      <w:tr>
        <w:trPr>
          <w:cantSplit w:val="0"/>
          <w:trHeight w:val="144" w:hRule="atLeast"/>
          <w:tblHeader w:val="0"/>
        </w:trPr>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217">
            <w:pPr>
              <w:widowControl w:val="0"/>
              <w:spacing w:after="0" w:line="240" w:lineRule="auto"/>
              <w:jc w:val="both"/>
              <w:rPr>
                <w:color w:val="1f1f1f"/>
                <w:sz w:val="24"/>
                <w:szCs w:val="24"/>
              </w:rPr>
            </w:pPr>
            <w:r w:rsidDel="00000000" w:rsidR="00000000" w:rsidRPr="00000000">
              <w:rPr>
                <w:color w:val="1f1f1f"/>
                <w:sz w:val="24"/>
                <w:szCs w:val="24"/>
                <w:rtl w:val="0"/>
              </w:rPr>
              <w:t xml:space="preserve">    Graus de Liberdade Residuais</w:t>
            </w:r>
          </w:p>
        </w:tc>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218">
            <w:pPr>
              <w:widowControl w:val="0"/>
              <w:spacing w:after="0" w:line="240" w:lineRule="auto"/>
              <w:jc w:val="center"/>
              <w:rPr>
                <w:color w:val="1f1f1f"/>
                <w:sz w:val="24"/>
                <w:szCs w:val="24"/>
              </w:rPr>
            </w:pPr>
            <w:r w:rsidDel="00000000" w:rsidR="00000000" w:rsidRPr="00000000">
              <w:rPr>
                <w:color w:val="1f1f1f"/>
                <w:sz w:val="24"/>
                <w:szCs w:val="24"/>
                <w:rtl w:val="0"/>
              </w:rPr>
              <w:t xml:space="preserve">490</w:t>
            </w:r>
          </w:p>
        </w:tc>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219">
            <w:pPr>
              <w:widowControl w:val="0"/>
              <w:spacing w:after="0" w:line="240" w:lineRule="auto"/>
              <w:jc w:val="center"/>
              <w:rPr>
                <w:color w:val="1f1f1f"/>
                <w:sz w:val="24"/>
                <w:szCs w:val="24"/>
              </w:rPr>
            </w:pPr>
            <w:r w:rsidDel="00000000" w:rsidR="00000000" w:rsidRPr="00000000">
              <w:rPr>
                <w:color w:val="1f1f1f"/>
                <w:sz w:val="24"/>
                <w:szCs w:val="24"/>
                <w:rtl w:val="0"/>
              </w:rPr>
              <w:t xml:space="preserve">486</w:t>
            </w:r>
          </w:p>
        </w:tc>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21A">
            <w:pPr>
              <w:widowControl w:val="0"/>
              <w:spacing w:after="0" w:line="240" w:lineRule="auto"/>
              <w:jc w:val="center"/>
              <w:rPr>
                <w:color w:val="1f1f1f"/>
                <w:sz w:val="24"/>
                <w:szCs w:val="24"/>
              </w:rPr>
            </w:pPr>
            <w:r w:rsidDel="00000000" w:rsidR="00000000" w:rsidRPr="00000000">
              <w:rPr>
                <w:color w:val="1f1f1f"/>
                <w:sz w:val="24"/>
                <w:szCs w:val="24"/>
                <w:rtl w:val="0"/>
              </w:rPr>
              <w:t xml:space="preserve">484</w:t>
            </w:r>
          </w:p>
        </w:tc>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21B">
            <w:pPr>
              <w:widowControl w:val="0"/>
              <w:spacing w:after="0" w:line="240" w:lineRule="auto"/>
              <w:jc w:val="center"/>
              <w:rPr>
                <w:color w:val="1f1f1f"/>
                <w:sz w:val="24"/>
                <w:szCs w:val="24"/>
              </w:rPr>
            </w:pPr>
            <w:r w:rsidDel="00000000" w:rsidR="00000000" w:rsidRPr="00000000">
              <w:rPr>
                <w:color w:val="1f1f1f"/>
                <w:sz w:val="24"/>
                <w:szCs w:val="24"/>
                <w:rtl w:val="0"/>
              </w:rPr>
              <w:t xml:space="preserve">483</w:t>
            </w:r>
          </w:p>
        </w:tc>
      </w:tr>
      <w:tr>
        <w:trPr>
          <w:cantSplit w:val="0"/>
          <w:trHeight w:val="240" w:hRule="atLeast"/>
          <w:tblHeader w:val="0"/>
        </w:trPr>
        <w:tc>
          <w:tcPr>
            <w:gridSpan w:val="5"/>
            <w:tcMar>
              <w:top w:w="0.0" w:type="dxa"/>
              <w:left w:w="0.0" w:type="dxa"/>
              <w:bottom w:w="0.0" w:type="dxa"/>
              <w:right w:w="0.0" w:type="dxa"/>
            </w:tcMar>
            <w:vAlign w:val="center"/>
          </w:tcPr>
          <w:p w:rsidR="00000000" w:rsidDel="00000000" w:rsidP="00000000" w:rsidRDefault="00000000" w:rsidRPr="00000000" w14:paraId="0000021C">
            <w:pPr>
              <w:widowControl w:val="0"/>
              <w:spacing w:after="0" w:line="240" w:lineRule="auto"/>
              <w:jc w:val="both"/>
              <w:rPr>
                <w:color w:val="1f1f1f"/>
              </w:rPr>
            </w:pPr>
            <w:r w:rsidDel="00000000" w:rsidR="00000000" w:rsidRPr="00000000">
              <w:rPr>
                <w:color w:val="1f1f1f"/>
                <w:rtl w:val="0"/>
              </w:rPr>
              <w:t xml:space="preserve">Nota. Os valores representam as Razões de Taxa de Recorrência (</w:t>
            </w:r>
            <w:r w:rsidDel="00000000" w:rsidR="00000000" w:rsidRPr="00000000">
              <w:rPr>
                <w:i w:val="1"/>
                <w:iCs w:val="1"/>
                <w:color w:val="1f1f1f"/>
                <w:rtl w:val="0"/>
              </w:rPr>
              <w:t xml:space="preserve">Incidence Rate Ratios</w:t>
            </w:r>
            <w:r w:rsidDel="00000000" w:rsidR="00000000" w:rsidRPr="00000000">
              <w:rPr>
                <w:color w:val="1f1f1f"/>
                <w:rtl w:val="0"/>
              </w:rPr>
              <w:t xml:space="preserve">)</w:t>
            </w:r>
            <w:r w:rsidDel="00000000" w:rsidR="00000000" w:rsidRPr="00000000">
              <w:rPr>
                <w:color w:val="1f1f1f"/>
                <w:rtl w:val="0"/>
              </w:rPr>
              <w:t xml:space="preserve"> - IRR), indicando o efeito multiplicativo sobre a frequência esperada de participação em chamadas. Erros padrão das estimativas logarítmicas (</w:t>
            </w:r>
            <w:r w:rsidDel="00000000" w:rsidR="00000000" w:rsidRPr="00000000">
              <w:rPr>
                <w:i w:val="1"/>
                <w:iCs w:val="1"/>
                <w:color w:val="1f1f1f"/>
                <w:rtl w:val="0"/>
              </w:rPr>
              <w:t xml:space="preserve">B</w:t>
            </w:r>
            <w:r w:rsidDel="00000000" w:rsidR="00000000" w:rsidRPr="00000000">
              <w:rPr>
                <w:color w:val="1f1f1f"/>
                <w:rtl w:val="0"/>
              </w:rPr>
              <w:t xml:space="preserve">) estão apresentados entre parênteses abaixo dos coeficientes. </w:t>
            </w:r>
          </w:p>
          <w:p w:rsidR="00000000" w:rsidDel="00000000" w:rsidP="00000000" w:rsidRDefault="00000000" w:rsidRPr="00000000" w14:paraId="0000021D">
            <w:pPr>
              <w:widowControl w:val="0"/>
              <w:spacing w:after="0" w:line="240" w:lineRule="auto"/>
              <w:jc w:val="both"/>
              <w:rPr>
                <w:color w:val="1f1f1f"/>
              </w:rPr>
            </w:pPr>
            <w:r w:rsidDel="00000000" w:rsidR="00000000" w:rsidRPr="00000000">
              <w:rPr>
                <w:color w:val="1f1f1f"/>
                <w:rtl w:val="0"/>
              </w:rPr>
              <w:t xml:space="preserve">*</w:t>
            </w:r>
            <w:r w:rsidDel="00000000" w:rsidR="00000000" w:rsidRPr="00000000">
              <w:rPr>
                <w:i w:val="1"/>
                <w:iCs w:val="1"/>
                <w:color w:val="1f1f1f"/>
                <w:rtl w:val="0"/>
              </w:rPr>
              <w:t xml:space="preserve">p</w:t>
            </w:r>
            <w:r w:rsidDel="00000000" w:rsidR="00000000" w:rsidRPr="00000000">
              <w:rPr>
                <w:color w:val="1f1f1f"/>
                <w:rtl w:val="0"/>
              </w:rPr>
              <w:t xml:space="preserve"> &lt; .05. **</w:t>
            </w:r>
            <w:r w:rsidDel="00000000" w:rsidR="00000000" w:rsidRPr="00000000">
              <w:rPr>
                <w:i w:val="1"/>
                <w:iCs w:val="1"/>
                <w:color w:val="1f1f1f"/>
                <w:rtl w:val="0"/>
              </w:rPr>
              <w:t xml:space="preserve">p</w:t>
            </w:r>
            <w:r w:rsidDel="00000000" w:rsidR="00000000" w:rsidRPr="00000000">
              <w:rPr>
                <w:color w:val="1f1f1f"/>
                <w:rtl w:val="0"/>
              </w:rPr>
              <w:t xml:space="preserve"> &lt; .01. *** </w:t>
            </w:r>
            <w:r w:rsidDel="00000000" w:rsidR="00000000" w:rsidRPr="00000000">
              <w:rPr>
                <w:i w:val="1"/>
                <w:iCs w:val="1"/>
                <w:color w:val="1f1f1f"/>
                <w:rtl w:val="0"/>
              </w:rPr>
              <w:t xml:space="preserve">p</w:t>
            </w:r>
            <w:r w:rsidDel="00000000" w:rsidR="00000000" w:rsidRPr="00000000">
              <w:rPr>
                <w:color w:val="1f1f1f"/>
                <w:rtl w:val="0"/>
              </w:rPr>
              <w:t xml:space="preserve"> &lt; .001.</w:t>
            </w:r>
          </w:p>
        </w:tc>
      </w:tr>
    </w:tbl>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79345703125" w:line="237.16691493988037" w:lineRule="auto"/>
        <w:ind w:left="0" w:right="42.764892578125"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que os dados mostram, o IGC, proxy frequentemente utilizada para mensurar excelência e prestígio institucional, não apresentou associação estatisticamente significativa com a retenção do pesquisador no PIBIC-EM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379). Em termos estatísticos, pesquisadores vinculados a instituições de IGC alto não exibiram recorrência superior à observada em IES de estrato médio ou sem conceito.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26416015625" w:line="248.30174446105957" w:lineRule="auto"/>
        <w:ind w:left="14.618377685546875" w:right="18.981933593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plano interpretativo, esse distanciamento entre prestígio institucional agregado e fidelização ao programa é compatível </w:t>
      </w:r>
      <w:r w:rsidDel="00000000" w:rsidR="00000000" w:rsidRPr="00000000">
        <w:rPr>
          <w:sz w:val="24"/>
          <w:szCs w:val="24"/>
          <w:rtl w:val="0"/>
        </w:rPr>
        <w:t xml:space="preserve">com as discussões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Oliveira e Bianchetti (2018) sobre o produtivismo acadêmico. Como hipótese explicativa, pode-se considerar que ambientes com forte ancoragem na pós-graduação impõem metas e pressões de tempo que potencialmente reduzem a disponibilidade docente para projetos de longo prazo no ensino médio. </w:t>
      </w:r>
      <w:r w:rsidDel="00000000" w:rsidR="00000000" w:rsidRPr="00000000">
        <w:rPr>
          <w:sz w:val="24"/>
          <w:szCs w:val="24"/>
          <w:rtl w:val="0"/>
        </w:rPr>
        <w:t xml:space="preserve">Neste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enquadramento, os resultados </w:t>
      </w:r>
      <w:r w:rsidDel="00000000" w:rsidR="00000000" w:rsidRPr="00000000">
        <w:rPr>
          <w:sz w:val="24"/>
          <w:szCs w:val="24"/>
          <w:rtl w:val="0"/>
        </w:rPr>
        <w:t xml:space="preserve">aparecem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como mais compatíveis com a literatura que enfatiza o engajamento do orientador do que com uma leitura centrada exclusivamente no IGC institucional.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371856689453" w:lineRule="auto"/>
        <w:ind w:left="15.49102783203125" w:right="18.9892578125" w:firstLine="704.508972167968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Ao analisar concentração de pesquisadores no eixo Sul-Sudeste (Tabela 3) pode ser lida como </w:t>
      </w:r>
      <w:r w:rsidDel="00000000" w:rsidR="00000000" w:rsidRPr="00000000">
        <w:rPr>
          <w:sz w:val="24"/>
          <w:szCs w:val="24"/>
          <w:rtl w:val="0"/>
        </w:rPr>
        <w:t xml:space="preserve">possível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indício de barreiras de entrada, embora essa dimensão não tenha sido testada diretamente neste desenho. Como hipótese explicativa para a recorrência, os resultados sugerem maior sensibilidade a características do perfil do pesquisador e da arquitetura administrativa do vínculo institucional do que à localização regional.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30908203125" w:line="248.30371856689453" w:lineRule="auto"/>
        <w:ind w:left="1.74560546875" w:right="12.4365234375" w:firstLine="718.254394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dados mostram a </w:t>
      </w:r>
      <w:r w:rsidDel="00000000" w:rsidR="00000000" w:rsidRPr="00000000">
        <w:rPr>
          <w:sz w:val="24"/>
          <w:szCs w:val="24"/>
          <w:rtl w:val="0"/>
        </w:rPr>
        <w:t xml:space="preserve">existência de um contraste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relevante em relação às Universidades Federais ao analisar a Tabela 1 em conjunto com o Modelo 4 da tabela Tabela 4. Embora concentrem o maior volume histórico de projetos (34,6% da participação total), as Universidades Federais apresentam menor retenção proporcional (52,9% de participação recorrente e 3,7% de alta recorrência). No modelo inferencial, tomando essa categoria como referência, pesquisadores vinculados a instituições privadas com fins lucrativos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IRR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411,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01), privadas sem fins lucrativos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IRR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279,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01) e IF/CEFET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IRR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182,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05) exibem recorrência esperada mais alta. Em termos interpretativos, esse padrão é compatível com a ideia de que diferenças organizacionais entre ecossistemas institucionais podem estar associadas à continuidade das submissões.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8.30177307128906" w:lineRule="auto"/>
        <w:ind w:left="6.97479248046875" w:right="0.21728515625" w:firstLine="713.02520751953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hipótese explicativa, pode-se considerar que a concorrência interna pelo tempo do pesquisador varia entre os diferentes ecossistemas institucionais. Na universidade pública clássica, a orientação de estudantes do ensino médio pode disputar tempo com demandas da pós-graduação stricto sensu. Nas IES privadas, a recorrência observada (62,1%) pode estar associada, entre outros fatores, a </w:t>
      </w:r>
      <w:r w:rsidDel="00000000" w:rsidR="00000000" w:rsidRPr="00000000">
        <w:rPr>
          <w:sz w:val="24"/>
          <w:szCs w:val="24"/>
          <w:rtl w:val="0"/>
        </w:rPr>
        <w:t xml:space="preserve">estratégias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institucionais de recrutamento discente. Já nos Institutos Federais (58,9% de recorrência), os resultados permanecem compatíveis com a hipótese de que a verticalização do ensino, amparada pela Lei nº 11.892/2008 (Brasil, 2009), possa favorecer participação mais contínua.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fim, no plano individual, os resultados do Modelo 4 (Tabela 4) indicam associação </w:t>
      </w:r>
      <w:r w:rsidDel="00000000" w:rsidR="00000000" w:rsidRPr="00000000">
        <w:rPr>
          <w:sz w:val="24"/>
          <w:szCs w:val="24"/>
          <w:rtl w:val="0"/>
        </w:rPr>
        <w:t xml:space="preserve">estatisticamente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significativa entre capital científico prévio e recorrência no PIBIC-EM. O Índice-h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aparece com coeficiente positivo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IRR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05), o que corresponde, na escala do modelo, a incremento esperado de 0,4% na frequência de participação para cada ponto adicional no índice. Em termos interpretativos, embora o efeito marginal unitário seja pequeno, a natureza cumulativa da métrica ao longo da carreira pode produzir diferenças substantivas entre perfis de produtividade.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6142578125" w:line="248.30214500427246" w:lineRule="auto"/>
        <w:ind w:left="12.6544189453125" w:right="0.2197265625" w:firstLine="707.3455810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síntese, no que os dados mostram, há associações positivas entre recorrência e categoria </w:t>
      </w:r>
      <w:r w:rsidDel="00000000" w:rsidR="00000000" w:rsidRPr="00000000">
        <w:rPr>
          <w:sz w:val="24"/>
          <w:szCs w:val="24"/>
          <w:rtl w:val="0"/>
        </w:rPr>
        <w:t xml:space="preserve">institucional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 relação às Universidades Federais) e entre recorrência e Índice-h. Em termos </w:t>
      </w:r>
      <w:r w:rsidDel="00000000" w:rsidR="00000000" w:rsidRPr="00000000">
        <w:rPr>
          <w:sz w:val="24"/>
          <w:szCs w:val="24"/>
          <w:rtl w:val="0"/>
        </w:rPr>
        <w:t xml:space="preserve">interpretativos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esses resultados são consistentes com uma dupla associação: arranjos institucionais e trajetórias acadêmicas podem contribuir, conjuntamente, para a continuidade das submissões. </w:t>
      </w:r>
    </w:p>
    <w:p w:rsidR="00000000" w:rsidDel="00000000" w:rsidP="00000000" w:rsidRDefault="00000000" w:rsidRPr="00000000" w14:paraId="00000229">
      <w:pPr>
        <w:pStyle w:val="Heading2"/>
        <w:widowControl w:val="0"/>
        <w:spacing w:before="575.733642578125" w:line="248.2986831665039" w:lineRule="auto"/>
        <w:ind w:left="6.98699951171875" w:right="42.545166015625" w:firstLine="0"/>
        <w:jc w:val="both"/>
        <w:rPr>
          <w:sz w:val="24"/>
          <w:szCs w:val="24"/>
          <w:vertAlign w:val="baseline"/>
        </w:rPr>
      </w:pPr>
      <w:bookmarkStart w:colFirst="0" w:colLast="0" w:name="_cr2s44rcm7tg" w:id="11"/>
      <w:bookmarkEnd w:id="11"/>
      <w:r w:rsidDel="00000000" w:rsidR="00000000" w:rsidRPr="00000000">
        <w:rPr>
          <w:sz w:val="24"/>
          <w:szCs w:val="24"/>
          <w:vertAlign w:val="baseline"/>
          <w:rtl w:val="0"/>
        </w:rPr>
        <w:t xml:space="preserve">3.3. A verticalização do ensino como fator de mobilização para a Iniciação Científica Júnior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575439453125" w:line="248.30283164978027" w:lineRule="auto"/>
        <w:ind w:left="14.618072509765625" w:right="18.980712890625" w:firstLine="705.38192749023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que os dados do modelo global mostram, a categoria administrativa aparece associada à </w:t>
      </w:r>
      <w:r w:rsidDel="00000000" w:rsidR="00000000" w:rsidRPr="00000000">
        <w:rPr>
          <w:sz w:val="24"/>
          <w:szCs w:val="24"/>
          <w:rtl w:val="0"/>
        </w:rPr>
        <w:t xml:space="preserve">permanência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 PIBIC-EM. Contudo, a análise conjunta de todas as naturezas jurídicas agrega ecos sistemas com missões institucionais distintas. Por isso, este recorte foi adotado para </w:t>
      </w:r>
      <w:r w:rsidDel="00000000" w:rsidR="00000000" w:rsidRPr="00000000">
        <w:rPr>
          <w:sz w:val="24"/>
          <w:szCs w:val="24"/>
          <w:rtl w:val="0"/>
        </w:rPr>
        <w:t xml:space="preserve">reduzir a heterogeneidade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observar, com maior comparabilidade, o subsistema federal. Assim, ajustou-se um novo Modelo Linear Generalizado (Quasi-Poisson), restrito a pesquisadores vinculados à Rede Federal de Educação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296), comparando Universidades Federais e Institutos Federais/CEFET.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38427734375" w:line="248.30223083496094" w:lineRule="auto"/>
        <w:ind w:left="12.6544189453125" w:right="12.435302734375" w:firstLine="707.3455810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Essa filtragem metodológica permite comparar pesquisadores que estão imersos em condições de carreira muito semelhantes. Em tese, os docentes dessas duas instâncias partilham o mesmo plano de carreira federal, o mesmo regime de trabalho e enfrentam cobranças análogas em relação ao tripé ensino, pesquisa e extensão. O que buscamos compreender, portanto, é por que, diante de perfis de carreira tão próximos, a propensão de o pesquisador manter um engajamento contínuo em projetos voltados para o público jovem diverge significativamente. Para responder a essa questão, analisamos os resultados multivariados dispostos na Tabela 5. </w:t>
      </w:r>
    </w:p>
    <w:p w:rsidR="00000000" w:rsidDel="00000000" w:rsidP="00000000" w:rsidRDefault="00000000" w:rsidRPr="00000000" w14:paraId="0000022C">
      <w:pPr>
        <w:widowControl w:val="0"/>
        <w:spacing w:before="279.8138427734375" w:line="248.30223083496094" w:lineRule="auto"/>
        <w:ind w:left="0" w:right="12.435302734375" w:firstLine="0"/>
        <w:jc w:val="both"/>
        <w:rPr>
          <w:sz w:val="24"/>
          <w:szCs w:val="24"/>
        </w:rPr>
      </w:pPr>
      <w:r w:rsidDel="00000000" w:rsidR="00000000" w:rsidRPr="00000000">
        <w:rPr>
          <w:b w:val="1"/>
          <w:bCs w:val="1"/>
          <w:sz w:val="24"/>
          <w:szCs w:val="24"/>
          <w:rtl w:val="0"/>
        </w:rPr>
        <w:t xml:space="preserve">Tabela 5</w:t>
      </w:r>
      <w:r w:rsidDel="00000000" w:rsidR="00000000" w:rsidRPr="00000000">
        <w:rPr>
          <w:sz w:val="24"/>
          <w:szCs w:val="24"/>
          <w:rtl w:val="0"/>
        </w:rPr>
        <w:t xml:space="preserve">: Modelos de Regressão Quasi-Poisson para Frequência de Participação no PIBIC-EM (Amostra do Sistema Federal, 2014-2024)</w:t>
      </w:r>
    </w:p>
    <w:tbl>
      <w:tblPr>
        <w:tblStyle w:val="Table5"/>
        <w:tblW w:w="9651.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gridCol w:w="1872.0000000000002"/>
        <w:gridCol w:w="1872.0000000000002"/>
        <w:gridCol w:w="1872.0000000000002"/>
        <w:tblGridChange w:id="0">
          <w:tblGrid>
            <w:gridCol w:w="4035"/>
            <w:gridCol w:w="1872.0000000000002"/>
            <w:gridCol w:w="1872.0000000000002"/>
            <w:gridCol w:w="1872.0000000000002"/>
          </w:tblGrid>
        </w:tblGridChange>
      </w:tblGrid>
      <w:tr>
        <w:trPr>
          <w:cantSplit w:val="0"/>
          <w:trHeight w:val="144" w:hRule="atLeast"/>
          <w:tblHeader w:val="0"/>
        </w:trPr>
        <w:tc>
          <w:tcPr>
            <w:tcBorders>
              <w:top w:color="1f1f1f" w:space="0" w:sz="12" w:val="single"/>
              <w:bottom w:color="1f1f1f" w:space="0" w:sz="8" w:val="single"/>
            </w:tcBorders>
            <w:tcMar>
              <w:top w:w="0.0" w:type="dxa"/>
              <w:left w:w="0.0" w:type="dxa"/>
              <w:bottom w:w="0.0" w:type="dxa"/>
              <w:right w:w="0.0" w:type="dxa"/>
            </w:tcMar>
            <w:vAlign w:val="top"/>
          </w:tcPr>
          <w:p w:rsidR="00000000" w:rsidDel="00000000" w:rsidP="00000000" w:rsidRDefault="00000000" w:rsidRPr="00000000" w14:paraId="0000022D">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Variáveis Preditoras</w:t>
            </w:r>
            <w:r w:rsidDel="00000000" w:rsidR="00000000" w:rsidRPr="00000000">
              <w:rPr>
                <w:rtl w:val="0"/>
              </w:rPr>
            </w:r>
          </w:p>
        </w:tc>
        <w:tc>
          <w:tcPr>
            <w:tcBorders>
              <w:top w:color="1f1f1f" w:space="0" w:sz="12" w:val="single"/>
              <w:bottom w:color="1f1f1f" w:space="0" w:sz="8" w:val="single"/>
            </w:tcBorders>
            <w:tcMar>
              <w:top w:w="0.0" w:type="dxa"/>
              <w:left w:w="0.0" w:type="dxa"/>
              <w:bottom w:w="0.0" w:type="dxa"/>
              <w:right w:w="0.0" w:type="dxa"/>
            </w:tcMar>
            <w:vAlign w:val="top"/>
          </w:tcPr>
          <w:p w:rsidR="00000000" w:rsidDel="00000000" w:rsidP="00000000" w:rsidRDefault="00000000" w:rsidRPr="00000000" w14:paraId="0000022E">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Modelo 1</w:t>
            </w:r>
            <w:r w:rsidDel="00000000" w:rsidR="00000000" w:rsidRPr="00000000">
              <w:rPr>
                <w:rtl w:val="0"/>
              </w:rPr>
            </w:r>
          </w:p>
        </w:tc>
        <w:tc>
          <w:tcPr>
            <w:tcBorders>
              <w:top w:color="1f1f1f" w:space="0" w:sz="12" w:val="single"/>
              <w:bottom w:color="1f1f1f" w:space="0" w:sz="8" w:val="single"/>
            </w:tcBorders>
            <w:tcMar>
              <w:top w:w="0.0" w:type="dxa"/>
              <w:left w:w="0.0" w:type="dxa"/>
              <w:bottom w:w="0.0" w:type="dxa"/>
              <w:right w:w="0.0" w:type="dxa"/>
            </w:tcMar>
            <w:vAlign w:val="top"/>
          </w:tcPr>
          <w:p w:rsidR="00000000" w:rsidDel="00000000" w:rsidP="00000000" w:rsidRDefault="00000000" w:rsidRPr="00000000" w14:paraId="0000022F">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Modelo 2</w:t>
            </w:r>
            <w:r w:rsidDel="00000000" w:rsidR="00000000" w:rsidRPr="00000000">
              <w:rPr>
                <w:rtl w:val="0"/>
              </w:rPr>
            </w:r>
          </w:p>
        </w:tc>
        <w:tc>
          <w:tcPr>
            <w:tcBorders>
              <w:top w:color="1f1f1f" w:space="0" w:sz="12" w:val="single"/>
              <w:bottom w:color="1f1f1f" w:space="0" w:sz="8" w:val="single"/>
            </w:tcBorders>
            <w:tcMar>
              <w:top w:w="0.0" w:type="dxa"/>
              <w:left w:w="0.0" w:type="dxa"/>
              <w:bottom w:w="0.0" w:type="dxa"/>
              <w:right w:w="0.0" w:type="dxa"/>
            </w:tcMar>
            <w:vAlign w:val="top"/>
          </w:tcPr>
          <w:p w:rsidR="00000000" w:rsidDel="00000000" w:rsidP="00000000" w:rsidRDefault="00000000" w:rsidRPr="00000000" w14:paraId="00000230">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Modelo 3</w:t>
            </w:r>
            <w:r w:rsidDel="00000000" w:rsidR="00000000" w:rsidRPr="00000000">
              <w:rPr>
                <w:rtl w:val="0"/>
              </w:rPr>
            </w:r>
          </w:p>
        </w:tc>
      </w:tr>
      <w:tr>
        <w:trPr>
          <w:cantSplit w:val="0"/>
          <w:trHeight w:val="144" w:hRule="atLeast"/>
          <w:tblHeader w:val="0"/>
        </w:trPr>
        <w:tc>
          <w:tcPr>
            <w:tcBorders>
              <w:top w:color="1f1f1f" w:space="0" w:sz="8" w:val="single"/>
            </w:tcBorders>
            <w:tcMar>
              <w:top w:w="0.0" w:type="dxa"/>
              <w:left w:w="0.0" w:type="dxa"/>
              <w:bottom w:w="0.0" w:type="dxa"/>
              <w:right w:w="0.0" w:type="dxa"/>
            </w:tcMar>
            <w:vAlign w:val="top"/>
          </w:tcPr>
          <w:p w:rsidR="00000000" w:rsidDel="00000000" w:rsidP="00000000" w:rsidRDefault="00000000" w:rsidRPr="00000000" w14:paraId="00000231">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Intercepto</w:t>
            </w:r>
            <w:r w:rsidDel="00000000" w:rsidR="00000000" w:rsidRPr="00000000">
              <w:rPr>
                <w:rtl w:val="0"/>
              </w:rPr>
            </w:r>
          </w:p>
        </w:tc>
        <w:tc>
          <w:tcPr>
            <w:tcBorders>
              <w:top w:color="1f1f1f" w:space="0" w:sz="8" w:val="single"/>
            </w:tcBorders>
            <w:tcMar>
              <w:top w:w="0.0" w:type="dxa"/>
              <w:left w:w="0.0" w:type="dxa"/>
              <w:bottom w:w="0.0" w:type="dxa"/>
              <w:right w:w="0.0" w:type="dxa"/>
            </w:tcMar>
            <w:vAlign w:val="top"/>
          </w:tcPr>
          <w:p w:rsidR="00000000" w:rsidDel="00000000" w:rsidP="00000000" w:rsidRDefault="00000000" w:rsidRPr="00000000" w14:paraId="00000232">
            <w:pPr>
              <w:widowControl w:val="0"/>
              <w:spacing w:after="0" w:line="240" w:lineRule="auto"/>
              <w:jc w:val="center"/>
              <w:rPr>
                <w:color w:val="1f1f1f"/>
                <w:sz w:val="24"/>
                <w:szCs w:val="24"/>
              </w:rPr>
            </w:pPr>
            <w:r w:rsidDel="00000000" w:rsidR="00000000" w:rsidRPr="00000000">
              <w:rPr>
                <w:color w:val="1f1f1f"/>
                <w:sz w:val="24"/>
                <w:szCs w:val="24"/>
                <w:rtl w:val="0"/>
              </w:rPr>
              <w:t xml:space="preserve">1.800***</w:t>
            </w:r>
          </w:p>
        </w:tc>
        <w:tc>
          <w:tcPr>
            <w:tcBorders>
              <w:top w:color="1f1f1f" w:space="0" w:sz="8" w:val="single"/>
            </w:tcBorders>
            <w:tcMar>
              <w:top w:w="0.0" w:type="dxa"/>
              <w:left w:w="0.0" w:type="dxa"/>
              <w:bottom w:w="0.0" w:type="dxa"/>
              <w:right w:w="0.0" w:type="dxa"/>
            </w:tcMar>
            <w:vAlign w:val="top"/>
          </w:tcPr>
          <w:p w:rsidR="00000000" w:rsidDel="00000000" w:rsidP="00000000" w:rsidRDefault="00000000" w:rsidRPr="00000000" w14:paraId="00000233">
            <w:pPr>
              <w:widowControl w:val="0"/>
              <w:spacing w:after="0" w:line="240" w:lineRule="auto"/>
              <w:jc w:val="center"/>
              <w:rPr>
                <w:color w:val="1f1f1f"/>
                <w:sz w:val="24"/>
                <w:szCs w:val="24"/>
              </w:rPr>
            </w:pPr>
            <w:r w:rsidDel="00000000" w:rsidR="00000000" w:rsidRPr="00000000">
              <w:rPr>
                <w:color w:val="1f1f1f"/>
                <w:sz w:val="24"/>
                <w:szCs w:val="24"/>
                <w:rtl w:val="0"/>
              </w:rPr>
              <w:t xml:space="preserve">1.765***</w:t>
            </w:r>
          </w:p>
        </w:tc>
        <w:tc>
          <w:tcPr>
            <w:tcBorders>
              <w:top w:color="1f1f1f" w:space="0" w:sz="8" w:val="single"/>
            </w:tcBorders>
            <w:tcMar>
              <w:top w:w="0.0" w:type="dxa"/>
              <w:left w:w="0.0" w:type="dxa"/>
              <w:bottom w:w="0.0" w:type="dxa"/>
              <w:right w:w="0.0" w:type="dxa"/>
            </w:tcMar>
            <w:vAlign w:val="top"/>
          </w:tcPr>
          <w:p w:rsidR="00000000" w:rsidDel="00000000" w:rsidP="00000000" w:rsidRDefault="00000000" w:rsidRPr="00000000" w14:paraId="00000234">
            <w:pPr>
              <w:widowControl w:val="0"/>
              <w:spacing w:after="0" w:line="240" w:lineRule="auto"/>
              <w:jc w:val="center"/>
              <w:rPr>
                <w:color w:val="1f1f1f"/>
                <w:sz w:val="24"/>
                <w:szCs w:val="24"/>
              </w:rPr>
            </w:pPr>
            <w:r w:rsidDel="00000000" w:rsidR="00000000" w:rsidRPr="00000000">
              <w:rPr>
                <w:color w:val="1f1f1f"/>
                <w:sz w:val="24"/>
                <w:szCs w:val="24"/>
                <w:rtl w:val="0"/>
              </w:rPr>
              <w:t xml:space="preserve">1.779***</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35">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36">
            <w:pPr>
              <w:widowControl w:val="0"/>
              <w:spacing w:after="0" w:line="240" w:lineRule="auto"/>
              <w:jc w:val="center"/>
              <w:rPr>
                <w:color w:val="1f1f1f"/>
                <w:sz w:val="24"/>
                <w:szCs w:val="24"/>
              </w:rPr>
            </w:pPr>
            <w:r w:rsidDel="00000000" w:rsidR="00000000" w:rsidRPr="00000000">
              <w:rPr>
                <w:color w:val="1f1f1f"/>
                <w:sz w:val="24"/>
                <w:szCs w:val="24"/>
                <w:rtl w:val="0"/>
              </w:rPr>
              <w:t xml:space="preserve">(0.065)</w:t>
            </w:r>
          </w:p>
        </w:tc>
        <w:tc>
          <w:tcPr>
            <w:tcMar>
              <w:top w:w="0.0" w:type="dxa"/>
              <w:left w:w="0.0" w:type="dxa"/>
              <w:bottom w:w="0.0" w:type="dxa"/>
              <w:right w:w="0.0" w:type="dxa"/>
            </w:tcMar>
            <w:vAlign w:val="top"/>
          </w:tcPr>
          <w:p w:rsidR="00000000" w:rsidDel="00000000" w:rsidP="00000000" w:rsidRDefault="00000000" w:rsidRPr="00000000" w14:paraId="00000237">
            <w:pPr>
              <w:widowControl w:val="0"/>
              <w:spacing w:after="0" w:line="240" w:lineRule="auto"/>
              <w:jc w:val="center"/>
              <w:rPr>
                <w:color w:val="1f1f1f"/>
                <w:sz w:val="24"/>
                <w:szCs w:val="24"/>
              </w:rPr>
            </w:pPr>
            <w:r w:rsidDel="00000000" w:rsidR="00000000" w:rsidRPr="00000000">
              <w:rPr>
                <w:color w:val="1f1f1f"/>
                <w:sz w:val="24"/>
                <w:szCs w:val="24"/>
                <w:rtl w:val="0"/>
              </w:rPr>
              <w:t xml:space="preserve">(0.089)</w:t>
            </w:r>
          </w:p>
        </w:tc>
        <w:tc>
          <w:tcPr>
            <w:tcMar>
              <w:top w:w="0.0" w:type="dxa"/>
              <w:left w:w="0.0" w:type="dxa"/>
              <w:bottom w:w="0.0" w:type="dxa"/>
              <w:right w:w="0.0" w:type="dxa"/>
            </w:tcMar>
            <w:vAlign w:val="top"/>
          </w:tcPr>
          <w:p w:rsidR="00000000" w:rsidDel="00000000" w:rsidP="00000000" w:rsidRDefault="00000000" w:rsidRPr="00000000" w14:paraId="00000238">
            <w:pPr>
              <w:widowControl w:val="0"/>
              <w:spacing w:after="0" w:line="240" w:lineRule="auto"/>
              <w:jc w:val="center"/>
              <w:rPr>
                <w:color w:val="1f1f1f"/>
                <w:sz w:val="24"/>
                <w:szCs w:val="24"/>
              </w:rPr>
            </w:pPr>
            <w:r w:rsidDel="00000000" w:rsidR="00000000" w:rsidRPr="00000000">
              <w:rPr>
                <w:color w:val="1f1f1f"/>
                <w:sz w:val="24"/>
                <w:szCs w:val="24"/>
                <w:rtl w:val="0"/>
              </w:rPr>
              <w:t xml:space="preserve">(0.134)</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39">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Categoria Administrativa</w:t>
            </w:r>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(Ref: Univ. Federal)</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3A">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3B">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3C">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3D">
            <w:pPr>
              <w:widowControl w:val="0"/>
              <w:spacing w:after="0" w:line="240" w:lineRule="auto"/>
              <w:jc w:val="both"/>
              <w:rPr>
                <w:color w:val="1f1f1f"/>
                <w:sz w:val="24"/>
                <w:szCs w:val="24"/>
              </w:rPr>
            </w:pPr>
            <w:r w:rsidDel="00000000" w:rsidR="00000000" w:rsidRPr="00000000">
              <w:rPr>
                <w:color w:val="1f1f1f"/>
                <w:sz w:val="24"/>
                <w:szCs w:val="24"/>
                <w:rtl w:val="0"/>
              </w:rPr>
              <w:t xml:space="preserve">    IF/CEFET</w:t>
            </w:r>
          </w:p>
        </w:tc>
        <w:tc>
          <w:tcPr>
            <w:tcMar>
              <w:top w:w="0.0" w:type="dxa"/>
              <w:left w:w="0.0" w:type="dxa"/>
              <w:bottom w:w="0.0" w:type="dxa"/>
              <w:right w:w="0.0" w:type="dxa"/>
            </w:tcMar>
            <w:vAlign w:val="top"/>
          </w:tcPr>
          <w:p w:rsidR="00000000" w:rsidDel="00000000" w:rsidP="00000000" w:rsidRDefault="00000000" w:rsidRPr="00000000" w14:paraId="0000023E">
            <w:pPr>
              <w:widowControl w:val="0"/>
              <w:spacing w:after="0" w:line="240" w:lineRule="auto"/>
              <w:jc w:val="center"/>
              <w:rPr>
                <w:color w:val="1f1f1f"/>
                <w:sz w:val="24"/>
                <w:szCs w:val="24"/>
              </w:rPr>
            </w:pPr>
            <w:r w:rsidDel="00000000" w:rsidR="00000000" w:rsidRPr="00000000">
              <w:rPr>
                <w:color w:val="1f1f1f"/>
                <w:sz w:val="24"/>
                <w:szCs w:val="24"/>
                <w:rtl w:val="0"/>
              </w:rPr>
              <w:t xml:space="preserve">1.150*</w:t>
            </w:r>
          </w:p>
        </w:tc>
        <w:tc>
          <w:tcPr>
            <w:tcMar>
              <w:top w:w="0.0" w:type="dxa"/>
              <w:left w:w="0.0" w:type="dxa"/>
              <w:bottom w:w="0.0" w:type="dxa"/>
              <w:right w:w="0.0" w:type="dxa"/>
            </w:tcMar>
            <w:vAlign w:val="top"/>
          </w:tcPr>
          <w:p w:rsidR="00000000" w:rsidDel="00000000" w:rsidP="00000000" w:rsidRDefault="00000000" w:rsidRPr="00000000" w14:paraId="0000023F">
            <w:pPr>
              <w:widowControl w:val="0"/>
              <w:spacing w:after="0" w:line="240" w:lineRule="auto"/>
              <w:jc w:val="center"/>
              <w:rPr>
                <w:color w:val="1f1f1f"/>
                <w:sz w:val="24"/>
                <w:szCs w:val="24"/>
              </w:rPr>
            </w:pPr>
            <w:r w:rsidDel="00000000" w:rsidR="00000000" w:rsidRPr="00000000">
              <w:rPr>
                <w:color w:val="1f1f1f"/>
                <w:sz w:val="24"/>
                <w:szCs w:val="24"/>
                <w:rtl w:val="0"/>
              </w:rPr>
              <w:t xml:space="preserve">1.168*</w:t>
            </w:r>
          </w:p>
        </w:tc>
        <w:tc>
          <w:tcPr>
            <w:tcMar>
              <w:top w:w="0.0" w:type="dxa"/>
              <w:left w:w="0.0" w:type="dxa"/>
              <w:bottom w:w="0.0" w:type="dxa"/>
              <w:right w:w="0.0" w:type="dxa"/>
            </w:tcMar>
            <w:vAlign w:val="top"/>
          </w:tcPr>
          <w:p w:rsidR="00000000" w:rsidDel="00000000" w:rsidP="00000000" w:rsidRDefault="00000000" w:rsidRPr="00000000" w14:paraId="00000240">
            <w:pPr>
              <w:widowControl w:val="0"/>
              <w:spacing w:after="0" w:line="240" w:lineRule="auto"/>
              <w:jc w:val="center"/>
              <w:rPr>
                <w:color w:val="1f1f1f"/>
                <w:sz w:val="24"/>
                <w:szCs w:val="24"/>
              </w:rPr>
            </w:pPr>
            <w:r w:rsidDel="00000000" w:rsidR="00000000" w:rsidRPr="00000000">
              <w:rPr>
                <w:color w:val="1f1f1f"/>
                <w:sz w:val="24"/>
                <w:szCs w:val="24"/>
                <w:rtl w:val="0"/>
              </w:rPr>
              <w:t xml:space="preserve">1.162*</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41">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42">
            <w:pPr>
              <w:widowControl w:val="0"/>
              <w:spacing w:after="0" w:line="240" w:lineRule="auto"/>
              <w:jc w:val="center"/>
              <w:rPr>
                <w:color w:val="1f1f1f"/>
                <w:sz w:val="24"/>
                <w:szCs w:val="24"/>
              </w:rPr>
            </w:pPr>
            <w:r w:rsidDel="00000000" w:rsidR="00000000" w:rsidRPr="00000000">
              <w:rPr>
                <w:color w:val="1f1f1f"/>
                <w:sz w:val="24"/>
                <w:szCs w:val="24"/>
                <w:rtl w:val="0"/>
              </w:rPr>
              <w:t xml:space="preserve">(0.065)</w:t>
            </w:r>
          </w:p>
        </w:tc>
        <w:tc>
          <w:tcPr>
            <w:tcMar>
              <w:top w:w="0.0" w:type="dxa"/>
              <w:left w:w="0.0" w:type="dxa"/>
              <w:bottom w:w="0.0" w:type="dxa"/>
              <w:right w:w="0.0" w:type="dxa"/>
            </w:tcMar>
            <w:vAlign w:val="top"/>
          </w:tcPr>
          <w:p w:rsidR="00000000" w:rsidDel="00000000" w:rsidP="00000000" w:rsidRDefault="00000000" w:rsidRPr="00000000" w14:paraId="00000243">
            <w:pPr>
              <w:widowControl w:val="0"/>
              <w:spacing w:after="0" w:line="240" w:lineRule="auto"/>
              <w:jc w:val="center"/>
              <w:rPr>
                <w:color w:val="1f1f1f"/>
                <w:sz w:val="24"/>
                <w:szCs w:val="24"/>
              </w:rPr>
            </w:pPr>
            <w:r w:rsidDel="00000000" w:rsidR="00000000" w:rsidRPr="00000000">
              <w:rPr>
                <w:color w:val="1f1f1f"/>
                <w:sz w:val="24"/>
                <w:szCs w:val="24"/>
                <w:rtl w:val="0"/>
              </w:rPr>
              <w:t xml:space="preserve">(0.068)</w:t>
            </w:r>
          </w:p>
        </w:tc>
        <w:tc>
          <w:tcPr>
            <w:tcMar>
              <w:top w:w="0.0" w:type="dxa"/>
              <w:left w:w="0.0" w:type="dxa"/>
              <w:bottom w:w="0.0" w:type="dxa"/>
              <w:right w:w="0.0" w:type="dxa"/>
            </w:tcMar>
            <w:vAlign w:val="top"/>
          </w:tcPr>
          <w:p w:rsidR="00000000" w:rsidDel="00000000" w:rsidP="00000000" w:rsidRDefault="00000000" w:rsidRPr="00000000" w14:paraId="00000244">
            <w:pPr>
              <w:widowControl w:val="0"/>
              <w:spacing w:after="0" w:line="240" w:lineRule="auto"/>
              <w:jc w:val="center"/>
              <w:rPr>
                <w:color w:val="1f1f1f"/>
                <w:sz w:val="24"/>
                <w:szCs w:val="24"/>
              </w:rPr>
            </w:pPr>
            <w:r w:rsidDel="00000000" w:rsidR="00000000" w:rsidRPr="00000000">
              <w:rPr>
                <w:color w:val="1f1f1f"/>
                <w:sz w:val="24"/>
                <w:szCs w:val="24"/>
                <w:rtl w:val="0"/>
              </w:rPr>
              <w:t xml:space="preserve">(0.124)</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45">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Capital Científico</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46">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47">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48">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49">
            <w:pPr>
              <w:widowControl w:val="0"/>
              <w:spacing w:after="0" w:line="240" w:lineRule="auto"/>
              <w:jc w:val="both"/>
              <w:rPr>
                <w:color w:val="1f1f1f"/>
                <w:sz w:val="24"/>
                <w:szCs w:val="24"/>
              </w:rPr>
            </w:pPr>
            <w:r w:rsidDel="00000000" w:rsidR="00000000" w:rsidRPr="00000000">
              <w:rPr>
                <w:color w:val="1f1f1f"/>
                <w:sz w:val="24"/>
                <w:szCs w:val="24"/>
                <w:rtl w:val="0"/>
              </w:rPr>
              <w:t xml:space="preserve">    Índice H do Pesquisador</w:t>
            </w:r>
          </w:p>
        </w:tc>
        <w:tc>
          <w:tcPr>
            <w:tcMar>
              <w:top w:w="0.0" w:type="dxa"/>
              <w:left w:w="0.0" w:type="dxa"/>
              <w:bottom w:w="0.0" w:type="dxa"/>
              <w:right w:w="0.0" w:type="dxa"/>
            </w:tcMar>
            <w:vAlign w:val="top"/>
          </w:tcPr>
          <w:p w:rsidR="00000000" w:rsidDel="00000000" w:rsidP="00000000" w:rsidRDefault="00000000" w:rsidRPr="00000000" w14:paraId="0000024A">
            <w:pPr>
              <w:widowControl w:val="0"/>
              <w:spacing w:after="0" w:line="240" w:lineRule="auto"/>
              <w:jc w:val="center"/>
              <w:rPr>
                <w:color w:val="1f1f1f"/>
                <w:sz w:val="24"/>
                <w:szCs w:val="24"/>
              </w:rPr>
            </w:pPr>
            <w:r w:rsidDel="00000000" w:rsidR="00000000" w:rsidRPr="00000000">
              <w:rPr>
                <w:color w:val="1f1f1f"/>
                <w:sz w:val="24"/>
                <w:szCs w:val="24"/>
                <w:rtl w:val="0"/>
              </w:rPr>
              <w:t xml:space="preserve">1.004</w:t>
            </w:r>
          </w:p>
        </w:tc>
        <w:tc>
          <w:tcPr>
            <w:tcMar>
              <w:top w:w="0.0" w:type="dxa"/>
              <w:left w:w="0.0" w:type="dxa"/>
              <w:bottom w:w="0.0" w:type="dxa"/>
              <w:right w:w="0.0" w:type="dxa"/>
            </w:tcMar>
            <w:vAlign w:val="top"/>
          </w:tcPr>
          <w:p w:rsidR="00000000" w:rsidDel="00000000" w:rsidP="00000000" w:rsidRDefault="00000000" w:rsidRPr="00000000" w14:paraId="0000024B">
            <w:pPr>
              <w:widowControl w:val="0"/>
              <w:spacing w:after="0" w:line="240" w:lineRule="auto"/>
              <w:jc w:val="center"/>
              <w:rPr>
                <w:color w:val="1f1f1f"/>
                <w:sz w:val="24"/>
                <w:szCs w:val="24"/>
              </w:rPr>
            </w:pPr>
            <w:r w:rsidDel="00000000" w:rsidR="00000000" w:rsidRPr="00000000">
              <w:rPr>
                <w:color w:val="1f1f1f"/>
                <w:sz w:val="24"/>
                <w:szCs w:val="24"/>
                <w:rtl w:val="0"/>
              </w:rPr>
              <w:t xml:space="preserve">1.004</w:t>
            </w:r>
          </w:p>
        </w:tc>
        <w:tc>
          <w:tcPr>
            <w:tcMar>
              <w:top w:w="0.0" w:type="dxa"/>
              <w:left w:w="0.0" w:type="dxa"/>
              <w:bottom w:w="0.0" w:type="dxa"/>
              <w:right w:w="0.0" w:type="dxa"/>
            </w:tcMar>
            <w:vAlign w:val="top"/>
          </w:tcPr>
          <w:p w:rsidR="00000000" w:rsidDel="00000000" w:rsidP="00000000" w:rsidRDefault="00000000" w:rsidRPr="00000000" w14:paraId="0000024C">
            <w:pPr>
              <w:widowControl w:val="0"/>
              <w:spacing w:after="0" w:line="240" w:lineRule="auto"/>
              <w:jc w:val="center"/>
              <w:rPr>
                <w:color w:val="1f1f1f"/>
                <w:sz w:val="24"/>
                <w:szCs w:val="24"/>
              </w:rPr>
            </w:pPr>
            <w:r w:rsidDel="00000000" w:rsidR="00000000" w:rsidRPr="00000000">
              <w:rPr>
                <w:color w:val="1f1f1f"/>
                <w:sz w:val="24"/>
                <w:szCs w:val="24"/>
                <w:rtl w:val="0"/>
              </w:rPr>
              <w:t xml:space="preserve">1.004</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4D">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4E">
            <w:pPr>
              <w:widowControl w:val="0"/>
              <w:spacing w:after="0" w:line="240" w:lineRule="auto"/>
              <w:jc w:val="center"/>
              <w:rPr>
                <w:color w:val="1f1f1f"/>
                <w:sz w:val="24"/>
                <w:szCs w:val="24"/>
              </w:rPr>
            </w:pPr>
            <w:r w:rsidDel="00000000" w:rsidR="00000000" w:rsidRPr="00000000">
              <w:rPr>
                <w:color w:val="1f1f1f"/>
                <w:sz w:val="24"/>
                <w:szCs w:val="24"/>
                <w:rtl w:val="0"/>
              </w:rPr>
              <w:t xml:space="preserve">(0.002)</w:t>
            </w:r>
          </w:p>
        </w:tc>
        <w:tc>
          <w:tcPr>
            <w:tcMar>
              <w:top w:w="0.0" w:type="dxa"/>
              <w:left w:w="0.0" w:type="dxa"/>
              <w:bottom w:w="0.0" w:type="dxa"/>
              <w:right w:w="0.0" w:type="dxa"/>
            </w:tcMar>
            <w:vAlign w:val="top"/>
          </w:tcPr>
          <w:p w:rsidR="00000000" w:rsidDel="00000000" w:rsidP="00000000" w:rsidRDefault="00000000" w:rsidRPr="00000000" w14:paraId="0000024F">
            <w:pPr>
              <w:widowControl w:val="0"/>
              <w:spacing w:after="0" w:line="240" w:lineRule="auto"/>
              <w:jc w:val="center"/>
              <w:rPr>
                <w:color w:val="1f1f1f"/>
                <w:sz w:val="24"/>
                <w:szCs w:val="24"/>
              </w:rPr>
            </w:pPr>
            <w:r w:rsidDel="00000000" w:rsidR="00000000" w:rsidRPr="00000000">
              <w:rPr>
                <w:color w:val="1f1f1f"/>
                <w:sz w:val="24"/>
                <w:szCs w:val="24"/>
                <w:rtl w:val="0"/>
              </w:rPr>
              <w:t xml:space="preserve">(0.002)</w:t>
            </w:r>
          </w:p>
        </w:tc>
        <w:tc>
          <w:tcPr>
            <w:tcMar>
              <w:top w:w="0.0" w:type="dxa"/>
              <w:left w:w="0.0" w:type="dxa"/>
              <w:bottom w:w="0.0" w:type="dxa"/>
              <w:right w:w="0.0" w:type="dxa"/>
            </w:tcMar>
            <w:vAlign w:val="top"/>
          </w:tcPr>
          <w:p w:rsidR="00000000" w:rsidDel="00000000" w:rsidP="00000000" w:rsidRDefault="00000000" w:rsidRPr="00000000" w14:paraId="00000250">
            <w:pPr>
              <w:widowControl w:val="0"/>
              <w:spacing w:after="0" w:line="240" w:lineRule="auto"/>
              <w:jc w:val="center"/>
              <w:rPr>
                <w:color w:val="1f1f1f"/>
                <w:sz w:val="24"/>
                <w:szCs w:val="24"/>
              </w:rPr>
            </w:pPr>
            <w:r w:rsidDel="00000000" w:rsidR="00000000" w:rsidRPr="00000000">
              <w:rPr>
                <w:color w:val="1f1f1f"/>
                <w:sz w:val="24"/>
                <w:szCs w:val="24"/>
                <w:rtl w:val="0"/>
              </w:rPr>
              <w:t xml:space="preserve">(0.002)</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51">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Região Geográfica</w:t>
            </w:r>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(Ref: Sudeste)</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52">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53">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54">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55">
            <w:pPr>
              <w:widowControl w:val="0"/>
              <w:spacing w:after="0" w:line="240" w:lineRule="auto"/>
              <w:jc w:val="both"/>
              <w:rPr>
                <w:color w:val="1f1f1f"/>
                <w:sz w:val="24"/>
                <w:szCs w:val="24"/>
              </w:rPr>
            </w:pPr>
            <w:r w:rsidDel="00000000" w:rsidR="00000000" w:rsidRPr="00000000">
              <w:rPr>
                <w:color w:val="1f1f1f"/>
                <w:sz w:val="24"/>
                <w:szCs w:val="24"/>
                <w:rtl w:val="0"/>
              </w:rPr>
              <w:t xml:space="preserve">    Centro-Oeste</w:t>
            </w:r>
          </w:p>
        </w:tc>
        <w:tc>
          <w:tcPr>
            <w:tcMar>
              <w:top w:w="0.0" w:type="dxa"/>
              <w:left w:w="0.0" w:type="dxa"/>
              <w:bottom w:w="0.0" w:type="dxa"/>
              <w:right w:w="0.0" w:type="dxa"/>
            </w:tcMar>
            <w:vAlign w:val="top"/>
          </w:tcPr>
          <w:p w:rsidR="00000000" w:rsidDel="00000000" w:rsidP="00000000" w:rsidRDefault="00000000" w:rsidRPr="00000000" w14:paraId="00000256">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57">
            <w:pPr>
              <w:widowControl w:val="0"/>
              <w:spacing w:after="0" w:line="240" w:lineRule="auto"/>
              <w:jc w:val="center"/>
              <w:rPr>
                <w:color w:val="1f1f1f"/>
                <w:sz w:val="24"/>
                <w:szCs w:val="24"/>
              </w:rPr>
            </w:pPr>
            <w:r w:rsidDel="00000000" w:rsidR="00000000" w:rsidRPr="00000000">
              <w:rPr>
                <w:color w:val="1f1f1f"/>
                <w:sz w:val="24"/>
                <w:szCs w:val="24"/>
                <w:rtl w:val="0"/>
              </w:rPr>
              <w:t xml:space="preserve">0.887</w:t>
            </w:r>
          </w:p>
        </w:tc>
        <w:tc>
          <w:tcPr>
            <w:tcMar>
              <w:top w:w="0.0" w:type="dxa"/>
              <w:left w:w="0.0" w:type="dxa"/>
              <w:bottom w:w="0.0" w:type="dxa"/>
              <w:right w:w="0.0" w:type="dxa"/>
            </w:tcMar>
            <w:vAlign w:val="top"/>
          </w:tcPr>
          <w:p w:rsidR="00000000" w:rsidDel="00000000" w:rsidP="00000000" w:rsidRDefault="00000000" w:rsidRPr="00000000" w14:paraId="00000258">
            <w:pPr>
              <w:widowControl w:val="0"/>
              <w:spacing w:after="0" w:line="240" w:lineRule="auto"/>
              <w:jc w:val="center"/>
              <w:rPr>
                <w:color w:val="1f1f1f"/>
                <w:sz w:val="24"/>
                <w:szCs w:val="24"/>
              </w:rPr>
            </w:pPr>
            <w:r w:rsidDel="00000000" w:rsidR="00000000" w:rsidRPr="00000000">
              <w:rPr>
                <w:color w:val="1f1f1f"/>
                <w:sz w:val="24"/>
                <w:szCs w:val="24"/>
                <w:rtl w:val="0"/>
              </w:rPr>
              <w:t xml:space="preserve">0.920</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59">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5A">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5B">
            <w:pPr>
              <w:widowControl w:val="0"/>
              <w:spacing w:after="0" w:line="240" w:lineRule="auto"/>
              <w:jc w:val="center"/>
              <w:rPr>
                <w:color w:val="1f1f1f"/>
                <w:sz w:val="24"/>
                <w:szCs w:val="24"/>
              </w:rPr>
            </w:pPr>
            <w:r w:rsidDel="00000000" w:rsidR="00000000" w:rsidRPr="00000000">
              <w:rPr>
                <w:color w:val="1f1f1f"/>
                <w:sz w:val="24"/>
                <w:szCs w:val="24"/>
                <w:rtl w:val="0"/>
              </w:rPr>
              <w:t xml:space="preserve">(0.096)</w:t>
            </w:r>
          </w:p>
        </w:tc>
        <w:tc>
          <w:tcPr>
            <w:tcMar>
              <w:top w:w="0.0" w:type="dxa"/>
              <w:left w:w="0.0" w:type="dxa"/>
              <w:bottom w:w="0.0" w:type="dxa"/>
              <w:right w:w="0.0" w:type="dxa"/>
            </w:tcMar>
            <w:vAlign w:val="top"/>
          </w:tcPr>
          <w:p w:rsidR="00000000" w:rsidDel="00000000" w:rsidP="00000000" w:rsidRDefault="00000000" w:rsidRPr="00000000" w14:paraId="0000025C">
            <w:pPr>
              <w:widowControl w:val="0"/>
              <w:spacing w:after="0" w:line="240" w:lineRule="auto"/>
              <w:jc w:val="center"/>
              <w:rPr>
                <w:color w:val="1f1f1f"/>
                <w:sz w:val="24"/>
                <w:szCs w:val="24"/>
              </w:rPr>
            </w:pPr>
            <w:r w:rsidDel="00000000" w:rsidR="00000000" w:rsidRPr="00000000">
              <w:rPr>
                <w:color w:val="1f1f1f"/>
                <w:sz w:val="24"/>
                <w:szCs w:val="24"/>
                <w:rtl w:val="0"/>
              </w:rPr>
              <w:t xml:space="preserve">(0.117)</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5D">
            <w:pPr>
              <w:widowControl w:val="0"/>
              <w:spacing w:after="0" w:line="240" w:lineRule="auto"/>
              <w:jc w:val="both"/>
              <w:rPr>
                <w:color w:val="1f1f1f"/>
                <w:sz w:val="24"/>
                <w:szCs w:val="24"/>
              </w:rPr>
            </w:pPr>
            <w:r w:rsidDel="00000000" w:rsidR="00000000" w:rsidRPr="00000000">
              <w:rPr>
                <w:color w:val="1f1f1f"/>
                <w:sz w:val="24"/>
                <w:szCs w:val="24"/>
                <w:rtl w:val="0"/>
              </w:rPr>
              <w:t xml:space="preserve">    Nordeste</w:t>
            </w:r>
          </w:p>
        </w:tc>
        <w:tc>
          <w:tcPr>
            <w:tcMar>
              <w:top w:w="0.0" w:type="dxa"/>
              <w:left w:w="0.0" w:type="dxa"/>
              <w:bottom w:w="0.0" w:type="dxa"/>
              <w:right w:w="0.0" w:type="dxa"/>
            </w:tcMar>
            <w:vAlign w:val="top"/>
          </w:tcPr>
          <w:p w:rsidR="00000000" w:rsidDel="00000000" w:rsidP="00000000" w:rsidRDefault="00000000" w:rsidRPr="00000000" w14:paraId="0000025E">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5F">
            <w:pPr>
              <w:widowControl w:val="0"/>
              <w:spacing w:after="0" w:line="240" w:lineRule="auto"/>
              <w:jc w:val="center"/>
              <w:rPr>
                <w:color w:val="1f1f1f"/>
                <w:sz w:val="24"/>
                <w:szCs w:val="24"/>
              </w:rPr>
            </w:pPr>
            <w:r w:rsidDel="00000000" w:rsidR="00000000" w:rsidRPr="00000000">
              <w:rPr>
                <w:color w:val="1f1f1f"/>
                <w:sz w:val="24"/>
                <w:szCs w:val="24"/>
                <w:rtl w:val="0"/>
              </w:rPr>
              <w:t xml:space="preserve">1.025</w:t>
            </w:r>
          </w:p>
        </w:tc>
        <w:tc>
          <w:tcPr>
            <w:tcMar>
              <w:top w:w="0.0" w:type="dxa"/>
              <w:left w:w="0.0" w:type="dxa"/>
              <w:bottom w:w="0.0" w:type="dxa"/>
              <w:right w:w="0.0" w:type="dxa"/>
            </w:tcMar>
            <w:vAlign w:val="top"/>
          </w:tcPr>
          <w:p w:rsidR="00000000" w:rsidDel="00000000" w:rsidP="00000000" w:rsidRDefault="00000000" w:rsidRPr="00000000" w14:paraId="00000260">
            <w:pPr>
              <w:widowControl w:val="0"/>
              <w:spacing w:after="0" w:line="240" w:lineRule="auto"/>
              <w:jc w:val="center"/>
              <w:rPr>
                <w:color w:val="1f1f1f"/>
                <w:sz w:val="24"/>
                <w:szCs w:val="24"/>
              </w:rPr>
            </w:pPr>
            <w:r w:rsidDel="00000000" w:rsidR="00000000" w:rsidRPr="00000000">
              <w:rPr>
                <w:color w:val="1f1f1f"/>
                <w:sz w:val="24"/>
                <w:szCs w:val="24"/>
                <w:rtl w:val="0"/>
              </w:rPr>
              <w:t xml:space="preserve">1.064</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61">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62">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63">
            <w:pPr>
              <w:widowControl w:val="0"/>
              <w:spacing w:after="0" w:line="240" w:lineRule="auto"/>
              <w:jc w:val="center"/>
              <w:rPr>
                <w:color w:val="1f1f1f"/>
                <w:sz w:val="24"/>
                <w:szCs w:val="24"/>
              </w:rPr>
            </w:pPr>
            <w:r w:rsidDel="00000000" w:rsidR="00000000" w:rsidRPr="00000000">
              <w:rPr>
                <w:color w:val="1f1f1f"/>
                <w:sz w:val="24"/>
                <w:szCs w:val="24"/>
                <w:rtl w:val="0"/>
              </w:rPr>
              <w:t xml:space="preserve">(0.071)</w:t>
            </w:r>
          </w:p>
        </w:tc>
        <w:tc>
          <w:tcPr>
            <w:tcMar>
              <w:top w:w="0.0" w:type="dxa"/>
              <w:left w:w="0.0" w:type="dxa"/>
              <w:bottom w:w="0.0" w:type="dxa"/>
              <w:right w:w="0.0" w:type="dxa"/>
            </w:tcMar>
            <w:vAlign w:val="top"/>
          </w:tcPr>
          <w:p w:rsidR="00000000" w:rsidDel="00000000" w:rsidP="00000000" w:rsidRDefault="00000000" w:rsidRPr="00000000" w14:paraId="00000264">
            <w:pPr>
              <w:widowControl w:val="0"/>
              <w:spacing w:after="0" w:line="240" w:lineRule="auto"/>
              <w:jc w:val="center"/>
              <w:rPr>
                <w:color w:val="1f1f1f"/>
                <w:sz w:val="24"/>
                <w:szCs w:val="24"/>
              </w:rPr>
            </w:pPr>
            <w:r w:rsidDel="00000000" w:rsidR="00000000" w:rsidRPr="00000000">
              <w:rPr>
                <w:color w:val="1f1f1f"/>
                <w:sz w:val="24"/>
                <w:szCs w:val="24"/>
                <w:rtl w:val="0"/>
              </w:rPr>
              <w:t xml:space="preserve">(0.086)</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65">
            <w:pPr>
              <w:widowControl w:val="0"/>
              <w:spacing w:after="0" w:line="240" w:lineRule="auto"/>
              <w:jc w:val="both"/>
              <w:rPr>
                <w:color w:val="1f1f1f"/>
                <w:sz w:val="24"/>
                <w:szCs w:val="24"/>
              </w:rPr>
            </w:pPr>
            <w:r w:rsidDel="00000000" w:rsidR="00000000" w:rsidRPr="00000000">
              <w:rPr>
                <w:color w:val="1f1f1f"/>
                <w:sz w:val="24"/>
                <w:szCs w:val="24"/>
                <w:rtl w:val="0"/>
              </w:rPr>
              <w:t xml:space="preserve">    Norte</w:t>
            </w:r>
          </w:p>
        </w:tc>
        <w:tc>
          <w:tcPr>
            <w:tcMar>
              <w:top w:w="0.0" w:type="dxa"/>
              <w:left w:w="0.0" w:type="dxa"/>
              <w:bottom w:w="0.0" w:type="dxa"/>
              <w:right w:w="0.0" w:type="dxa"/>
            </w:tcMar>
            <w:vAlign w:val="top"/>
          </w:tcPr>
          <w:p w:rsidR="00000000" w:rsidDel="00000000" w:rsidP="00000000" w:rsidRDefault="00000000" w:rsidRPr="00000000" w14:paraId="00000266">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67">
            <w:pPr>
              <w:widowControl w:val="0"/>
              <w:spacing w:after="0" w:line="240" w:lineRule="auto"/>
              <w:jc w:val="center"/>
              <w:rPr>
                <w:color w:val="1f1f1f"/>
                <w:sz w:val="24"/>
                <w:szCs w:val="24"/>
              </w:rPr>
            </w:pPr>
            <w:r w:rsidDel="00000000" w:rsidR="00000000" w:rsidRPr="00000000">
              <w:rPr>
                <w:color w:val="1f1f1f"/>
                <w:sz w:val="24"/>
                <w:szCs w:val="24"/>
                <w:rtl w:val="0"/>
              </w:rPr>
              <w:t xml:space="preserve">0.949</w:t>
            </w:r>
          </w:p>
        </w:tc>
        <w:tc>
          <w:tcPr>
            <w:tcMar>
              <w:top w:w="0.0" w:type="dxa"/>
              <w:left w:w="0.0" w:type="dxa"/>
              <w:bottom w:w="0.0" w:type="dxa"/>
              <w:right w:w="0.0" w:type="dxa"/>
            </w:tcMar>
            <w:vAlign w:val="top"/>
          </w:tcPr>
          <w:p w:rsidR="00000000" w:rsidDel="00000000" w:rsidP="00000000" w:rsidRDefault="00000000" w:rsidRPr="00000000" w14:paraId="00000268">
            <w:pPr>
              <w:widowControl w:val="0"/>
              <w:spacing w:after="0" w:line="240" w:lineRule="auto"/>
              <w:jc w:val="center"/>
              <w:rPr>
                <w:color w:val="1f1f1f"/>
                <w:sz w:val="24"/>
                <w:szCs w:val="24"/>
              </w:rPr>
            </w:pPr>
            <w:r w:rsidDel="00000000" w:rsidR="00000000" w:rsidRPr="00000000">
              <w:rPr>
                <w:color w:val="1f1f1f"/>
                <w:sz w:val="24"/>
                <w:szCs w:val="24"/>
                <w:rtl w:val="0"/>
              </w:rPr>
              <w:t xml:space="preserve">0.978</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69">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6A">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6B">
            <w:pPr>
              <w:widowControl w:val="0"/>
              <w:spacing w:after="0" w:line="240" w:lineRule="auto"/>
              <w:jc w:val="center"/>
              <w:rPr>
                <w:color w:val="1f1f1f"/>
                <w:sz w:val="24"/>
                <w:szCs w:val="24"/>
              </w:rPr>
            </w:pPr>
            <w:r w:rsidDel="00000000" w:rsidR="00000000" w:rsidRPr="00000000">
              <w:rPr>
                <w:color w:val="1f1f1f"/>
                <w:sz w:val="24"/>
                <w:szCs w:val="24"/>
                <w:rtl w:val="0"/>
              </w:rPr>
              <w:t xml:space="preserve">(0.092)</w:t>
            </w:r>
          </w:p>
        </w:tc>
        <w:tc>
          <w:tcPr>
            <w:tcMar>
              <w:top w:w="0.0" w:type="dxa"/>
              <w:left w:w="0.0" w:type="dxa"/>
              <w:bottom w:w="0.0" w:type="dxa"/>
              <w:right w:w="0.0" w:type="dxa"/>
            </w:tcMar>
            <w:vAlign w:val="top"/>
          </w:tcPr>
          <w:p w:rsidR="00000000" w:rsidDel="00000000" w:rsidP="00000000" w:rsidRDefault="00000000" w:rsidRPr="00000000" w14:paraId="0000026C">
            <w:pPr>
              <w:widowControl w:val="0"/>
              <w:spacing w:after="0" w:line="240" w:lineRule="auto"/>
              <w:jc w:val="center"/>
              <w:rPr>
                <w:color w:val="1f1f1f"/>
                <w:sz w:val="24"/>
                <w:szCs w:val="24"/>
              </w:rPr>
            </w:pPr>
            <w:r w:rsidDel="00000000" w:rsidR="00000000" w:rsidRPr="00000000">
              <w:rPr>
                <w:color w:val="1f1f1f"/>
                <w:sz w:val="24"/>
                <w:szCs w:val="24"/>
                <w:rtl w:val="0"/>
              </w:rPr>
              <w:t xml:space="preserve">(0.116)</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6D">
            <w:pPr>
              <w:widowControl w:val="0"/>
              <w:spacing w:after="0" w:line="240" w:lineRule="auto"/>
              <w:jc w:val="both"/>
              <w:rPr>
                <w:color w:val="1f1f1f"/>
                <w:sz w:val="24"/>
                <w:szCs w:val="24"/>
              </w:rPr>
            </w:pPr>
            <w:r w:rsidDel="00000000" w:rsidR="00000000" w:rsidRPr="00000000">
              <w:rPr>
                <w:color w:val="1f1f1f"/>
                <w:sz w:val="24"/>
                <w:szCs w:val="24"/>
                <w:rtl w:val="0"/>
              </w:rPr>
              <w:t xml:space="preserve">    Sul</w:t>
            </w:r>
          </w:p>
        </w:tc>
        <w:tc>
          <w:tcPr>
            <w:tcMar>
              <w:top w:w="0.0" w:type="dxa"/>
              <w:left w:w="0.0" w:type="dxa"/>
              <w:bottom w:w="0.0" w:type="dxa"/>
              <w:right w:w="0.0" w:type="dxa"/>
            </w:tcMar>
            <w:vAlign w:val="top"/>
          </w:tcPr>
          <w:p w:rsidR="00000000" w:rsidDel="00000000" w:rsidP="00000000" w:rsidRDefault="00000000" w:rsidRPr="00000000" w14:paraId="0000026E">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6F">
            <w:pPr>
              <w:widowControl w:val="0"/>
              <w:spacing w:after="0" w:line="240" w:lineRule="auto"/>
              <w:jc w:val="center"/>
              <w:rPr>
                <w:color w:val="1f1f1f"/>
                <w:sz w:val="24"/>
                <w:szCs w:val="24"/>
              </w:rPr>
            </w:pPr>
            <w:r w:rsidDel="00000000" w:rsidR="00000000" w:rsidRPr="00000000">
              <w:rPr>
                <w:color w:val="1f1f1f"/>
                <w:sz w:val="24"/>
                <w:szCs w:val="24"/>
                <w:rtl w:val="0"/>
              </w:rPr>
              <w:t xml:space="preserve">1.082</w:t>
            </w:r>
          </w:p>
        </w:tc>
        <w:tc>
          <w:tcPr>
            <w:tcMar>
              <w:top w:w="0.0" w:type="dxa"/>
              <w:left w:w="0.0" w:type="dxa"/>
              <w:bottom w:w="0.0" w:type="dxa"/>
              <w:right w:w="0.0" w:type="dxa"/>
            </w:tcMar>
            <w:vAlign w:val="top"/>
          </w:tcPr>
          <w:p w:rsidR="00000000" w:rsidDel="00000000" w:rsidP="00000000" w:rsidRDefault="00000000" w:rsidRPr="00000000" w14:paraId="00000270">
            <w:pPr>
              <w:widowControl w:val="0"/>
              <w:spacing w:after="0" w:line="240" w:lineRule="auto"/>
              <w:jc w:val="center"/>
              <w:rPr>
                <w:color w:val="1f1f1f"/>
                <w:sz w:val="24"/>
                <w:szCs w:val="24"/>
              </w:rPr>
            </w:pPr>
            <w:r w:rsidDel="00000000" w:rsidR="00000000" w:rsidRPr="00000000">
              <w:rPr>
                <w:color w:val="1f1f1f"/>
                <w:sz w:val="24"/>
                <w:szCs w:val="24"/>
                <w:rtl w:val="0"/>
              </w:rPr>
              <w:t xml:space="preserve">1.125</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71">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72">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73">
            <w:pPr>
              <w:widowControl w:val="0"/>
              <w:spacing w:after="0" w:line="240" w:lineRule="auto"/>
              <w:jc w:val="center"/>
              <w:rPr>
                <w:color w:val="1f1f1f"/>
                <w:sz w:val="24"/>
                <w:szCs w:val="24"/>
              </w:rPr>
            </w:pPr>
            <w:r w:rsidDel="00000000" w:rsidR="00000000" w:rsidRPr="00000000">
              <w:rPr>
                <w:color w:val="1f1f1f"/>
                <w:sz w:val="24"/>
                <w:szCs w:val="24"/>
                <w:rtl w:val="0"/>
              </w:rPr>
              <w:t xml:space="preserve">(0.091)</w:t>
            </w:r>
          </w:p>
        </w:tc>
        <w:tc>
          <w:tcPr>
            <w:tcMar>
              <w:top w:w="0.0" w:type="dxa"/>
              <w:left w:w="0.0" w:type="dxa"/>
              <w:bottom w:w="0.0" w:type="dxa"/>
              <w:right w:w="0.0" w:type="dxa"/>
            </w:tcMar>
            <w:vAlign w:val="top"/>
          </w:tcPr>
          <w:p w:rsidR="00000000" w:rsidDel="00000000" w:rsidP="00000000" w:rsidRDefault="00000000" w:rsidRPr="00000000" w14:paraId="00000274">
            <w:pPr>
              <w:widowControl w:val="0"/>
              <w:spacing w:after="0" w:line="240" w:lineRule="auto"/>
              <w:jc w:val="center"/>
              <w:rPr>
                <w:color w:val="1f1f1f"/>
                <w:sz w:val="24"/>
                <w:szCs w:val="24"/>
              </w:rPr>
            </w:pPr>
            <w:r w:rsidDel="00000000" w:rsidR="00000000" w:rsidRPr="00000000">
              <w:rPr>
                <w:color w:val="1f1f1f"/>
                <w:sz w:val="24"/>
                <w:szCs w:val="24"/>
                <w:rtl w:val="0"/>
              </w:rPr>
              <w:t xml:space="preserve">(0.111)</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75">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Interações Instituição × Região</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76">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77">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78">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79">
            <w:pPr>
              <w:widowControl w:val="0"/>
              <w:spacing w:after="0" w:line="240" w:lineRule="auto"/>
              <w:jc w:val="both"/>
              <w:rPr>
                <w:color w:val="1f1f1f"/>
                <w:sz w:val="24"/>
                <w:szCs w:val="24"/>
              </w:rPr>
            </w:pPr>
            <w:r w:rsidDel="00000000" w:rsidR="00000000" w:rsidRPr="00000000">
              <w:rPr>
                <w:color w:val="1f1f1f"/>
                <w:sz w:val="24"/>
                <w:szCs w:val="24"/>
                <w:rtl w:val="0"/>
              </w:rPr>
              <w:t xml:space="preserve">    IF/CEFET × Centro-Oeste</w:t>
            </w:r>
          </w:p>
        </w:tc>
        <w:tc>
          <w:tcPr>
            <w:tcMar>
              <w:top w:w="0.0" w:type="dxa"/>
              <w:left w:w="0.0" w:type="dxa"/>
              <w:bottom w:w="0.0" w:type="dxa"/>
              <w:right w:w="0.0" w:type="dxa"/>
            </w:tcMar>
            <w:vAlign w:val="top"/>
          </w:tcPr>
          <w:p w:rsidR="00000000" w:rsidDel="00000000" w:rsidP="00000000" w:rsidRDefault="00000000" w:rsidRPr="00000000" w14:paraId="0000027A">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7B">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7C">
            <w:pPr>
              <w:widowControl w:val="0"/>
              <w:spacing w:after="0" w:line="240" w:lineRule="auto"/>
              <w:jc w:val="center"/>
              <w:rPr>
                <w:color w:val="1f1f1f"/>
                <w:sz w:val="24"/>
                <w:szCs w:val="24"/>
              </w:rPr>
            </w:pPr>
            <w:r w:rsidDel="00000000" w:rsidR="00000000" w:rsidRPr="00000000">
              <w:rPr>
                <w:color w:val="1f1f1f"/>
                <w:sz w:val="24"/>
                <w:szCs w:val="24"/>
                <w:rtl w:val="0"/>
              </w:rPr>
              <w:t xml:space="preserve">0.964</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7D">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7E">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7F">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0">
            <w:pPr>
              <w:widowControl w:val="0"/>
              <w:spacing w:after="0" w:line="240" w:lineRule="auto"/>
              <w:jc w:val="center"/>
              <w:rPr>
                <w:color w:val="1f1f1f"/>
                <w:sz w:val="24"/>
                <w:szCs w:val="24"/>
              </w:rPr>
            </w:pPr>
            <w:r w:rsidDel="00000000" w:rsidR="00000000" w:rsidRPr="00000000">
              <w:rPr>
                <w:color w:val="1f1f1f"/>
                <w:sz w:val="24"/>
                <w:szCs w:val="24"/>
                <w:rtl w:val="0"/>
              </w:rPr>
              <w:t xml:space="preserve">(0.218)</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81">
            <w:pPr>
              <w:widowControl w:val="0"/>
              <w:spacing w:after="0" w:line="240" w:lineRule="auto"/>
              <w:jc w:val="both"/>
              <w:rPr>
                <w:color w:val="1f1f1f"/>
                <w:sz w:val="24"/>
                <w:szCs w:val="24"/>
              </w:rPr>
            </w:pPr>
            <w:r w:rsidDel="00000000" w:rsidR="00000000" w:rsidRPr="00000000">
              <w:rPr>
                <w:color w:val="1f1f1f"/>
                <w:sz w:val="24"/>
                <w:szCs w:val="24"/>
                <w:rtl w:val="0"/>
              </w:rPr>
              <w:t xml:space="preserve">    IF/CEFET × Nordeste</w:t>
            </w:r>
          </w:p>
        </w:tc>
        <w:tc>
          <w:tcPr>
            <w:tcMar>
              <w:top w:w="0.0" w:type="dxa"/>
              <w:left w:w="0.0" w:type="dxa"/>
              <w:bottom w:w="0.0" w:type="dxa"/>
              <w:right w:w="0.0" w:type="dxa"/>
            </w:tcMar>
            <w:vAlign w:val="top"/>
          </w:tcPr>
          <w:p w:rsidR="00000000" w:rsidDel="00000000" w:rsidP="00000000" w:rsidRDefault="00000000" w:rsidRPr="00000000" w14:paraId="00000282">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3">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4">
            <w:pPr>
              <w:widowControl w:val="0"/>
              <w:spacing w:after="0" w:line="240" w:lineRule="auto"/>
              <w:jc w:val="center"/>
              <w:rPr>
                <w:color w:val="1f1f1f"/>
                <w:sz w:val="24"/>
                <w:szCs w:val="24"/>
              </w:rPr>
            </w:pPr>
            <w:r w:rsidDel="00000000" w:rsidR="00000000" w:rsidRPr="00000000">
              <w:rPr>
                <w:color w:val="1f1f1f"/>
                <w:sz w:val="24"/>
                <w:szCs w:val="24"/>
                <w:rtl w:val="0"/>
              </w:rPr>
              <w:t xml:space="preserve">0.917</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85">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6">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7">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8">
            <w:pPr>
              <w:widowControl w:val="0"/>
              <w:spacing w:after="0" w:line="240" w:lineRule="auto"/>
              <w:jc w:val="center"/>
              <w:rPr>
                <w:color w:val="1f1f1f"/>
                <w:sz w:val="24"/>
                <w:szCs w:val="24"/>
              </w:rPr>
            </w:pPr>
            <w:r w:rsidDel="00000000" w:rsidR="00000000" w:rsidRPr="00000000">
              <w:rPr>
                <w:color w:val="1f1f1f"/>
                <w:sz w:val="24"/>
                <w:szCs w:val="24"/>
                <w:rtl w:val="0"/>
              </w:rPr>
              <w:t xml:space="preserve">(0.160)</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89">
            <w:pPr>
              <w:widowControl w:val="0"/>
              <w:spacing w:after="0" w:line="240" w:lineRule="auto"/>
              <w:jc w:val="both"/>
              <w:rPr>
                <w:color w:val="1f1f1f"/>
                <w:sz w:val="24"/>
                <w:szCs w:val="24"/>
              </w:rPr>
            </w:pPr>
            <w:r w:rsidDel="00000000" w:rsidR="00000000" w:rsidRPr="00000000">
              <w:rPr>
                <w:color w:val="1f1f1f"/>
                <w:sz w:val="24"/>
                <w:szCs w:val="24"/>
                <w:rtl w:val="0"/>
              </w:rPr>
              <w:t xml:space="preserve">    IF/CEFET × Norte</w:t>
            </w:r>
          </w:p>
        </w:tc>
        <w:tc>
          <w:tcPr>
            <w:tcMar>
              <w:top w:w="0.0" w:type="dxa"/>
              <w:left w:w="0.0" w:type="dxa"/>
              <w:bottom w:w="0.0" w:type="dxa"/>
              <w:right w:w="0.0" w:type="dxa"/>
            </w:tcMar>
            <w:vAlign w:val="top"/>
          </w:tcPr>
          <w:p w:rsidR="00000000" w:rsidDel="00000000" w:rsidP="00000000" w:rsidRDefault="00000000" w:rsidRPr="00000000" w14:paraId="0000028A">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B">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C">
            <w:pPr>
              <w:widowControl w:val="0"/>
              <w:spacing w:after="0" w:line="240" w:lineRule="auto"/>
              <w:jc w:val="center"/>
              <w:rPr>
                <w:color w:val="1f1f1f"/>
                <w:sz w:val="24"/>
                <w:szCs w:val="24"/>
              </w:rPr>
            </w:pPr>
            <w:r w:rsidDel="00000000" w:rsidR="00000000" w:rsidRPr="00000000">
              <w:rPr>
                <w:color w:val="1f1f1f"/>
                <w:sz w:val="24"/>
                <w:szCs w:val="24"/>
                <w:rtl w:val="0"/>
              </w:rPr>
              <w:t xml:space="preserve">0.970</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8D">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E">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F">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90">
            <w:pPr>
              <w:widowControl w:val="0"/>
              <w:spacing w:after="0" w:line="240" w:lineRule="auto"/>
              <w:jc w:val="center"/>
              <w:rPr>
                <w:color w:val="1f1f1f"/>
                <w:sz w:val="24"/>
                <w:szCs w:val="24"/>
              </w:rPr>
            </w:pPr>
            <w:r w:rsidDel="00000000" w:rsidR="00000000" w:rsidRPr="00000000">
              <w:rPr>
                <w:color w:val="1f1f1f"/>
                <w:sz w:val="24"/>
                <w:szCs w:val="24"/>
                <w:rtl w:val="0"/>
              </w:rPr>
              <w:t xml:space="preserve">(0.201)</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91">
            <w:pPr>
              <w:widowControl w:val="0"/>
              <w:spacing w:after="0" w:line="240" w:lineRule="auto"/>
              <w:jc w:val="both"/>
              <w:rPr>
                <w:color w:val="1f1f1f"/>
                <w:sz w:val="24"/>
                <w:szCs w:val="24"/>
              </w:rPr>
            </w:pPr>
            <w:r w:rsidDel="00000000" w:rsidR="00000000" w:rsidRPr="00000000">
              <w:rPr>
                <w:color w:val="1f1f1f"/>
                <w:sz w:val="24"/>
                <w:szCs w:val="24"/>
                <w:rtl w:val="0"/>
              </w:rPr>
              <w:t xml:space="preserve">    IF/CEFET × Sul</w:t>
            </w:r>
          </w:p>
        </w:tc>
        <w:tc>
          <w:tcPr>
            <w:tcMar>
              <w:top w:w="0.0" w:type="dxa"/>
              <w:left w:w="0.0" w:type="dxa"/>
              <w:bottom w:w="0.0" w:type="dxa"/>
              <w:right w:w="0.0" w:type="dxa"/>
            </w:tcMar>
            <w:vAlign w:val="top"/>
          </w:tcPr>
          <w:p w:rsidR="00000000" w:rsidDel="00000000" w:rsidP="00000000" w:rsidRDefault="00000000" w:rsidRPr="00000000" w14:paraId="00000292">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93">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94">
            <w:pPr>
              <w:widowControl w:val="0"/>
              <w:spacing w:after="0" w:line="240" w:lineRule="auto"/>
              <w:jc w:val="center"/>
              <w:rPr>
                <w:color w:val="1f1f1f"/>
                <w:sz w:val="24"/>
                <w:szCs w:val="24"/>
              </w:rPr>
            </w:pPr>
            <w:r w:rsidDel="00000000" w:rsidR="00000000" w:rsidRPr="00000000">
              <w:rPr>
                <w:color w:val="1f1f1f"/>
                <w:sz w:val="24"/>
                <w:szCs w:val="24"/>
                <w:rtl w:val="0"/>
              </w:rPr>
              <w:t xml:space="preserve">0.999</w:t>
            </w:r>
          </w:p>
        </w:tc>
      </w:tr>
      <w:tr>
        <w:trPr>
          <w:cantSplit w:val="0"/>
          <w:trHeight w:val="144" w:hRule="atLeast"/>
          <w:tblHeader w:val="0"/>
        </w:trPr>
        <w:tc>
          <w:tcPr>
            <w:tcBorders>
              <w:bottom w:color="1f1f1f" w:space="0" w:sz="8" w:val="single"/>
            </w:tcBorders>
            <w:tcMar>
              <w:top w:w="0.0" w:type="dxa"/>
              <w:left w:w="0.0" w:type="dxa"/>
              <w:bottom w:w="0.0" w:type="dxa"/>
              <w:right w:w="0.0" w:type="dxa"/>
            </w:tcMar>
            <w:vAlign w:val="top"/>
          </w:tcPr>
          <w:p w:rsidR="00000000" w:rsidDel="00000000" w:rsidP="00000000" w:rsidRDefault="00000000" w:rsidRPr="00000000" w14:paraId="00000295">
            <w:pPr>
              <w:widowControl w:val="0"/>
              <w:spacing w:after="0" w:line="240" w:lineRule="auto"/>
              <w:jc w:val="both"/>
              <w:rPr>
                <w:color w:val="1f1f1f"/>
                <w:sz w:val="24"/>
                <w:szCs w:val="24"/>
              </w:rPr>
            </w:pPr>
            <w:r w:rsidDel="00000000" w:rsidR="00000000" w:rsidRPr="00000000">
              <w:rPr>
                <w:rtl w:val="0"/>
              </w:rPr>
            </w:r>
          </w:p>
        </w:tc>
        <w:tc>
          <w:tcPr>
            <w:tcBorders>
              <w:bottom w:color="1f1f1f" w:space="0" w:sz="8" w:val="single"/>
            </w:tcBorders>
            <w:tcMar>
              <w:top w:w="0.0" w:type="dxa"/>
              <w:left w:w="0.0" w:type="dxa"/>
              <w:bottom w:w="0.0" w:type="dxa"/>
              <w:right w:w="0.0" w:type="dxa"/>
            </w:tcMar>
            <w:vAlign w:val="top"/>
          </w:tcPr>
          <w:p w:rsidR="00000000" w:rsidDel="00000000" w:rsidP="00000000" w:rsidRDefault="00000000" w:rsidRPr="00000000" w14:paraId="00000296">
            <w:pPr>
              <w:widowControl w:val="0"/>
              <w:spacing w:after="0" w:line="240" w:lineRule="auto"/>
              <w:jc w:val="center"/>
              <w:rPr>
                <w:color w:val="1f1f1f"/>
                <w:sz w:val="24"/>
                <w:szCs w:val="24"/>
              </w:rPr>
            </w:pPr>
            <w:r w:rsidDel="00000000" w:rsidR="00000000" w:rsidRPr="00000000">
              <w:rPr>
                <w:rtl w:val="0"/>
              </w:rPr>
            </w:r>
          </w:p>
        </w:tc>
        <w:tc>
          <w:tcPr>
            <w:tcBorders>
              <w:bottom w:color="1f1f1f" w:space="0" w:sz="8" w:val="single"/>
            </w:tcBorders>
            <w:tcMar>
              <w:top w:w="0.0" w:type="dxa"/>
              <w:left w:w="0.0" w:type="dxa"/>
              <w:bottom w:w="0.0" w:type="dxa"/>
              <w:right w:w="0.0" w:type="dxa"/>
            </w:tcMar>
            <w:vAlign w:val="top"/>
          </w:tcPr>
          <w:p w:rsidR="00000000" w:rsidDel="00000000" w:rsidP="00000000" w:rsidRDefault="00000000" w:rsidRPr="00000000" w14:paraId="00000297">
            <w:pPr>
              <w:widowControl w:val="0"/>
              <w:spacing w:after="0" w:line="240" w:lineRule="auto"/>
              <w:jc w:val="center"/>
              <w:rPr>
                <w:color w:val="1f1f1f"/>
                <w:sz w:val="24"/>
                <w:szCs w:val="24"/>
              </w:rPr>
            </w:pPr>
            <w:r w:rsidDel="00000000" w:rsidR="00000000" w:rsidRPr="00000000">
              <w:rPr>
                <w:rtl w:val="0"/>
              </w:rPr>
            </w:r>
          </w:p>
        </w:tc>
        <w:tc>
          <w:tcPr>
            <w:tcBorders>
              <w:bottom w:color="1f1f1f" w:space="0" w:sz="8" w:val="single"/>
            </w:tcBorders>
            <w:tcMar>
              <w:top w:w="0.0" w:type="dxa"/>
              <w:left w:w="0.0" w:type="dxa"/>
              <w:bottom w:w="0.0" w:type="dxa"/>
              <w:right w:w="0.0" w:type="dxa"/>
            </w:tcMar>
            <w:vAlign w:val="top"/>
          </w:tcPr>
          <w:p w:rsidR="00000000" w:rsidDel="00000000" w:rsidP="00000000" w:rsidRDefault="00000000" w:rsidRPr="00000000" w14:paraId="00000298">
            <w:pPr>
              <w:widowControl w:val="0"/>
              <w:spacing w:after="0" w:line="240" w:lineRule="auto"/>
              <w:jc w:val="center"/>
              <w:rPr>
                <w:color w:val="1f1f1f"/>
                <w:sz w:val="24"/>
                <w:szCs w:val="24"/>
              </w:rPr>
            </w:pPr>
            <w:r w:rsidDel="00000000" w:rsidR="00000000" w:rsidRPr="00000000">
              <w:rPr>
                <w:color w:val="1f1f1f"/>
                <w:sz w:val="24"/>
                <w:szCs w:val="24"/>
                <w:rtl w:val="0"/>
              </w:rPr>
              <w:t xml:space="preserve">(0.198)</w:t>
            </w:r>
          </w:p>
        </w:tc>
      </w:tr>
      <w:tr>
        <w:trPr>
          <w:cantSplit w:val="0"/>
          <w:trHeight w:val="144" w:hRule="atLeast"/>
          <w:tblHeader w:val="0"/>
        </w:trPr>
        <w:tc>
          <w:tcPr>
            <w:tcBorders>
              <w:top w:color="1f1f1f" w:space="0" w:sz="8" w:val="single"/>
            </w:tcBorders>
            <w:tcMar>
              <w:top w:w="0.0" w:type="dxa"/>
              <w:left w:w="0.0" w:type="dxa"/>
              <w:bottom w:w="0.0" w:type="dxa"/>
              <w:right w:w="0.0" w:type="dxa"/>
            </w:tcMar>
            <w:vAlign w:val="top"/>
          </w:tcPr>
          <w:p w:rsidR="00000000" w:rsidDel="00000000" w:rsidP="00000000" w:rsidRDefault="00000000" w:rsidRPr="00000000" w14:paraId="00000299">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Estatísticas de Ajuste</w:t>
            </w:r>
            <w:r w:rsidDel="00000000" w:rsidR="00000000" w:rsidRPr="00000000">
              <w:rPr>
                <w:rtl w:val="0"/>
              </w:rPr>
            </w:r>
          </w:p>
        </w:tc>
        <w:tc>
          <w:tcPr>
            <w:tcBorders>
              <w:top w:color="1f1f1f" w:space="0" w:sz="8" w:val="single"/>
            </w:tcBorders>
            <w:tcMar>
              <w:top w:w="0.0" w:type="dxa"/>
              <w:left w:w="0.0" w:type="dxa"/>
              <w:bottom w:w="0.0" w:type="dxa"/>
              <w:right w:w="0.0" w:type="dxa"/>
            </w:tcMar>
            <w:vAlign w:val="top"/>
          </w:tcPr>
          <w:p w:rsidR="00000000" w:rsidDel="00000000" w:rsidP="00000000" w:rsidRDefault="00000000" w:rsidRPr="00000000" w14:paraId="0000029A">
            <w:pPr>
              <w:widowControl w:val="0"/>
              <w:spacing w:after="0" w:line="240" w:lineRule="auto"/>
              <w:jc w:val="center"/>
              <w:rPr>
                <w:color w:val="1f1f1f"/>
                <w:sz w:val="24"/>
                <w:szCs w:val="24"/>
              </w:rPr>
            </w:pPr>
            <w:r w:rsidDel="00000000" w:rsidR="00000000" w:rsidRPr="00000000">
              <w:rPr>
                <w:rtl w:val="0"/>
              </w:rPr>
            </w:r>
          </w:p>
        </w:tc>
        <w:tc>
          <w:tcPr>
            <w:tcBorders>
              <w:top w:color="1f1f1f" w:space="0" w:sz="8" w:val="single"/>
            </w:tcBorders>
            <w:tcMar>
              <w:top w:w="0.0" w:type="dxa"/>
              <w:left w:w="0.0" w:type="dxa"/>
              <w:bottom w:w="0.0" w:type="dxa"/>
              <w:right w:w="0.0" w:type="dxa"/>
            </w:tcMar>
            <w:vAlign w:val="top"/>
          </w:tcPr>
          <w:p w:rsidR="00000000" w:rsidDel="00000000" w:rsidP="00000000" w:rsidRDefault="00000000" w:rsidRPr="00000000" w14:paraId="0000029B">
            <w:pPr>
              <w:widowControl w:val="0"/>
              <w:spacing w:after="0" w:line="240" w:lineRule="auto"/>
              <w:jc w:val="center"/>
              <w:rPr>
                <w:color w:val="1f1f1f"/>
                <w:sz w:val="24"/>
                <w:szCs w:val="24"/>
              </w:rPr>
            </w:pPr>
            <w:r w:rsidDel="00000000" w:rsidR="00000000" w:rsidRPr="00000000">
              <w:rPr>
                <w:rtl w:val="0"/>
              </w:rPr>
            </w:r>
          </w:p>
        </w:tc>
        <w:tc>
          <w:tcPr>
            <w:tcBorders>
              <w:top w:color="1f1f1f" w:space="0" w:sz="8" w:val="single"/>
            </w:tcBorders>
            <w:tcMar>
              <w:top w:w="0.0" w:type="dxa"/>
              <w:left w:w="0.0" w:type="dxa"/>
              <w:bottom w:w="0.0" w:type="dxa"/>
              <w:right w:w="0.0" w:type="dxa"/>
            </w:tcMar>
            <w:vAlign w:val="top"/>
          </w:tcPr>
          <w:p w:rsidR="00000000" w:rsidDel="00000000" w:rsidP="00000000" w:rsidRDefault="00000000" w:rsidRPr="00000000" w14:paraId="0000029C">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9D">
            <w:pPr>
              <w:widowControl w:val="0"/>
              <w:spacing w:after="0" w:line="240" w:lineRule="auto"/>
              <w:jc w:val="both"/>
              <w:rPr>
                <w:color w:val="1f1f1f"/>
                <w:sz w:val="24"/>
                <w:szCs w:val="24"/>
              </w:rPr>
            </w:pPr>
            <w:r w:rsidDel="00000000" w:rsidR="00000000" w:rsidRPr="00000000">
              <w:rPr>
                <w:color w:val="1f1f1f"/>
                <w:sz w:val="24"/>
                <w:szCs w:val="24"/>
                <w:rtl w:val="0"/>
              </w:rPr>
              <w:t xml:space="preserve">    Tamanho da Amostra (</w:t>
            </w:r>
            <w:r w:rsidDel="00000000" w:rsidR="00000000" w:rsidRPr="00000000">
              <w:rPr>
                <w:i w:val="1"/>
                <w:iCs w:val="1"/>
                <w:color w:val="1f1f1f"/>
                <w:sz w:val="24"/>
                <w:szCs w:val="24"/>
                <w:rtl w:val="0"/>
              </w:rPr>
              <w:t xml:space="preserve">N</w:t>
            </w:r>
            <w:r w:rsidDel="00000000" w:rsidR="00000000" w:rsidRPr="00000000">
              <w:rPr>
                <w:color w:val="1f1f1f"/>
                <w:sz w:val="24"/>
                <w:szCs w:val="24"/>
                <w:rtl w:val="0"/>
              </w:rPr>
              <w:t xml:space="preserve">)</w:t>
            </w:r>
          </w:p>
        </w:tc>
        <w:tc>
          <w:tcPr>
            <w:tcMar>
              <w:top w:w="0.0" w:type="dxa"/>
              <w:left w:w="0.0" w:type="dxa"/>
              <w:bottom w:w="0.0" w:type="dxa"/>
              <w:right w:w="0.0" w:type="dxa"/>
            </w:tcMar>
            <w:vAlign w:val="top"/>
          </w:tcPr>
          <w:p w:rsidR="00000000" w:rsidDel="00000000" w:rsidP="00000000" w:rsidRDefault="00000000" w:rsidRPr="00000000" w14:paraId="0000029E">
            <w:pPr>
              <w:widowControl w:val="0"/>
              <w:spacing w:after="0" w:line="240" w:lineRule="auto"/>
              <w:jc w:val="center"/>
              <w:rPr>
                <w:color w:val="1f1f1f"/>
                <w:sz w:val="24"/>
                <w:szCs w:val="24"/>
              </w:rPr>
            </w:pPr>
            <w:r w:rsidDel="00000000" w:rsidR="00000000" w:rsidRPr="00000000">
              <w:rPr>
                <w:color w:val="1f1f1f"/>
                <w:sz w:val="24"/>
                <w:szCs w:val="24"/>
                <w:rtl w:val="0"/>
              </w:rPr>
              <w:t xml:space="preserve">296</w:t>
            </w:r>
          </w:p>
        </w:tc>
        <w:tc>
          <w:tcPr>
            <w:tcMar>
              <w:top w:w="0.0" w:type="dxa"/>
              <w:left w:w="0.0" w:type="dxa"/>
              <w:bottom w:w="0.0" w:type="dxa"/>
              <w:right w:w="0.0" w:type="dxa"/>
            </w:tcMar>
            <w:vAlign w:val="top"/>
          </w:tcPr>
          <w:p w:rsidR="00000000" w:rsidDel="00000000" w:rsidP="00000000" w:rsidRDefault="00000000" w:rsidRPr="00000000" w14:paraId="0000029F">
            <w:pPr>
              <w:widowControl w:val="0"/>
              <w:spacing w:after="0" w:line="240" w:lineRule="auto"/>
              <w:jc w:val="center"/>
              <w:rPr>
                <w:color w:val="1f1f1f"/>
                <w:sz w:val="24"/>
                <w:szCs w:val="24"/>
              </w:rPr>
            </w:pPr>
            <w:r w:rsidDel="00000000" w:rsidR="00000000" w:rsidRPr="00000000">
              <w:rPr>
                <w:color w:val="1f1f1f"/>
                <w:sz w:val="24"/>
                <w:szCs w:val="24"/>
                <w:rtl w:val="0"/>
              </w:rPr>
              <w:t xml:space="preserve">296</w:t>
            </w:r>
          </w:p>
        </w:tc>
        <w:tc>
          <w:tcPr>
            <w:tcMar>
              <w:top w:w="0.0" w:type="dxa"/>
              <w:left w:w="0.0" w:type="dxa"/>
              <w:bottom w:w="0.0" w:type="dxa"/>
              <w:right w:w="0.0" w:type="dxa"/>
            </w:tcMar>
            <w:vAlign w:val="top"/>
          </w:tcPr>
          <w:p w:rsidR="00000000" w:rsidDel="00000000" w:rsidP="00000000" w:rsidRDefault="00000000" w:rsidRPr="00000000" w14:paraId="000002A0">
            <w:pPr>
              <w:widowControl w:val="0"/>
              <w:spacing w:after="0" w:line="240" w:lineRule="auto"/>
              <w:jc w:val="center"/>
              <w:rPr>
                <w:color w:val="1f1f1f"/>
                <w:sz w:val="24"/>
                <w:szCs w:val="24"/>
              </w:rPr>
            </w:pPr>
            <w:r w:rsidDel="00000000" w:rsidR="00000000" w:rsidRPr="00000000">
              <w:rPr>
                <w:color w:val="1f1f1f"/>
                <w:sz w:val="24"/>
                <w:szCs w:val="24"/>
                <w:rtl w:val="0"/>
              </w:rPr>
              <w:t xml:space="preserve">296</w:t>
            </w:r>
          </w:p>
        </w:tc>
      </w:tr>
      <w:tr>
        <w:trPr>
          <w:cantSplit w:val="0"/>
          <w:trHeight w:val="144" w:hRule="atLeast"/>
          <w:tblHeader w:val="0"/>
        </w:trPr>
        <w:tc>
          <w:tcPr>
            <w:tcBorders>
              <w:bottom w:color="1f1f1f" w:space="0" w:sz="12" w:val="single"/>
            </w:tcBorders>
            <w:tcMar>
              <w:top w:w="0.0" w:type="dxa"/>
              <w:left w:w="0.0" w:type="dxa"/>
              <w:bottom w:w="0.0" w:type="dxa"/>
              <w:right w:w="0.0" w:type="dxa"/>
            </w:tcMar>
            <w:vAlign w:val="top"/>
          </w:tcPr>
          <w:p w:rsidR="00000000" w:rsidDel="00000000" w:rsidP="00000000" w:rsidRDefault="00000000" w:rsidRPr="00000000" w14:paraId="000002A1">
            <w:pPr>
              <w:widowControl w:val="0"/>
              <w:spacing w:after="0" w:line="240" w:lineRule="auto"/>
              <w:jc w:val="both"/>
              <w:rPr>
                <w:color w:val="1f1f1f"/>
                <w:sz w:val="24"/>
                <w:szCs w:val="24"/>
              </w:rPr>
            </w:pPr>
            <w:r w:rsidDel="00000000" w:rsidR="00000000" w:rsidRPr="00000000">
              <w:rPr>
                <w:color w:val="1f1f1f"/>
                <w:sz w:val="24"/>
                <w:szCs w:val="24"/>
                <w:rtl w:val="0"/>
              </w:rPr>
              <w:t xml:space="preserve">    Deviance</w:t>
            </w:r>
          </w:p>
        </w:tc>
        <w:tc>
          <w:tcPr>
            <w:tcBorders>
              <w:bottom w:color="1f1f1f" w:space="0" w:sz="12" w:val="single"/>
            </w:tcBorders>
            <w:tcMar>
              <w:top w:w="0.0" w:type="dxa"/>
              <w:left w:w="0.0" w:type="dxa"/>
              <w:bottom w:w="0.0" w:type="dxa"/>
              <w:right w:w="0.0" w:type="dxa"/>
            </w:tcMar>
            <w:vAlign w:val="top"/>
          </w:tcPr>
          <w:p w:rsidR="00000000" w:rsidDel="00000000" w:rsidP="00000000" w:rsidRDefault="00000000" w:rsidRPr="00000000" w14:paraId="000002A2">
            <w:pPr>
              <w:widowControl w:val="0"/>
              <w:spacing w:after="0" w:line="240" w:lineRule="auto"/>
              <w:jc w:val="center"/>
              <w:rPr>
                <w:color w:val="1f1f1f"/>
                <w:sz w:val="24"/>
                <w:szCs w:val="24"/>
              </w:rPr>
            </w:pPr>
            <w:r w:rsidDel="00000000" w:rsidR="00000000" w:rsidRPr="00000000">
              <w:rPr>
                <w:color w:val="1f1f1f"/>
                <w:sz w:val="24"/>
                <w:szCs w:val="24"/>
                <w:rtl w:val="0"/>
              </w:rPr>
              <w:t xml:space="preserve">116.71</w:t>
            </w:r>
          </w:p>
        </w:tc>
        <w:tc>
          <w:tcPr>
            <w:tcBorders>
              <w:bottom w:color="1f1f1f" w:space="0" w:sz="12" w:val="single"/>
            </w:tcBorders>
            <w:tcMar>
              <w:top w:w="0.0" w:type="dxa"/>
              <w:left w:w="0.0" w:type="dxa"/>
              <w:bottom w:w="0.0" w:type="dxa"/>
              <w:right w:w="0.0" w:type="dxa"/>
            </w:tcMar>
            <w:vAlign w:val="top"/>
          </w:tcPr>
          <w:p w:rsidR="00000000" w:rsidDel="00000000" w:rsidP="00000000" w:rsidRDefault="00000000" w:rsidRPr="00000000" w14:paraId="000002A3">
            <w:pPr>
              <w:widowControl w:val="0"/>
              <w:spacing w:after="0" w:line="240" w:lineRule="auto"/>
              <w:jc w:val="center"/>
              <w:rPr>
                <w:color w:val="1f1f1f"/>
                <w:sz w:val="24"/>
                <w:szCs w:val="24"/>
              </w:rPr>
            </w:pPr>
            <w:r w:rsidDel="00000000" w:rsidR="00000000" w:rsidRPr="00000000">
              <w:rPr>
                <w:color w:val="1f1f1f"/>
                <w:sz w:val="24"/>
                <w:szCs w:val="24"/>
                <w:rtl w:val="0"/>
              </w:rPr>
              <w:t xml:space="preserve">114.97</w:t>
            </w:r>
          </w:p>
        </w:tc>
        <w:tc>
          <w:tcPr>
            <w:tcBorders>
              <w:bottom w:color="1f1f1f" w:space="0" w:sz="12" w:val="single"/>
            </w:tcBorders>
            <w:tcMar>
              <w:top w:w="0.0" w:type="dxa"/>
              <w:left w:w="0.0" w:type="dxa"/>
              <w:bottom w:w="0.0" w:type="dxa"/>
              <w:right w:w="0.0" w:type="dxa"/>
            </w:tcMar>
            <w:vAlign w:val="top"/>
          </w:tcPr>
          <w:p w:rsidR="00000000" w:rsidDel="00000000" w:rsidP="00000000" w:rsidRDefault="00000000" w:rsidRPr="00000000" w14:paraId="000002A4">
            <w:pPr>
              <w:widowControl w:val="0"/>
              <w:spacing w:after="0" w:line="240" w:lineRule="auto"/>
              <w:jc w:val="center"/>
              <w:rPr>
                <w:color w:val="1f1f1f"/>
                <w:sz w:val="24"/>
                <w:szCs w:val="24"/>
              </w:rPr>
            </w:pPr>
            <w:r w:rsidDel="00000000" w:rsidR="00000000" w:rsidRPr="00000000">
              <w:rPr>
                <w:color w:val="1f1f1f"/>
                <w:sz w:val="24"/>
                <w:szCs w:val="24"/>
                <w:rtl w:val="0"/>
              </w:rPr>
              <w:t xml:space="preserve">114.83</w:t>
            </w:r>
          </w:p>
        </w:tc>
      </w:tr>
      <w:tr>
        <w:trPr>
          <w:cantSplit w:val="0"/>
          <w:trHeight w:val="144" w:hRule="atLeast"/>
          <w:tblHeader w:val="0"/>
        </w:trPr>
        <w:tc>
          <w:tcPr>
            <w:gridSpan w:val="4"/>
            <w:tcBorders>
              <w:top w:color="1f1f1f" w:space="0" w:sz="12" w:val="single"/>
            </w:tcBorders>
            <w:tcMar>
              <w:top w:w="0.0" w:type="dxa"/>
              <w:left w:w="0.0" w:type="dxa"/>
              <w:bottom w:w="0.0" w:type="dxa"/>
              <w:right w:w="0.0" w:type="dxa"/>
            </w:tcMar>
            <w:vAlign w:val="top"/>
          </w:tcPr>
          <w:p w:rsidR="00000000" w:rsidDel="00000000" w:rsidP="00000000" w:rsidRDefault="00000000" w:rsidRPr="00000000" w14:paraId="000002A5">
            <w:pPr>
              <w:widowControl w:val="0"/>
              <w:spacing w:after="0" w:line="240" w:lineRule="auto"/>
              <w:jc w:val="both"/>
              <w:rPr>
                <w:color w:val="1f1f1f"/>
                <w:sz w:val="24"/>
                <w:szCs w:val="24"/>
              </w:rPr>
            </w:pPr>
            <w:r w:rsidDel="00000000" w:rsidR="00000000" w:rsidRPr="00000000">
              <w:rPr>
                <w:i w:val="1"/>
                <w:iCs w:val="1"/>
                <w:color w:val="1f1f1f"/>
                <w:sz w:val="24"/>
                <w:szCs w:val="24"/>
                <w:rtl w:val="0"/>
              </w:rPr>
              <w:t xml:space="preserve">Nota.</w:t>
            </w:r>
            <w:r w:rsidDel="00000000" w:rsidR="00000000" w:rsidRPr="00000000">
              <w:rPr>
                <w:color w:val="1f1f1f"/>
                <w:sz w:val="24"/>
                <w:szCs w:val="24"/>
                <w:rtl w:val="0"/>
              </w:rPr>
              <w:t xml:space="preserve"> Os valores representam as Razões de Taxa de Incidência (</w:t>
            </w:r>
            <w:r w:rsidDel="00000000" w:rsidR="00000000" w:rsidRPr="00000000">
              <w:rPr>
                <w:i w:val="1"/>
                <w:iCs w:val="1"/>
                <w:color w:val="1f1f1f"/>
                <w:sz w:val="24"/>
                <w:szCs w:val="24"/>
                <w:rtl w:val="0"/>
              </w:rPr>
              <w:t xml:space="preserve">Incidence Rate Ratios</w:t>
            </w:r>
            <w:r w:rsidDel="00000000" w:rsidR="00000000" w:rsidRPr="00000000">
              <w:rPr>
                <w:color w:val="1f1f1f"/>
                <w:sz w:val="24"/>
                <w:szCs w:val="24"/>
                <w:rtl w:val="0"/>
              </w:rPr>
              <w:t xml:space="preserve"> - IRR), indicando o efeito multiplicativo sobre a frequência esperada de participação em chamadas. Erros padrão das estimativas logarítmicas estão apresentados entre parênteses abaixo dos coeficientes. A variável contínua (</w:t>
            </w:r>
            <w:r w:rsidDel="00000000" w:rsidR="00000000" w:rsidRPr="00000000">
              <w:rPr>
                <w:i w:val="1"/>
                <w:iCs w:val="1"/>
                <w:color w:val="1f1f1f"/>
                <w:sz w:val="24"/>
                <w:szCs w:val="24"/>
                <w:rtl w:val="0"/>
              </w:rPr>
              <w:t xml:space="preserve">h-index</w:t>
            </w:r>
            <w:r w:rsidDel="00000000" w:rsidR="00000000" w:rsidRPr="00000000">
              <w:rPr>
                <w:color w:val="1f1f1f"/>
                <w:sz w:val="24"/>
                <w:szCs w:val="24"/>
                <w:rtl w:val="0"/>
              </w:rPr>
              <w:t xml:space="preserve">) foi centralizada na média. </w:t>
            </w:r>
          </w:p>
          <w:p w:rsidR="00000000" w:rsidDel="00000000" w:rsidP="00000000" w:rsidRDefault="00000000" w:rsidRPr="00000000" w14:paraId="000002A6">
            <w:pPr>
              <w:widowControl w:val="0"/>
              <w:spacing w:after="0" w:line="240" w:lineRule="auto"/>
              <w:jc w:val="both"/>
              <w:rPr>
                <w:color w:val="1f1f1f"/>
                <w:sz w:val="24"/>
                <w:szCs w:val="24"/>
              </w:rPr>
            </w:pPr>
            <w:r w:rsidDel="00000000" w:rsidR="00000000" w:rsidRPr="00000000">
              <w:rPr>
                <w:i w:val="1"/>
                <w:iCs w:val="1"/>
                <w:color w:val="1f1f1f"/>
                <w:sz w:val="24"/>
                <w:szCs w:val="24"/>
                <w:rtl w:val="0"/>
              </w:rPr>
              <w:t xml:space="preserve">p</w:t>
            </w:r>
            <w:r w:rsidDel="00000000" w:rsidR="00000000" w:rsidRPr="00000000">
              <w:rPr>
                <w:color w:val="1f1f1f"/>
                <w:sz w:val="24"/>
                <w:szCs w:val="24"/>
                <w:rtl w:val="0"/>
              </w:rPr>
              <w:t xml:space="preserve"> &lt; .05. ** </w:t>
            </w:r>
            <w:r w:rsidDel="00000000" w:rsidR="00000000" w:rsidRPr="00000000">
              <w:rPr>
                <w:i w:val="1"/>
                <w:iCs w:val="1"/>
                <w:color w:val="1f1f1f"/>
                <w:sz w:val="24"/>
                <w:szCs w:val="24"/>
                <w:rtl w:val="0"/>
              </w:rPr>
              <w:t xml:space="preserve">p</w:t>
            </w:r>
            <w:r w:rsidDel="00000000" w:rsidR="00000000" w:rsidRPr="00000000">
              <w:rPr>
                <w:color w:val="1f1f1f"/>
                <w:sz w:val="24"/>
                <w:szCs w:val="24"/>
                <w:rtl w:val="0"/>
              </w:rPr>
              <w:t xml:space="preserve"> &lt; .01. *** </w:t>
            </w:r>
            <w:r w:rsidDel="00000000" w:rsidR="00000000" w:rsidRPr="00000000">
              <w:rPr>
                <w:i w:val="1"/>
                <w:iCs w:val="1"/>
                <w:color w:val="1f1f1f"/>
                <w:sz w:val="24"/>
                <w:szCs w:val="24"/>
                <w:rtl w:val="0"/>
              </w:rPr>
              <w:t xml:space="preserve">p</w:t>
            </w:r>
            <w:r w:rsidDel="00000000" w:rsidR="00000000" w:rsidRPr="00000000">
              <w:rPr>
                <w:color w:val="1f1f1f"/>
                <w:sz w:val="24"/>
                <w:szCs w:val="24"/>
                <w:rtl w:val="0"/>
              </w:rPr>
              <w:t xml:space="preserve"> &lt; .001.</w:t>
            </w:r>
          </w:p>
        </w:tc>
      </w:tr>
    </w:tbl>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3115234375" w:line="248.3023738861084" w:lineRule="auto"/>
        <w:ind w:left="8.503570556640625" w:right="42.537841796875" w:firstLine="711.496429443359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que os dados dessa subamostra mostram, há uma distinção institucional consistente. Tomando as Universidades Federais como referência, os modelos da Tabela 5 indicam que a vinculação a IF/CEFET está associada positivamente à recorrência no programa. No Modelo 1, a Razão de Taxa de Incidência é 1.15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IRR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150,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05), correspondente a frequência esperada cerca de 15% superior. Essa associação permanece após controles regionais (Modelo 2) e interações entre instituição e região (Modelo 3).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38427734375" w:line="248.29891204833984" w:lineRule="auto"/>
        <w:ind w:left="15.49041748046875" w:right="0.224609375" w:firstLine="704.5095825195312"/>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mesmo recorte, o Índice-H perde significância estatística estrita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IRR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086). Em termos interpretativos, esse resultado é compatível com a hipótese de redução de variabilidade no capital científico dentro da Rede Federal, onde os pesquisadores tendem a apresentar perfis de carreira mais homogêneos. </w:t>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70471191406" w:line="240" w:lineRule="auto"/>
        <w:ind w:left="20.726776123046875" w:right="42.76611328125" w:firstLine="699.2732238769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hipótese explicativa para essa variação na recorrência, considera-se o desenho organizacional</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normativo do local de trabalho. Se pesquisadores de Universidades Federais e Institutos </w:t>
      </w:r>
      <w:r w:rsidDel="00000000" w:rsidR="00000000" w:rsidRPr="00000000">
        <w:rPr>
          <w:sz w:val="24"/>
          <w:szCs w:val="24"/>
          <w:rtl w:val="0"/>
        </w:rPr>
        <w:t xml:space="preserve">Federais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apresentam perfis de carreira relativamente próximos, a vantagem observada para IF/CEFET pode estar associada à arquitetura institucional da verticalização do ensino, prevista na Lei nº 11.892/2008 Brasil (2009). Nesse arranjo, a coexistência de diferentes níveis formativos na mesma instituição pode reduzir custos de coordenação para o orientador.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3701171875" w:line="248.30117225646973" w:lineRule="auto"/>
        <w:ind w:left="12.65472412109375" w:right="18.9819335937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literatura educacional recente aponta a disseminação de propostas pedagógicas de Iniciação </w:t>
      </w:r>
      <w:r w:rsidDel="00000000" w:rsidR="00000000" w:rsidRPr="00000000">
        <w:rPr>
          <w:sz w:val="24"/>
          <w:szCs w:val="24"/>
          <w:rtl w:val="0"/>
        </w:rPr>
        <w:t xml:space="preserve">Científica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 educação básica como tendência crescente (Oliveira &amp; Vasques, 2023), mas registra barreiras logísticas e culturais quando essas propostas dependem de instâncias externas à escola. Em termos interpretativos, o arranjo dos IFs pode atenuar parte desse impasse. </w:t>
      </w:r>
      <w:r w:rsidDel="00000000" w:rsidR="00000000" w:rsidRPr="00000000">
        <w:rPr>
          <w:sz w:val="24"/>
          <w:szCs w:val="24"/>
          <w:rtl w:val="0"/>
        </w:rPr>
        <w:t xml:space="preserve">Conforme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discutido por Rôças </w:t>
      </w:r>
      <w:r w:rsidDel="00000000" w:rsidR="00000000" w:rsidRPr="00000000">
        <w:rPr>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Maia Do Bomfim (2017), a verticalização nos Institutos Federais envolve mais do que a coexistência de níveis de ensino no mesmo espaço físico, incluindo formas de engajamento docente que atravessam o ensino médio técnico e o ensino superior.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54554748535" w:lineRule="auto"/>
        <w:ind w:left="12.65472412109375" w:right="18.9819335937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hipótese explicativa adicional, a orientação de estudantes do ensino médio em universidades tradicionais pode envolver custos de transação mais elevados (convênios externos, deslocamento e adaptação de rotinas laboratoriais). Em contraste, a verticalização dos Institutos Federais, </w:t>
      </w:r>
      <w:r w:rsidDel="00000000" w:rsidR="00000000" w:rsidRPr="00000000">
        <w:rPr>
          <w:sz w:val="24"/>
          <w:szCs w:val="24"/>
          <w:rtl w:val="0"/>
        </w:rPr>
        <w:t xml:space="preserve">associada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à formação humana integral (Zitzke &amp; Freitas, 2024), pode favorecer maior integração entre estudante e ambiente de pesquisa, com potencial redução de barreiras burocráticas e pedagógicas para participação recorrente no PIBIC-EM. </w:t>
      </w:r>
    </w:p>
    <w:p w:rsidR="00000000" w:rsidDel="00000000" w:rsidP="00000000" w:rsidRDefault="00000000" w:rsidRPr="00000000" w14:paraId="000002AF">
      <w:pPr>
        <w:pStyle w:val="Heading1"/>
        <w:widowControl w:val="0"/>
        <w:spacing w:before="627.8515625" w:line="240" w:lineRule="auto"/>
        <w:ind w:left="17.40386962890625" w:firstLine="0"/>
        <w:rPr>
          <w:sz w:val="24"/>
          <w:szCs w:val="24"/>
          <w:vertAlign w:val="baseline"/>
        </w:rPr>
      </w:pPr>
      <w:bookmarkStart w:colFirst="0" w:colLast="0" w:name="_bkg2mejduek7" w:id="12"/>
      <w:bookmarkEnd w:id="12"/>
      <w:r w:rsidDel="00000000" w:rsidR="00000000" w:rsidRPr="00000000">
        <w:rPr>
          <w:sz w:val="24"/>
          <w:szCs w:val="24"/>
          <w:vertAlign w:val="baseline"/>
          <w:rtl w:val="0"/>
        </w:rPr>
        <w:t xml:space="preserve">4. Conclusões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161865234375" w:line="248.3027458190918" w:lineRule="auto"/>
        <w:ind w:left="14.618377685546875" w:right="0.2185058593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literatura internacional tem debatido ativamente modelos de intervenção para mitigar o leaky pipeline de talentos em áreas STEM, frequentemente destacando a importância de parcerias e da aproximação precoce entre cientistas e estudantes da educação básica. Nesse cenário global, a experiência brasileira oferece uma contribuição ímpar: a institucionalização, em escala nacional, da Iniciação Científica Júnior, uma modalidade inspirada no bem-sucedido modelo de formação pela pesquisa já consolidado no nível de graduação. Contudo, ao apresentar as potencialidades do PIBIC-EM, este estudo partiu da premissa de que a formulação da política, por si só, não garante sua sustentabilidade. Em termos analíticos, o sucesso do programa parece estar fortemente associado à adesão e à permanência dos pesquisadores-orientadores. Assim, buscou-se compreender quais perfis acadêmicos e arranjos organizacionais apresentam evidências de maior capacidade de retenção de pesquisadores ao programa de formação científica voltado aos jovens do Ensino Médio.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00634765625" w:line="248.30188751220703" w:lineRule="auto"/>
        <w:ind w:left="12.65472412109375" w:right="42.76245117187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que os dados mostram, a participação no programa permanece concentrada nas regiões Sul e Sudeste e no volume absoluto das Universidades Federais. Contudo, ao deslocar o foco para a taxa de recorrência, os modelos sugerem que geografia e prestígio institucional global não aparecem como preditores centrais. Em termos interpretativos, a concentração regional pode ser lida como barreira de entrada. Como hipótese explicativa para a continuidade após a entrada, os resultados são mais compatíveis com o papel de capital científico individual e arquitetura administrativa da instituição de vínculo.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7692871094" w:line="248.31679344177246" w:lineRule="auto"/>
        <w:ind w:left="14.618377685546875" w:right="42.7636718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recorte federal, os dados indicam vantagem de recorrência para pesquisadores vinculados a IF/CEFET em comparação com Universidades Federais. Em termos interpretativos, esse resultado é compatível com a ideia de que o arranjo institucional pode mediar, ao menos parcialmente, a exigência de alto capital científico individual para permanência contínua. Como hipótese explicativa, a verticalização do ensino pode reduzir custos de coordenação entre educação básica e pesquisa, favorecendo engajamento docente mais estável.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8.30077171325684" w:lineRule="auto"/>
        <w:ind w:left="12.65472412109375" w:right="12.43774414062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Tais achados possuem implicações para o desenho de políticas públicas de CT&amp;I. Em termos </w:t>
      </w:r>
      <w:r w:rsidDel="00000000" w:rsidR="00000000" w:rsidRPr="00000000">
        <w:rPr>
          <w:sz w:val="24"/>
          <w:szCs w:val="24"/>
          <w:rtl w:val="0"/>
        </w:rPr>
        <w:t xml:space="preserve">interpretativos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os resultados sugerem que a transposição de modelos de iniciação científica para o ensino médio requer atenção contínua à infraestrutura organizacional que os abriga. Nesse cenário, a Rede Federal de Educação Profissional, Científica e Tecnológica aparece como ator relevante na interiorização e na democratização do acesso à ciência. No que os dados mostram, há </w:t>
      </w:r>
      <w:r w:rsidDel="00000000" w:rsidR="00000000" w:rsidRPr="00000000">
        <w:rPr>
          <w:sz w:val="24"/>
          <w:szCs w:val="24"/>
          <w:rtl w:val="0"/>
        </w:rPr>
        <w:t xml:space="preserve">associação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positiva entre vinculação aos IFs e recorrência de pesquisadores no programa; como hipótese de política, valorizar arranjos de verticalização entre escola e universidade pode contribuir para ampliar o incentivo de jovens estudantes a carreiras científicas.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fim, reconhecem-se os limites deste recorte analítico e sinalizam-se rotas para uma agenda de pesquisa futura. Metodologicamente, a amostra em estudo contempla exclusivamente pesquisadores cujos projetos foram aprovados e homologados pelo CNPq, deixando de fora proponentes que não obtiveram êxito em suas submissões. Por esse motivo, o modelo não objetiva medir a probabilidade de aprovação inicial, mas sim aferir a taxa de recorrência e os fatores que induzem a permanência daqueles que já superaram a barreira de entrada do programa e continuam a submeter propostas voltadas aos jovens estudantes.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9">
      <w:pPr>
        <w:pStyle w:val="Heading1"/>
        <w:rPr>
          <w:sz w:val="24"/>
          <w:szCs w:val="24"/>
          <w:vertAlign w:val="baseline"/>
        </w:rPr>
      </w:pPr>
      <w:bookmarkStart w:colFirst="0" w:colLast="0" w:name="_gdaww57w9mgv" w:id="13"/>
      <w:bookmarkEnd w:id="13"/>
      <w:r w:rsidDel="00000000" w:rsidR="00000000" w:rsidRPr="00000000">
        <w:rPr>
          <w:sz w:val="24"/>
          <w:szCs w:val="24"/>
          <w:rtl w:val="0"/>
        </w:rPr>
        <w:t xml:space="preserve">5. </w:t>
      </w:r>
      <w:r w:rsidDel="00000000" w:rsidR="00000000" w:rsidRPr="00000000">
        <w:rPr>
          <w:sz w:val="24"/>
          <w:szCs w:val="24"/>
          <w:vertAlign w:val="baseline"/>
          <w:rtl w:val="0"/>
        </w:rPr>
        <w:t xml:space="preserve">Refer</w:t>
      </w:r>
      <w:r w:rsidDel="00000000" w:rsidR="00000000" w:rsidRPr="00000000">
        <w:rPr>
          <w:sz w:val="24"/>
          <w:szCs w:val="24"/>
          <w:rtl w:val="0"/>
        </w:rPr>
        <w:t xml:space="preserve">ências</w:t>
      </w:r>
      <w:r w:rsidDel="00000000" w:rsidR="00000000" w:rsidRPr="00000000">
        <w:rPr>
          <w:sz w:val="24"/>
          <w:szCs w:val="24"/>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831787109375" w:line="248.29922676086426" w:lineRule="auto"/>
        <w:ind w:left="728.2968139648438" w:right="12.4365234375" w:hanging="712.8057861328125"/>
        <w:jc w:val="both"/>
        <w:rPr/>
      </w:pPr>
      <w:r w:rsidDel="00000000" w:rsidR="00000000" w:rsidRPr="00000000">
        <w:rPr>
          <w:rtl w:val="0"/>
        </w:rPr>
        <w:t xml:space="preserve">Almeida, V. H. D., &amp; Longhin, S. R. (2024). A iniciação científica no ensino médio: Reflexões e práticas nas escolas públicas brasileiras. </w:t>
      </w:r>
      <w:r w:rsidDel="00000000" w:rsidR="00000000" w:rsidRPr="00000000">
        <w:rPr>
          <w:i w:val="1"/>
          <w:iCs w:val="1"/>
          <w:rtl w:val="0"/>
        </w:rPr>
        <w:t xml:space="preserve">Contribuciones A Las Ciencias Sociales</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(9), e10422. </w:t>
      </w:r>
      <w:hyperlink r:id="rId8">
        <w:r w:rsidDel="00000000" w:rsidR="00000000" w:rsidRPr="00000000">
          <w:rPr>
            <w:color w:val="1155cc"/>
            <w:u w:val="single"/>
            <w:rtl w:val="0"/>
          </w:rPr>
          <w:t xml:space="preserve">https://doi.org/10.55905/revconv.17n.9-115</w:t>
        </w:r>
      </w:hyperlink>
      <w:r w:rsidDel="00000000" w:rsidR="00000000" w:rsidRPr="00000000">
        <w:rPr>
          <w:rtl w:val="0"/>
        </w:rPr>
        <w:t xml:space="preserve">  </w:t>
      </w:r>
    </w:p>
    <w:p w:rsidR="00000000" w:rsidDel="00000000" w:rsidP="00000000" w:rsidRDefault="00000000" w:rsidRPr="00000000" w14:paraId="000002CB">
      <w:pPr>
        <w:widowControl w:val="0"/>
        <w:spacing w:before="8.8165283203125" w:line="248.30520629882812" w:lineRule="auto"/>
        <w:ind w:left="730.0291442871094" w:right="0.313720703125" w:hanging="719.1273498535156"/>
        <w:jc w:val="both"/>
        <w:rPr/>
      </w:pPr>
      <w:r w:rsidDel="00000000" w:rsidR="00000000" w:rsidRPr="00000000">
        <w:rPr>
          <w:rtl w:val="0"/>
        </w:rPr>
        <w:t xml:space="preserve">Al-thani, N. J., Siby, N., Saad, A., Bhadra, J., Qahtani, N., Sellami, A., &amp; Ahmad, Z. (2025). Meta analysis of chemistry-based interdisciplinary informal research experience program for high school students. </w:t>
      </w:r>
      <w:r w:rsidDel="00000000" w:rsidR="00000000" w:rsidRPr="00000000">
        <w:rPr>
          <w:i w:val="1"/>
          <w:iCs w:val="1"/>
          <w:rtl w:val="0"/>
        </w:rPr>
        <w:t xml:space="preserve">Evaluation and Program Planning</w:t>
      </w:r>
      <w:r w:rsidDel="00000000" w:rsidR="00000000" w:rsidRPr="00000000">
        <w:rPr>
          <w:rtl w:val="0"/>
        </w:rPr>
        <w:t xml:space="preserve">, </w:t>
      </w:r>
      <w:r w:rsidDel="00000000" w:rsidR="00000000" w:rsidRPr="00000000">
        <w:rPr>
          <w:i w:val="1"/>
          <w:iCs w:val="1"/>
          <w:rtl w:val="0"/>
        </w:rPr>
        <w:t xml:space="preserve">108</w:t>
      </w:r>
      <w:r w:rsidDel="00000000" w:rsidR="00000000" w:rsidRPr="00000000">
        <w:rPr>
          <w:rtl w:val="0"/>
        </w:rPr>
        <w:t xml:space="preserve">, 102517. </w:t>
      </w:r>
      <w:hyperlink r:id="rId9">
        <w:r w:rsidDel="00000000" w:rsidR="00000000" w:rsidRPr="00000000">
          <w:rPr>
            <w:color w:val="1155cc"/>
            <w:u w:val="single"/>
            <w:rtl w:val="0"/>
          </w:rPr>
          <w:t xml:space="preserve">https://doi.org/10.1016/j.Evalprogplan.2024.102517</w:t>
        </w:r>
      </w:hyperlink>
      <w:r w:rsidDel="00000000" w:rsidR="00000000" w:rsidRPr="00000000">
        <w:rPr>
          <w:rtl w:val="0"/>
        </w:rPr>
        <w:t xml:space="preserve">   </w:t>
      </w:r>
    </w:p>
    <w:p w:rsidR="00000000" w:rsidDel="00000000" w:rsidP="00000000" w:rsidRDefault="00000000" w:rsidRPr="00000000" w14:paraId="000002CC">
      <w:pPr>
        <w:widowControl w:val="0"/>
        <w:spacing w:before="8.8128662109375" w:line="248.29922676086426" w:lineRule="auto"/>
        <w:ind w:left="730.2433776855469" w:right="41.13525390625" w:hanging="718.4687805175781"/>
        <w:jc w:val="both"/>
        <w:rPr/>
      </w:pPr>
      <w:r w:rsidDel="00000000" w:rsidR="00000000" w:rsidRPr="00000000">
        <w:rPr>
          <w:rtl w:val="0"/>
        </w:rPr>
        <w:t xml:space="preserve">Bessa, E. G. (2015). </w:t>
      </w:r>
      <w:r w:rsidDel="00000000" w:rsidR="00000000" w:rsidRPr="00000000">
        <w:rPr>
          <w:i w:val="1"/>
          <w:iCs w:val="1"/>
          <w:rtl w:val="0"/>
        </w:rPr>
        <w:t xml:space="preserve">Desenvolvimento de um projeto científico prático em biotecnologia para alunos do ensino médio</w:t>
      </w:r>
      <w:r w:rsidDel="00000000" w:rsidR="00000000" w:rsidRPr="00000000">
        <w:rPr>
          <w:rtl w:val="0"/>
        </w:rPr>
        <w:t xml:space="preserve"> [Dissertação de mestrado, Universidade Federal do Rio de Janeiro]. </w:t>
      </w:r>
    </w:p>
    <w:p w:rsidR="00000000" w:rsidDel="00000000" w:rsidP="00000000" w:rsidRDefault="00000000" w:rsidRPr="00000000" w14:paraId="000002CD">
      <w:pPr>
        <w:widowControl w:val="0"/>
        <w:spacing w:before="8.836669921875" w:line="248.29922676086426" w:lineRule="auto"/>
        <w:ind w:left="720" w:right="42.763671875"/>
        <w:rPr/>
      </w:pPr>
      <w:r w:rsidDel="00000000" w:rsidR="00000000" w:rsidRPr="00000000">
        <w:rPr>
          <w:rtl w:val="0"/>
        </w:rPr>
        <w:t xml:space="preserve">Bessa, E. G., &amp; Lima, I. V. D. L. (2017). A história e os objetivos da iniciação científica no ensino médio: Uma análise a partir dos programas do estado do Rio de Janeiro. </w:t>
      </w:r>
      <w:r w:rsidDel="00000000" w:rsidR="00000000" w:rsidRPr="00000000">
        <w:rPr>
          <w:i w:val="1"/>
          <w:iCs w:val="1"/>
          <w:rtl w:val="0"/>
        </w:rPr>
        <w:t xml:space="preserve">Revista Sobretudo, 8</w:t>
      </w:r>
      <w:r w:rsidDel="00000000" w:rsidR="00000000" w:rsidRPr="00000000">
        <w:rPr>
          <w:rtl w:val="0"/>
        </w:rPr>
        <w:t xml:space="preserve">(2), 18–42.</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https://ojs.sites.ufsc.br/index.php/sobretudo/article/view/2371</w:t>
        </w:r>
      </w:hyperlink>
      <w:r w:rsidDel="00000000" w:rsidR="00000000" w:rsidRPr="00000000">
        <w:rPr>
          <w:rtl w:val="0"/>
        </w:rPr>
      </w:r>
    </w:p>
    <w:p w:rsidR="00000000" w:rsidDel="00000000" w:rsidP="00000000" w:rsidRDefault="00000000" w:rsidRPr="00000000" w14:paraId="000002CE">
      <w:pPr>
        <w:widowControl w:val="0"/>
        <w:spacing w:before="8.8165283203125" w:line="248.29891204833984" w:lineRule="auto"/>
        <w:ind w:left="732.4290466308594" w:right="12.43896484375" w:hanging="720.6544494628906"/>
        <w:jc w:val="both"/>
        <w:rPr/>
      </w:pPr>
      <w:r w:rsidDel="00000000" w:rsidR="00000000" w:rsidRPr="00000000">
        <w:rPr>
          <w:rtl w:val="0"/>
        </w:rPr>
        <w:t xml:space="preserve">Bianchetti, L., Oliveira, A. D., Silva, E. L. D., &amp; Turnes, L. (2012). A iniciação à pesquisa no Brasil: políticas de formação de jovens pesquisadores. </w:t>
      </w:r>
      <w:r w:rsidDel="00000000" w:rsidR="00000000" w:rsidRPr="00000000">
        <w:rPr>
          <w:i w:val="1"/>
          <w:iCs w:val="1"/>
          <w:rtl w:val="0"/>
        </w:rPr>
        <w:t xml:space="preserve">Educação (UFSM)</w:t>
      </w:r>
      <w:r w:rsidDel="00000000" w:rsidR="00000000" w:rsidRPr="00000000">
        <w:rPr>
          <w:rtl w:val="0"/>
        </w:rPr>
        <w:t xml:space="preserve">, </w:t>
      </w:r>
      <w:r w:rsidDel="00000000" w:rsidR="00000000" w:rsidRPr="00000000">
        <w:rPr>
          <w:i w:val="1"/>
          <w:iCs w:val="1"/>
          <w:rtl w:val="0"/>
        </w:rPr>
        <w:t xml:space="preserve">37</w:t>
      </w:r>
      <w:r w:rsidDel="00000000" w:rsidR="00000000" w:rsidRPr="00000000">
        <w:rPr>
          <w:rtl w:val="0"/>
        </w:rPr>
        <w:t xml:space="preserve">(3), 569–584. </w:t>
      </w:r>
      <w:hyperlink r:id="rId12">
        <w:r w:rsidDel="00000000" w:rsidR="00000000" w:rsidRPr="00000000">
          <w:rPr>
            <w:color w:val="1155cc"/>
            <w:u w:val="single"/>
            <w:rtl w:val="0"/>
          </w:rPr>
          <w:t xml:space="preserve">https://doi.org/10.5902/198464445012</w:t>
        </w:r>
      </w:hyperlink>
      <w:r w:rsidDel="00000000" w:rsidR="00000000" w:rsidRPr="00000000">
        <w:rPr>
          <w:rtl w:val="0"/>
        </w:rPr>
        <w:t xml:space="preserve">  </w:t>
      </w:r>
    </w:p>
    <w:p w:rsidR="00000000" w:rsidDel="00000000" w:rsidP="00000000" w:rsidRDefault="00000000" w:rsidRPr="00000000" w14:paraId="000002CF">
      <w:pPr>
        <w:widowControl w:val="0"/>
        <w:spacing w:before="8.83636474609375" w:line="248.29891204833984" w:lineRule="auto"/>
        <w:ind w:left="730.9017944335938" w:right="0.22216796875" w:hanging="714.7636413574219"/>
        <w:jc w:val="both"/>
        <w:rPr/>
      </w:pPr>
      <w:r w:rsidDel="00000000" w:rsidR="00000000" w:rsidRPr="00000000">
        <w:rPr>
          <w:rtl w:val="0"/>
        </w:rPr>
        <w:t xml:space="preserve">Committee on Effective Mentoring in STEMM, Board on Higher Education and Workforce, Policy and Global Affairs, &amp; National Academies of Sciences, Engineering, and Medicine. (2019, December). </w:t>
      </w:r>
      <w:r w:rsidDel="00000000" w:rsidR="00000000" w:rsidRPr="00000000">
        <w:rPr>
          <w:i w:val="1"/>
          <w:iCs w:val="1"/>
          <w:rtl w:val="0"/>
        </w:rPr>
        <w:t xml:space="preserve">The Science of Effective Mentorship in STEMM </w:t>
      </w:r>
      <w:r w:rsidDel="00000000" w:rsidR="00000000" w:rsidRPr="00000000">
        <w:rPr>
          <w:rtl w:val="0"/>
        </w:rPr>
        <w:t xml:space="preserve">(A. Byars-Winston &amp; M. L. Dahlberg, Eds.) [Pages: 25568]. National Academies Press. </w:t>
      </w:r>
      <w:hyperlink r:id="rId13">
        <w:r w:rsidDel="00000000" w:rsidR="00000000" w:rsidRPr="00000000">
          <w:rPr>
            <w:color w:val="1155cc"/>
            <w:u w:val="single"/>
            <w:rtl w:val="0"/>
          </w:rPr>
          <w:t xml:space="preserve">https://doi.org/10.17226/25568</w:t>
        </w:r>
      </w:hyperlink>
      <w:r w:rsidDel="00000000" w:rsidR="00000000" w:rsidRPr="00000000">
        <w:rPr>
          <w:rtl w:val="0"/>
        </w:rPr>
        <w:t xml:space="preserve">  </w:t>
      </w:r>
    </w:p>
    <w:p w:rsidR="00000000" w:rsidDel="00000000" w:rsidP="00000000" w:rsidRDefault="00000000" w:rsidRPr="00000000" w14:paraId="000002D0">
      <w:pPr>
        <w:widowControl w:val="0"/>
        <w:spacing w:before="8.817138671875" w:line="248.3027458190918" w:lineRule="auto"/>
        <w:ind w:left="728.5018920898438" w:right="0.216064453125" w:hanging="712.3637390136719"/>
        <w:jc w:val="both"/>
        <w:rPr/>
      </w:pPr>
      <w:r w:rsidDel="00000000" w:rsidR="00000000" w:rsidRPr="00000000">
        <w:rPr>
          <w:rtl w:val="0"/>
        </w:rPr>
        <w:t xml:space="preserve">Conselho Nacional de Desenvolvimento Científico e Tecnológico (CNPq). (2024). </w:t>
      </w:r>
      <w:r w:rsidDel="00000000" w:rsidR="00000000" w:rsidRPr="00000000">
        <w:rPr>
          <w:i w:val="1"/>
          <w:iCs w:val="1"/>
          <w:rtl w:val="0"/>
        </w:rPr>
        <w:t xml:space="preserve">Pibic completa 36 anos consolidando-se como um dos principais programas de incentivo à ciência no brasil</w:t>
      </w:r>
      <w:r w:rsidDel="00000000" w:rsidR="00000000" w:rsidRPr="00000000">
        <w:rPr>
          <w:rtl w:val="0"/>
        </w:rPr>
        <w:t xml:space="preserve">. Retrieved February 6, 2026, from </w:t>
      </w:r>
      <w:hyperlink r:id="rId14">
        <w:r w:rsidDel="00000000" w:rsidR="00000000" w:rsidRPr="00000000">
          <w:rPr>
            <w:color w:val="1155cc"/>
            <w:u w:val="single"/>
            <w:rtl w:val="0"/>
          </w:rPr>
          <w:t xml:space="preserve">https://www.gov.br/cnpq/pt-br/assuntos/noticias/pibiccompleta-36-anos-consolidando-se-como-um-dos-principais-programas-de-incentivo-aciencia-no-brasil</w:t>
        </w:r>
      </w:hyperlink>
      <w:r w:rsidDel="00000000" w:rsidR="00000000" w:rsidRPr="00000000">
        <w:rPr>
          <w:rtl w:val="0"/>
        </w:rPr>
        <w:t xml:space="preserve">    </w:t>
      </w:r>
    </w:p>
    <w:p w:rsidR="00000000" w:rsidDel="00000000" w:rsidP="00000000" w:rsidRDefault="00000000" w:rsidRPr="00000000" w14:paraId="000002D1">
      <w:pPr>
        <w:widowControl w:val="0"/>
        <w:spacing w:before="8.8134765625" w:line="248.3045196533203" w:lineRule="auto"/>
        <w:ind w:left="725.4470825195312" w:right="28.138427734375" w:hanging="713.8906860351562"/>
        <w:jc w:val="both"/>
        <w:rPr/>
      </w:pPr>
      <w:r w:rsidDel="00000000" w:rsidR="00000000" w:rsidRPr="00000000">
        <w:rPr>
          <w:rtl w:val="0"/>
        </w:rPr>
        <w:t xml:space="preserve">Delgado, D. N., Pérez, P. C., Tinajero, J. V., Boland, T., &amp; Morera, O. F. (2025). Latinx High School Students’ Reflections About a University Summer Research Program Support the Use of Asset Bundles in Designing Programs for Broadening STEM Pipelines. </w:t>
      </w:r>
      <w:r w:rsidDel="00000000" w:rsidR="00000000" w:rsidRPr="00000000">
        <w:rPr>
          <w:i w:val="1"/>
          <w:iCs w:val="1"/>
          <w:rtl w:val="0"/>
        </w:rPr>
        <w:t xml:space="preserve">Journal of Latinos and Education</w:t>
      </w:r>
      <w:r w:rsidDel="00000000" w:rsidR="00000000" w:rsidRPr="00000000">
        <w:rPr>
          <w:rtl w:val="0"/>
        </w:rPr>
        <w:t xml:space="preserve">, </w:t>
      </w:r>
      <w:r w:rsidDel="00000000" w:rsidR="00000000" w:rsidRPr="00000000">
        <w:rPr>
          <w:i w:val="1"/>
          <w:iCs w:val="1"/>
          <w:rtl w:val="0"/>
        </w:rPr>
        <w:t xml:space="preserve">24</w:t>
      </w:r>
      <w:r w:rsidDel="00000000" w:rsidR="00000000" w:rsidRPr="00000000">
        <w:rPr>
          <w:rtl w:val="0"/>
        </w:rPr>
        <w:t xml:space="preserve">(3), 688–700. </w:t>
      </w:r>
      <w:hyperlink r:id="rId15">
        <w:r w:rsidDel="00000000" w:rsidR="00000000" w:rsidRPr="00000000">
          <w:rPr>
            <w:color w:val="1155cc"/>
            <w:u w:val="single"/>
            <w:rtl w:val="0"/>
          </w:rPr>
          <w:t xml:space="preserve">https://doi.org/10.1080/15348431.2024.2413530</w:t>
        </w:r>
      </w:hyperlink>
      <w:r w:rsidDel="00000000" w:rsidR="00000000" w:rsidRPr="00000000">
        <w:rPr>
          <w:rtl w:val="0"/>
        </w:rPr>
        <w:t xml:space="preserve">  </w:t>
      </w:r>
    </w:p>
    <w:p w:rsidR="00000000" w:rsidDel="00000000" w:rsidP="00000000" w:rsidRDefault="00000000" w:rsidRPr="00000000" w14:paraId="000002D2">
      <w:pPr>
        <w:widowControl w:val="0"/>
        <w:spacing w:before="8.812255859375" w:line="248.3074951171875" w:lineRule="auto"/>
        <w:ind w:left="730.0291442871094" w:right="12.43896484375" w:hanging="718.4727478027344"/>
        <w:jc w:val="both"/>
        <w:rPr/>
      </w:pPr>
      <w:r w:rsidDel="00000000" w:rsidR="00000000" w:rsidRPr="00000000">
        <w:rPr>
          <w:rtl w:val="0"/>
        </w:rPr>
        <w:t xml:space="preserve">Dresser, M., Miller, K., Sonnert, G., &amp; Sadler, P. (2025). Increasing STEM career interest: The role of out-of-school time STEM programs designed for underrepresented minorities (K. Buffardi, Ed.). </w:t>
      </w:r>
      <w:r w:rsidDel="00000000" w:rsidR="00000000" w:rsidRPr="00000000">
        <w:rPr>
          <w:i w:val="1"/>
          <w:iCs w:val="1"/>
          <w:rtl w:val="0"/>
        </w:rPr>
        <w:t xml:space="preserve">PLOS One</w:t>
      </w:r>
      <w:r w:rsidDel="00000000" w:rsidR="00000000" w:rsidRPr="00000000">
        <w:rPr>
          <w:rtl w:val="0"/>
        </w:rPr>
        <w:t xml:space="preserve">, </w:t>
      </w:r>
      <w:r w:rsidDel="00000000" w:rsidR="00000000" w:rsidRPr="00000000">
        <w:rPr>
          <w:i w:val="1"/>
          <w:iCs w:val="1"/>
          <w:rtl w:val="0"/>
        </w:rPr>
        <w:t xml:space="preserve">20</w:t>
      </w:r>
      <w:r w:rsidDel="00000000" w:rsidR="00000000" w:rsidRPr="00000000">
        <w:rPr>
          <w:rtl w:val="0"/>
        </w:rPr>
        <w:t xml:space="preserve">(11), e0336418. </w:t>
      </w:r>
      <w:hyperlink r:id="rId16">
        <w:r w:rsidDel="00000000" w:rsidR="00000000" w:rsidRPr="00000000">
          <w:rPr>
            <w:color w:val="1155cc"/>
            <w:u w:val="single"/>
            <w:rtl w:val="0"/>
          </w:rPr>
          <w:t xml:space="preserve">https://doi.org/10.1371/journal.pone.0336418</w:t>
        </w:r>
      </w:hyperlink>
      <w:r w:rsidDel="00000000" w:rsidR="00000000" w:rsidRPr="00000000">
        <w:rPr>
          <w:rtl w:val="0"/>
        </w:rPr>
        <w:t xml:space="preserve">  </w:t>
      </w:r>
    </w:p>
    <w:p w:rsidR="00000000" w:rsidDel="00000000" w:rsidP="00000000" w:rsidRDefault="00000000" w:rsidRPr="00000000" w14:paraId="000002D3">
      <w:pPr>
        <w:widowControl w:val="0"/>
        <w:spacing w:before="8.80859375" w:line="248.29882621765137" w:lineRule="auto"/>
        <w:ind w:left="731.9926452636719" w:right="0.240478515625" w:hanging="720.8726501464844"/>
        <w:jc w:val="both"/>
        <w:rPr/>
      </w:pPr>
      <w:r w:rsidDel="00000000" w:rsidR="00000000" w:rsidRPr="00000000">
        <w:rPr>
          <w:rtl w:val="0"/>
        </w:rPr>
        <w:t xml:space="preserve">Estrada, M., Hernandez, P. R., &amp; Schultz, P. W. (2018). A Longitudinal Study of How Quality Mentorship and Research Experience Integrate Underrepresented Minorities into STEM Careers (J. Herrera, Ed.). </w:t>
      </w:r>
      <w:r w:rsidDel="00000000" w:rsidR="00000000" w:rsidRPr="00000000">
        <w:rPr>
          <w:i w:val="1"/>
          <w:iCs w:val="1"/>
          <w:rtl w:val="0"/>
        </w:rPr>
        <w:t xml:space="preserve">CBE—Life Sciences Education</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(1), ar9. </w:t>
      </w:r>
      <w:hyperlink r:id="rId17">
        <w:r w:rsidDel="00000000" w:rsidR="00000000" w:rsidRPr="00000000">
          <w:rPr>
            <w:color w:val="1155cc"/>
            <w:u w:val="single"/>
            <w:rtl w:val="0"/>
          </w:rPr>
          <w:t xml:space="preserve">https://doi.org/10.1187/cbe.17-04-0066</w:t>
        </w:r>
      </w:hyperlink>
      <w:r w:rsidDel="00000000" w:rsidR="00000000" w:rsidRPr="00000000">
        <w:rPr>
          <w:rtl w:val="0"/>
        </w:rPr>
        <w:t xml:space="preserve">   </w:t>
      </w:r>
    </w:p>
    <w:p w:rsidR="00000000" w:rsidDel="00000000" w:rsidP="00000000" w:rsidRDefault="00000000" w:rsidRPr="00000000" w14:paraId="000002D4">
      <w:pPr>
        <w:widowControl w:val="0"/>
        <w:spacing w:before="8.837890625" w:line="248.3027172088623" w:lineRule="auto"/>
        <w:ind w:left="720" w:right="16.556396484375"/>
        <w:rPr/>
      </w:pPr>
      <w:r w:rsidDel="00000000" w:rsidR="00000000" w:rsidRPr="00000000">
        <w:rPr>
          <w:rtl w:val="0"/>
        </w:rPr>
        <w:t xml:space="preserve">Filipecki, A., Barros, S. D. S., &amp; Elia, M. D. F. (2006). A visão dos pesquisadores-orientadores de um programa de vocação científica sobre a iniciação científica de estudantes de ensino médio. </w:t>
      </w:r>
      <w:r w:rsidDel="00000000" w:rsidR="00000000" w:rsidRPr="00000000">
        <w:rPr>
          <w:i w:val="1"/>
          <w:iCs w:val="1"/>
          <w:rtl w:val="0"/>
        </w:rPr>
        <w:t xml:space="preserve">Ciência &amp; Educação (Bauru)</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(2), 199–217. </w:t>
      </w:r>
      <w:hyperlink r:id="rId18">
        <w:r w:rsidDel="00000000" w:rsidR="00000000" w:rsidRPr="00000000">
          <w:rPr>
            <w:color w:val="1155cc"/>
            <w:u w:val="single"/>
            <w:rtl w:val="0"/>
          </w:rPr>
          <w:t xml:space="preserve">https://doi.org/10.1590/S1516-73132006000200007</w:t>
        </w:r>
      </w:hyperlink>
      <w:r w:rsidDel="00000000" w:rsidR="00000000" w:rsidRPr="00000000">
        <w:rPr>
          <w:rtl w:val="0"/>
        </w:rPr>
        <w:t xml:space="preserve">   </w:t>
      </w:r>
    </w:p>
    <w:p w:rsidR="00000000" w:rsidDel="00000000" w:rsidP="00000000" w:rsidRDefault="00000000" w:rsidRPr="00000000" w14:paraId="000002D5">
      <w:pPr>
        <w:widowControl w:val="0"/>
        <w:spacing w:before="8.8134765625" w:line="248.29922676086426" w:lineRule="auto"/>
        <w:ind w:left="733.9474487304688" w:right="0.2197265625" w:hanging="722.8274536132812"/>
        <w:jc w:val="both"/>
        <w:rPr/>
      </w:pPr>
      <w:r w:rsidDel="00000000" w:rsidR="00000000" w:rsidRPr="00000000">
        <w:rPr>
          <w:rtl w:val="0"/>
        </w:rPr>
        <w:t xml:space="preserve">Flowers, S. K., Beyer, K. M., Pérez, M., &amp; Jeffe, D. B. (2016). Early Environmental Field Research Career Exploration: An Analysis of Impacts on Precollege Apprentices (M. Shuster, Ed.). </w:t>
      </w:r>
      <w:r w:rsidDel="00000000" w:rsidR="00000000" w:rsidRPr="00000000">
        <w:rPr>
          <w:i w:val="1"/>
          <w:iCs w:val="1"/>
          <w:rtl w:val="0"/>
        </w:rPr>
        <w:t xml:space="preserve">CBE—Life Sciences Education</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(4), ar67. </w:t>
      </w:r>
      <w:hyperlink r:id="rId19">
        <w:r w:rsidDel="00000000" w:rsidR="00000000" w:rsidRPr="00000000">
          <w:rPr>
            <w:color w:val="1155cc"/>
            <w:u w:val="single"/>
            <w:rtl w:val="0"/>
          </w:rPr>
          <w:t xml:space="preserve">https://doi.org/10.1187/cbe.15-11-0230</w:t>
        </w:r>
      </w:hyperlink>
      <w:r w:rsidDel="00000000" w:rsidR="00000000" w:rsidRPr="00000000">
        <w:rPr>
          <w:rtl w:val="0"/>
        </w:rPr>
        <w:t xml:space="preserve">  </w:t>
      </w:r>
    </w:p>
    <w:p w:rsidR="00000000" w:rsidDel="00000000" w:rsidP="00000000" w:rsidRDefault="00000000" w:rsidRPr="00000000" w14:paraId="000002D6">
      <w:pPr>
        <w:widowControl w:val="0"/>
        <w:spacing w:before="8.8165283203125" w:line="248.30371856689453" w:lineRule="auto"/>
        <w:ind w:left="730.0291442871094" w:right="10.15380859375" w:hanging="718.9091491699219"/>
        <w:jc w:val="both"/>
        <w:rPr/>
      </w:pPr>
      <w:r w:rsidDel="00000000" w:rsidR="00000000" w:rsidRPr="00000000">
        <w:rPr>
          <w:rtl w:val="0"/>
        </w:rPr>
        <w:t xml:space="preserve">Friedman, A. D., Melendez, C. R., Bush, A. A., Lai, S. K., &amp; McLaughlin, J. E. (2017). The Young Innovators Program at the Eshelman Institute for Innovation: A case study examining the role of a professional pharmacy school in enhancing STEM pursuits among secondary school students. </w:t>
      </w:r>
      <w:r w:rsidDel="00000000" w:rsidR="00000000" w:rsidRPr="00000000">
        <w:rPr>
          <w:i w:val="1"/>
          <w:iCs w:val="1"/>
          <w:rtl w:val="0"/>
        </w:rPr>
        <w:t xml:space="preserve">International Journal of STEM Education</w:t>
      </w:r>
      <w:r w:rsidDel="00000000" w:rsidR="00000000" w:rsidRPr="00000000">
        <w:rPr>
          <w:rtl w:val="0"/>
        </w:rPr>
        <w:t xml:space="preserve">, </w:t>
      </w:r>
      <w:r w:rsidDel="00000000" w:rsidR="00000000" w:rsidRPr="00000000">
        <w:rPr>
          <w:i w:val="1"/>
          <w:iCs w:val="1"/>
          <w:rtl w:val="0"/>
        </w:rPr>
        <w:t xml:space="preserve">4</w:t>
      </w:r>
      <w:r w:rsidDel="00000000" w:rsidR="00000000" w:rsidRPr="00000000">
        <w:rPr>
          <w:rtl w:val="0"/>
        </w:rPr>
        <w:t xml:space="preserve">(1), 17. </w:t>
      </w:r>
      <w:hyperlink r:id="rId20">
        <w:r w:rsidDel="00000000" w:rsidR="00000000" w:rsidRPr="00000000">
          <w:rPr>
            <w:color w:val="1155cc"/>
            <w:u w:val="single"/>
            <w:rtl w:val="0"/>
          </w:rPr>
          <w:t xml:space="preserve">https://doi.org/10.1186/s40594-017-0081-4</w:t>
        </w:r>
      </w:hyperlink>
      <w:r w:rsidDel="00000000" w:rsidR="00000000" w:rsidRPr="00000000">
        <w:rPr>
          <w:rtl w:val="0"/>
        </w:rPr>
        <w:t xml:space="preserve">   </w:t>
      </w:r>
    </w:p>
    <w:p w:rsidR="00000000" w:rsidDel="00000000" w:rsidP="00000000" w:rsidRDefault="00000000" w:rsidRPr="00000000" w14:paraId="000002D7">
      <w:pPr>
        <w:widowControl w:val="0"/>
        <w:spacing w:before="8.8128662109375" w:line="248.30803871154785" w:lineRule="auto"/>
        <w:ind w:left="731.3381958007812" w:right="16.67724609375" w:hanging="720.2182006835938"/>
        <w:jc w:val="both"/>
        <w:rPr/>
      </w:pPr>
      <w:r w:rsidDel="00000000" w:rsidR="00000000" w:rsidRPr="00000000">
        <w:rPr>
          <w:rtl w:val="0"/>
        </w:rPr>
        <w:t xml:space="preserve">Fuentes-Rojas, M., &amp; Gemma, S. F. B. (2021). Iniciação científica no ensino médio: Refletir para construir o futuro. </w:t>
      </w:r>
      <w:r w:rsidDel="00000000" w:rsidR="00000000" w:rsidRPr="00000000">
        <w:rPr>
          <w:i w:val="1"/>
          <w:iCs w:val="1"/>
          <w:rtl w:val="0"/>
        </w:rPr>
        <w:t xml:space="preserve">Pro-Posições</w:t>
      </w:r>
      <w:r w:rsidDel="00000000" w:rsidR="00000000" w:rsidRPr="00000000">
        <w:rPr>
          <w:rtl w:val="0"/>
        </w:rPr>
        <w:t xml:space="preserve">, </w:t>
      </w:r>
      <w:r w:rsidDel="00000000" w:rsidR="00000000" w:rsidRPr="00000000">
        <w:rPr>
          <w:i w:val="1"/>
          <w:iCs w:val="1"/>
          <w:rtl w:val="0"/>
        </w:rPr>
        <w:t xml:space="preserve">32</w:t>
      </w:r>
      <w:r w:rsidDel="00000000" w:rsidR="00000000" w:rsidRPr="00000000">
        <w:rPr>
          <w:rtl w:val="0"/>
        </w:rPr>
        <w:t xml:space="preserve">, e20180083. </w:t>
      </w:r>
      <w:hyperlink r:id="rId21">
        <w:r w:rsidDel="00000000" w:rsidR="00000000" w:rsidRPr="00000000">
          <w:rPr>
            <w:color w:val="1155cc"/>
            <w:u w:val="single"/>
            <w:rtl w:val="0"/>
          </w:rPr>
          <w:t xml:space="preserve">https://doi.org/10.1590/1980-6248-2018-0083</w:t>
        </w:r>
      </w:hyperlink>
      <w:r w:rsidDel="00000000" w:rsidR="00000000" w:rsidRPr="00000000">
        <w:rPr>
          <w:rtl w:val="0"/>
        </w:rPr>
        <w:t xml:space="preserve">   </w:t>
      </w:r>
    </w:p>
    <w:p w:rsidR="00000000" w:rsidDel="00000000" w:rsidP="00000000" w:rsidRDefault="00000000" w:rsidRPr="00000000" w14:paraId="000002D8">
      <w:pPr>
        <w:widowControl w:val="0"/>
        <w:spacing w:before="8.80889892578125" w:line="248.29833984375" w:lineRule="auto"/>
        <w:ind w:left="730.9017944335938" w:right="18.980712890625" w:hanging="714.7636413574219"/>
        <w:rPr/>
      </w:pPr>
      <w:r w:rsidDel="00000000" w:rsidR="00000000" w:rsidRPr="00000000">
        <w:rPr>
          <w:rtl w:val="0"/>
        </w:rPr>
        <w:t xml:space="preserve">Gatti, B. A. (2001). Reflexão sobre os desafios da pós-graduação: Novas perspectivas sociais, conhecimento e poder. </w:t>
      </w:r>
      <w:r w:rsidDel="00000000" w:rsidR="00000000" w:rsidRPr="00000000">
        <w:rPr>
          <w:i w:val="1"/>
          <w:iCs w:val="1"/>
          <w:rtl w:val="0"/>
        </w:rPr>
        <w:t xml:space="preserve">Revista Brasileira de Educação</w:t>
      </w:r>
      <w:r w:rsidDel="00000000" w:rsidR="00000000" w:rsidRPr="00000000">
        <w:rPr>
          <w:rtl w:val="0"/>
        </w:rPr>
        <w:t xml:space="preserve">, (18), 108–116.</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https://doi.org/10.1590/S1413-24782001000300010</w:t>
        </w:r>
      </w:hyperlink>
      <w:r w:rsidDel="00000000" w:rsidR="00000000" w:rsidRPr="00000000">
        <w:rPr>
          <w:rtl w:val="0"/>
        </w:rPr>
      </w:r>
    </w:p>
    <w:p w:rsidR="00000000" w:rsidDel="00000000" w:rsidP="00000000" w:rsidRDefault="00000000" w:rsidRPr="00000000" w14:paraId="000002D9">
      <w:pPr>
        <w:widowControl w:val="0"/>
        <w:spacing w:before="8.8177490234375" w:line="248.30337524414062" w:lineRule="auto"/>
        <w:ind w:left="720" w:right="10.238037109375" w:hanging="703.8618469238281"/>
        <w:jc w:val="both"/>
        <w:rPr/>
      </w:pPr>
      <w:r w:rsidDel="00000000" w:rsidR="00000000" w:rsidRPr="00000000">
        <w:rPr>
          <w:rtl w:val="0"/>
        </w:rPr>
        <w:t xml:space="preserve">Ghani, N., Baker, H., Huntsinger, A., Chen, T., Familara, T. D., Itorralba, J. Y., Vanderford, F., Zhuang, X., Chang, C.-L., Vo, V., &amp; Oh, E. C. (2024). Science Education for the Youth (SEFTY): A Neuroscience Outreach Program for High School Students in Southern Nevada during the COVID-19 Pandemic. </w:t>
      </w:r>
      <w:r w:rsidDel="00000000" w:rsidR="00000000" w:rsidRPr="00000000">
        <w:rPr>
          <w:i w:val="1"/>
          <w:iCs w:val="1"/>
          <w:rtl w:val="0"/>
        </w:rPr>
        <w:t xml:space="preserve">eneuro</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(4), ENEURO.0039–24.2024. </w:t>
      </w:r>
      <w:hyperlink r:id="rId24">
        <w:r w:rsidDel="00000000" w:rsidR="00000000" w:rsidRPr="00000000">
          <w:rPr>
            <w:color w:val="1155cc"/>
            <w:u w:val="single"/>
            <w:rtl w:val="0"/>
          </w:rPr>
          <w:t xml:space="preserve">https://doi.org/10.1523/ENEURO.0039-24.2024</w:t>
        </w:r>
      </w:hyperlink>
      <w:r w:rsidDel="00000000" w:rsidR="00000000" w:rsidRPr="00000000">
        <w:rPr>
          <w:rtl w:val="0"/>
        </w:rPr>
        <w:t xml:space="preserve">   </w:t>
      </w:r>
    </w:p>
    <w:p w:rsidR="00000000" w:rsidDel="00000000" w:rsidP="00000000" w:rsidRDefault="00000000" w:rsidRPr="00000000" w14:paraId="000002DA">
      <w:pPr>
        <w:widowControl w:val="0"/>
        <w:spacing w:before="8.81195068359375" w:line="248.3078384399414" w:lineRule="auto"/>
        <w:ind w:left="730.0297546386719" w:right="0.22705078125" w:hanging="718.9097595214844"/>
        <w:jc w:val="both"/>
        <w:rPr/>
      </w:pPr>
      <w:r w:rsidDel="00000000" w:rsidR="00000000" w:rsidRPr="00000000">
        <w:rPr>
          <w:rtl w:val="0"/>
        </w:rPr>
        <w:t xml:space="preserve">Katzenmeyer, C., &amp; Lawrenz, F. (2006). National science foundation perspectives on the nature of STEM program evaluation. </w:t>
      </w:r>
      <w:r w:rsidDel="00000000" w:rsidR="00000000" w:rsidRPr="00000000">
        <w:rPr>
          <w:i w:val="1"/>
          <w:iCs w:val="1"/>
          <w:rtl w:val="0"/>
        </w:rPr>
        <w:t xml:space="preserve">New Directions for Evaluation</w:t>
      </w:r>
      <w:r w:rsidDel="00000000" w:rsidR="00000000" w:rsidRPr="00000000">
        <w:rPr>
          <w:rtl w:val="0"/>
        </w:rPr>
        <w:t xml:space="preserve">, </w:t>
      </w:r>
      <w:r w:rsidDel="00000000" w:rsidR="00000000" w:rsidRPr="00000000">
        <w:rPr>
          <w:i w:val="1"/>
          <w:iCs w:val="1"/>
          <w:rtl w:val="0"/>
        </w:rPr>
        <w:t xml:space="preserve">2006</w:t>
      </w:r>
      <w:r w:rsidDel="00000000" w:rsidR="00000000" w:rsidRPr="00000000">
        <w:rPr>
          <w:rtl w:val="0"/>
        </w:rPr>
        <w:t xml:space="preserve">(109), 7–18. </w:t>
      </w:r>
      <w:hyperlink r:id="rId25">
        <w:r w:rsidDel="00000000" w:rsidR="00000000" w:rsidRPr="00000000">
          <w:rPr>
            <w:color w:val="1155cc"/>
            <w:u w:val="single"/>
            <w:rtl w:val="0"/>
          </w:rPr>
          <w:t xml:space="preserve">https://doi.org/10.1002/ev.175</w:t>
        </w:r>
      </w:hyperlink>
      <w:r w:rsidDel="00000000" w:rsidR="00000000" w:rsidRPr="00000000">
        <w:rPr>
          <w:rtl w:val="0"/>
        </w:rPr>
        <w:t xml:space="preserve">   </w:t>
      </w:r>
    </w:p>
    <w:p w:rsidR="00000000" w:rsidDel="00000000" w:rsidP="00000000" w:rsidRDefault="00000000" w:rsidRPr="00000000" w14:paraId="000002DB">
      <w:pPr>
        <w:widowControl w:val="0"/>
        <w:spacing w:before="8.81195068359375" w:line="248.3078384399414" w:lineRule="auto"/>
        <w:ind w:left="730.0297546386719" w:right="0.22705078125" w:hanging="718.9097595214844"/>
        <w:jc w:val="both"/>
        <w:rPr/>
      </w:pPr>
      <w:r w:rsidDel="00000000" w:rsidR="00000000" w:rsidRPr="00000000">
        <w:rPr>
          <w:rtl w:val="0"/>
        </w:rPr>
        <w:t xml:space="preserve">Kitchen, J. A., Sonnert, G., &amp; Sadler, P. M. (2018). The impact of college‐ and university‐run high school summer programs on students’ end of high school STEM career aspirations. </w:t>
      </w:r>
      <w:r w:rsidDel="00000000" w:rsidR="00000000" w:rsidRPr="00000000">
        <w:rPr>
          <w:i w:val="1"/>
          <w:iCs w:val="1"/>
          <w:rtl w:val="0"/>
        </w:rPr>
        <w:t xml:space="preserve">Science Education</w:t>
      </w:r>
      <w:r w:rsidDel="00000000" w:rsidR="00000000" w:rsidRPr="00000000">
        <w:rPr>
          <w:rtl w:val="0"/>
        </w:rPr>
        <w:t xml:space="preserve">, </w:t>
      </w:r>
      <w:r w:rsidDel="00000000" w:rsidR="00000000" w:rsidRPr="00000000">
        <w:rPr>
          <w:i w:val="1"/>
          <w:iCs w:val="1"/>
          <w:rtl w:val="0"/>
        </w:rPr>
        <w:t xml:space="preserve">102</w:t>
      </w:r>
      <w:r w:rsidDel="00000000" w:rsidR="00000000" w:rsidRPr="00000000">
        <w:rPr>
          <w:rtl w:val="0"/>
        </w:rPr>
        <w:t xml:space="preserve">(3), 529–547. </w:t>
      </w:r>
      <w:hyperlink r:id="rId26">
        <w:r w:rsidDel="00000000" w:rsidR="00000000" w:rsidRPr="00000000">
          <w:rPr>
            <w:color w:val="1155cc"/>
            <w:u w:val="single"/>
            <w:rtl w:val="0"/>
          </w:rPr>
          <w:t xml:space="preserve">https://doi.org/10.1002/sce.21332</w:t>
        </w:r>
      </w:hyperlink>
      <w:r w:rsidDel="00000000" w:rsidR="00000000" w:rsidRPr="00000000">
        <w:rPr>
          <w:rtl w:val="0"/>
        </w:rPr>
        <w:t xml:space="preserve">  </w:t>
      </w:r>
    </w:p>
    <w:p w:rsidR="00000000" w:rsidDel="00000000" w:rsidP="00000000" w:rsidRDefault="00000000" w:rsidRPr="00000000" w14:paraId="000002DC">
      <w:pPr>
        <w:widowControl w:val="0"/>
        <w:spacing w:before="8.817138671875" w:line="248.30188751220703" w:lineRule="auto"/>
        <w:ind w:left="720" w:right="12.43896484375"/>
        <w:rPr/>
      </w:pPr>
      <w:r w:rsidDel="00000000" w:rsidR="00000000" w:rsidRPr="00000000">
        <w:rPr>
          <w:rtl w:val="0"/>
        </w:rPr>
        <w:t xml:space="preserve">Knaggård, Å. (2015). The Multiple Streams Framework and the problem broker. </w:t>
      </w:r>
      <w:r w:rsidDel="00000000" w:rsidR="00000000" w:rsidRPr="00000000">
        <w:rPr>
          <w:i w:val="1"/>
          <w:iCs w:val="1"/>
          <w:rtl w:val="0"/>
        </w:rPr>
        <w:t xml:space="preserve">European Journal of Political Research</w:t>
      </w:r>
      <w:r w:rsidDel="00000000" w:rsidR="00000000" w:rsidRPr="00000000">
        <w:rPr>
          <w:rtl w:val="0"/>
        </w:rPr>
        <w:t xml:space="preserve">, </w:t>
      </w:r>
      <w:r w:rsidDel="00000000" w:rsidR="00000000" w:rsidRPr="00000000">
        <w:rPr>
          <w:i w:val="1"/>
          <w:iCs w:val="1"/>
          <w:rtl w:val="0"/>
        </w:rPr>
        <w:t xml:space="preserve">54</w:t>
      </w:r>
      <w:r w:rsidDel="00000000" w:rsidR="00000000" w:rsidRPr="00000000">
        <w:rPr>
          <w:rtl w:val="0"/>
        </w:rPr>
        <w:t xml:space="preserve">(3), 450–465. </w:t>
      </w:r>
      <w:hyperlink r:id="rId27">
        <w:r w:rsidDel="00000000" w:rsidR="00000000" w:rsidRPr="00000000">
          <w:rPr>
            <w:color w:val="1155cc"/>
            <w:u w:val="single"/>
            <w:rtl w:val="0"/>
          </w:rPr>
          <w:t xml:space="preserve">https://doi.org/10.1111/1475-6765.12097</w:t>
        </w:r>
      </w:hyperlink>
      <w:r w:rsidDel="00000000" w:rsidR="00000000" w:rsidRPr="00000000">
        <w:rPr>
          <w:rtl w:val="0"/>
        </w:rPr>
      </w:r>
    </w:p>
    <w:p w:rsidR="00000000" w:rsidDel="00000000" w:rsidP="00000000" w:rsidRDefault="00000000" w:rsidRPr="00000000" w14:paraId="000002DD">
      <w:pPr>
        <w:widowControl w:val="0"/>
        <w:spacing w:before="8.817138671875" w:line="248.30188751220703" w:lineRule="auto"/>
        <w:ind w:left="720" w:right="12.43896484375"/>
        <w:rPr/>
      </w:pPr>
      <w:r w:rsidDel="00000000" w:rsidR="00000000" w:rsidRPr="00000000">
        <w:rPr>
          <w:rtl w:val="0"/>
        </w:rPr>
        <w:t xml:space="preserve">Kuchynka, S. L., Reifsteck, T. V., Gates, A. E., &amp; Rivera, L. M. (2022). Which STEM relationships promote science identities, attitudes, and social belonging? A longitudinal investigation with high school students from underrepresented groups. </w:t>
      </w:r>
      <w:r w:rsidDel="00000000" w:rsidR="00000000" w:rsidRPr="00000000">
        <w:rPr>
          <w:i w:val="1"/>
          <w:iCs w:val="1"/>
          <w:rtl w:val="0"/>
        </w:rPr>
        <w:t xml:space="preserve">Social Psychology of Education</w:t>
      </w:r>
      <w:r w:rsidDel="00000000" w:rsidR="00000000" w:rsidRPr="00000000">
        <w:rPr>
          <w:rtl w:val="0"/>
        </w:rPr>
        <w:t xml:space="preserve">, </w:t>
      </w:r>
      <w:r w:rsidDel="00000000" w:rsidR="00000000" w:rsidRPr="00000000">
        <w:rPr>
          <w:i w:val="1"/>
          <w:iCs w:val="1"/>
          <w:rtl w:val="0"/>
        </w:rPr>
        <w:t xml:space="preserve">25</w:t>
      </w:r>
      <w:r w:rsidDel="00000000" w:rsidR="00000000" w:rsidRPr="00000000">
        <w:rPr>
          <w:rtl w:val="0"/>
        </w:rPr>
        <w:t xml:space="preserve">(4), 819–843. </w:t>
      </w:r>
      <w:hyperlink r:id="rId28">
        <w:r w:rsidDel="00000000" w:rsidR="00000000" w:rsidRPr="00000000">
          <w:rPr>
            <w:color w:val="1155cc"/>
            <w:u w:val="single"/>
            <w:rtl w:val="0"/>
          </w:rPr>
          <w:t xml:space="preserve">https://doi.org/10.1007/s11218-022-09705-7</w:t>
        </w:r>
      </w:hyperlink>
      <w:r w:rsidDel="00000000" w:rsidR="00000000" w:rsidRPr="00000000">
        <w:rPr>
          <w:rtl w:val="0"/>
        </w:rPr>
        <w:t xml:space="preserve">  </w:t>
      </w:r>
    </w:p>
    <w:p w:rsidR="00000000" w:rsidDel="00000000" w:rsidP="00000000" w:rsidRDefault="00000000" w:rsidRPr="00000000" w14:paraId="000002DE">
      <w:pPr>
        <w:widowControl w:val="0"/>
        <w:spacing w:before="8.834228515625" w:line="248.30214500427246" w:lineRule="auto"/>
        <w:ind w:left="720" w:right="34.473876953125"/>
        <w:rPr/>
      </w:pPr>
      <w:r w:rsidDel="00000000" w:rsidR="00000000" w:rsidRPr="00000000">
        <w:rPr>
          <w:rtl w:val="0"/>
        </w:rPr>
        <w:t xml:space="preserve"> Liu, A. S., &amp; Schunn, C. D. (2020). Predicting pathways to optional summer science experiences by socioeconomic status and the impact on science attitudes and skills. </w:t>
      </w:r>
      <w:r w:rsidDel="00000000" w:rsidR="00000000" w:rsidRPr="00000000">
        <w:rPr>
          <w:i w:val="1"/>
          <w:iCs w:val="1"/>
          <w:rtl w:val="0"/>
        </w:rPr>
        <w:t xml:space="preserve">International Journal of STEM Education, 7</w:t>
      </w:r>
      <w:r w:rsidDel="00000000" w:rsidR="00000000" w:rsidRPr="00000000">
        <w:rPr>
          <w:rtl w:val="0"/>
        </w:rPr>
        <w:t xml:space="preserve">(1), Article 49.</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https://doi.org/10.1186/s40594-020-00247-y</w:t>
        </w:r>
      </w:hyperlink>
      <w:r w:rsidDel="00000000" w:rsidR="00000000" w:rsidRPr="00000000">
        <w:rPr>
          <w:rtl w:val="0"/>
        </w:rPr>
      </w:r>
    </w:p>
    <w:p w:rsidR="00000000" w:rsidDel="00000000" w:rsidP="00000000" w:rsidRDefault="00000000" w:rsidRPr="00000000" w14:paraId="000002DF">
      <w:pPr>
        <w:widowControl w:val="0"/>
        <w:spacing w:before="8.8134765625" w:line="248.29862594604492" w:lineRule="auto"/>
        <w:ind w:left="730.0291442871094" w:right="16.624755859375" w:hanging="718.9091491699219"/>
        <w:jc w:val="both"/>
        <w:rPr/>
      </w:pPr>
      <w:r w:rsidDel="00000000" w:rsidR="00000000" w:rsidRPr="00000000">
        <w:rPr>
          <w:rtl w:val="0"/>
        </w:rPr>
        <w:t xml:space="preserve">Lüdke, M., &amp; Cruz, G. B. D. (2005). Aproximando universidade e escola de educação básica pela pesquisa. </w:t>
      </w:r>
      <w:r w:rsidDel="00000000" w:rsidR="00000000" w:rsidRPr="00000000">
        <w:rPr>
          <w:i w:val="1"/>
          <w:iCs w:val="1"/>
          <w:rtl w:val="0"/>
        </w:rPr>
        <w:t xml:space="preserve">Cadernos de Pesquisa</w:t>
      </w:r>
      <w:r w:rsidDel="00000000" w:rsidR="00000000" w:rsidRPr="00000000">
        <w:rPr>
          <w:rtl w:val="0"/>
        </w:rPr>
        <w:t xml:space="preserve">, </w:t>
      </w:r>
      <w:r w:rsidDel="00000000" w:rsidR="00000000" w:rsidRPr="00000000">
        <w:rPr>
          <w:i w:val="1"/>
          <w:iCs w:val="1"/>
          <w:rtl w:val="0"/>
        </w:rPr>
        <w:t xml:space="preserve">35</w:t>
      </w:r>
      <w:r w:rsidDel="00000000" w:rsidR="00000000" w:rsidRPr="00000000">
        <w:rPr>
          <w:rtl w:val="0"/>
        </w:rPr>
        <w:t xml:space="preserve">(125), 81–109. </w:t>
      </w:r>
      <w:hyperlink r:id="rId31">
        <w:r w:rsidDel="00000000" w:rsidR="00000000" w:rsidRPr="00000000">
          <w:rPr>
            <w:color w:val="1155cc"/>
            <w:u w:val="single"/>
            <w:rtl w:val="0"/>
          </w:rPr>
          <w:t xml:space="preserve">https://doi.org/10.1590/S0100-15742005000200006</w:t>
        </w:r>
      </w:hyperlink>
      <w:r w:rsidDel="00000000" w:rsidR="00000000" w:rsidRPr="00000000">
        <w:rPr>
          <w:rtl w:val="0"/>
        </w:rPr>
        <w:t xml:space="preserve">   </w:t>
      </w:r>
    </w:p>
    <w:p w:rsidR="00000000" w:rsidDel="00000000" w:rsidP="00000000" w:rsidRDefault="00000000" w:rsidRPr="00000000" w14:paraId="000002E0">
      <w:pPr>
        <w:widowControl w:val="0"/>
        <w:spacing w:before="8.8177490234375" w:line="248.3081817626953" w:lineRule="auto"/>
        <w:ind w:left="729.3692016601562" w:right="16.514892578125" w:hanging="718.2492065429688"/>
        <w:jc w:val="both"/>
        <w:rPr/>
      </w:pPr>
      <w:r w:rsidDel="00000000" w:rsidR="00000000" w:rsidRPr="00000000">
        <w:rPr>
          <w:rtl w:val="0"/>
        </w:rPr>
        <w:t xml:space="preserve">Lüdke, M., Cruz, G. B. D., &amp; Boing, L. A. (2009). A pesquisa do professor da educação básica em questão. </w:t>
      </w:r>
      <w:r w:rsidDel="00000000" w:rsidR="00000000" w:rsidRPr="00000000">
        <w:rPr>
          <w:i w:val="1"/>
          <w:iCs w:val="1"/>
          <w:rtl w:val="0"/>
        </w:rPr>
        <w:t xml:space="preserve">Revista Brasileira de Educação</w:t>
      </w:r>
      <w:r w:rsidDel="00000000" w:rsidR="00000000" w:rsidRPr="00000000">
        <w:rPr>
          <w:rtl w:val="0"/>
        </w:rPr>
        <w:t xml:space="preserve">, </w:t>
      </w:r>
      <w:r w:rsidDel="00000000" w:rsidR="00000000" w:rsidRPr="00000000">
        <w:rPr>
          <w:i w:val="1"/>
          <w:iCs w:val="1"/>
          <w:rtl w:val="0"/>
        </w:rPr>
        <w:t xml:space="preserve">14</w:t>
      </w:r>
      <w:r w:rsidDel="00000000" w:rsidR="00000000" w:rsidRPr="00000000">
        <w:rPr>
          <w:rtl w:val="0"/>
        </w:rPr>
        <w:t xml:space="preserve">(42), 456–468. </w:t>
      </w:r>
      <w:hyperlink r:id="rId32">
        <w:r w:rsidDel="00000000" w:rsidR="00000000" w:rsidRPr="00000000">
          <w:rPr>
            <w:color w:val="1155cc"/>
            <w:u w:val="single"/>
            <w:rtl w:val="0"/>
          </w:rPr>
          <w:t xml:space="preserve">https://doi.org/10.1590/S1413-24782009000300005</w:t>
        </w:r>
      </w:hyperlink>
      <w:r w:rsidDel="00000000" w:rsidR="00000000" w:rsidRPr="00000000">
        <w:rPr>
          <w:rtl w:val="0"/>
        </w:rPr>
        <w:t xml:space="preserve">    </w:t>
      </w:r>
    </w:p>
    <w:p w:rsidR="00000000" w:rsidDel="00000000" w:rsidP="00000000" w:rsidRDefault="00000000" w:rsidRPr="00000000" w14:paraId="000002E1">
      <w:pPr>
        <w:widowControl w:val="0"/>
        <w:spacing w:before="8.8092041015625" w:line="248.30357551574707" w:lineRule="auto"/>
        <w:ind w:left="720" w:right="0.263671875"/>
        <w:rPr/>
      </w:pPr>
      <w:r w:rsidDel="00000000" w:rsidR="00000000" w:rsidRPr="00000000">
        <w:rPr>
          <w:rtl w:val="0"/>
        </w:rPr>
        <w:t xml:space="preserve">Mazzei, L. D. (2013). Iniciação cienơfica na escola: Uma abordagem pluralista. </w:t>
      </w:r>
      <w:r w:rsidDel="00000000" w:rsidR="00000000" w:rsidRPr="00000000">
        <w:rPr>
          <w:i w:val="1"/>
          <w:iCs w:val="1"/>
          <w:rtl w:val="0"/>
        </w:rPr>
        <w:t xml:space="preserve">26</w:t>
      </w:r>
      <w:r w:rsidDel="00000000" w:rsidR="00000000" w:rsidRPr="00000000">
        <w:rPr>
          <w:rtl w:val="0"/>
        </w:rPr>
        <w:t xml:space="preserve">(2). Mims, P. J., Lee, L. E., Kuldell, N., &amp; Franklin, C. (2025). Strengthening the STEM pipeline: Impact of project-based synthetic biology program on high school students’ science identity and competency. </w:t>
      </w:r>
      <w:r w:rsidDel="00000000" w:rsidR="00000000" w:rsidRPr="00000000">
        <w:rPr>
          <w:i w:val="1"/>
          <w:iCs w:val="1"/>
          <w:rtl w:val="0"/>
        </w:rPr>
        <w:t xml:space="preserve">Frontiers in Education</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 </w:t>
      </w:r>
      <w:hyperlink r:id="rId33">
        <w:r w:rsidDel="00000000" w:rsidR="00000000" w:rsidRPr="00000000">
          <w:rPr>
            <w:color w:val="1155cc"/>
            <w:u w:val="single"/>
            <w:rtl w:val="0"/>
          </w:rPr>
          <w:t xml:space="preserve">https://doi.org/10.3389/feduc.2024.1493356</w:t>
        </w:r>
      </w:hyperlink>
      <w:r w:rsidDel="00000000" w:rsidR="00000000" w:rsidRPr="00000000">
        <w:rPr>
          <w:rtl w:val="0"/>
        </w:rPr>
      </w:r>
    </w:p>
    <w:p w:rsidR="00000000" w:rsidDel="00000000" w:rsidP="00000000" w:rsidRDefault="00000000" w:rsidRPr="00000000" w14:paraId="000002E2">
      <w:pPr>
        <w:widowControl w:val="0"/>
        <w:spacing w:before="8.8092041015625" w:line="248.30357551574707" w:lineRule="auto"/>
        <w:ind w:left="720" w:right="0.263671875"/>
        <w:rPr/>
      </w:pPr>
      <w:r w:rsidDel="00000000" w:rsidR="00000000" w:rsidRPr="00000000">
        <w:rPr>
          <w:rtl w:val="0"/>
        </w:rPr>
        <w:t xml:space="preserve">Ministério da Ciência e Tecnologia, &amp; Academia Brasileira de Ciências. (2001). </w:t>
      </w:r>
      <w:r w:rsidDel="00000000" w:rsidR="00000000" w:rsidRPr="00000000">
        <w:rPr>
          <w:i w:val="1"/>
          <w:iCs w:val="1"/>
          <w:rtl w:val="0"/>
        </w:rPr>
        <w:t xml:space="preserve">Ciência, tecnologia e inovação: Desafio para a sociedade brasileira: Livro verde</w:t>
      </w:r>
      <w:r w:rsidDel="00000000" w:rsidR="00000000" w:rsidRPr="00000000">
        <w:rPr>
          <w:rtl w:val="0"/>
        </w:rPr>
        <w:t xml:space="preserv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https://livroaberto.ibict.br/handle/123456789/859</w:t>
        </w:r>
      </w:hyperlink>
      <w:r w:rsidDel="00000000" w:rsidR="00000000" w:rsidRPr="00000000">
        <w:rPr>
          <w:rtl w:val="0"/>
        </w:rPr>
      </w:r>
    </w:p>
    <w:p w:rsidR="00000000" w:rsidDel="00000000" w:rsidP="00000000" w:rsidRDefault="00000000" w:rsidRPr="00000000" w14:paraId="000002E3">
      <w:pPr>
        <w:widowControl w:val="0"/>
        <w:spacing w:before="8.8092041015625" w:line="248.30357551574707" w:lineRule="auto"/>
        <w:ind w:left="720" w:right="0.263671875"/>
        <w:rPr/>
      </w:pPr>
      <w:r w:rsidDel="00000000" w:rsidR="00000000" w:rsidRPr="00000000">
        <w:rPr>
          <w:rtl w:val="0"/>
        </w:rPr>
        <w:t xml:space="preserve">Ministério da Ciência e Tecnologia. (2002). </w:t>
      </w:r>
      <w:r w:rsidDel="00000000" w:rsidR="00000000" w:rsidRPr="00000000">
        <w:rPr>
          <w:i w:val="1"/>
          <w:iCs w:val="1"/>
          <w:rtl w:val="0"/>
        </w:rPr>
        <w:t xml:space="preserve">Livro branco: Ciência, tecnologia e inovação</w:t>
      </w:r>
      <w:r w:rsidDel="00000000" w:rsidR="00000000" w:rsidRPr="00000000">
        <w:rPr>
          <w:rtl w:val="0"/>
        </w:rPr>
        <w:t xml:space="preserve">.</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https://livroaberto.ibict.br/handle/123456789/720</w:t>
        </w:r>
      </w:hyperlink>
      <w:r w:rsidDel="00000000" w:rsidR="00000000" w:rsidRPr="00000000">
        <w:rPr>
          <w:rtl w:val="0"/>
        </w:rPr>
      </w:r>
    </w:p>
    <w:p w:rsidR="00000000" w:rsidDel="00000000" w:rsidP="00000000" w:rsidRDefault="00000000" w:rsidRPr="00000000" w14:paraId="000002E4">
      <w:pPr>
        <w:widowControl w:val="0"/>
        <w:spacing w:before="8.8092041015625" w:line="248.30357551574707" w:lineRule="auto"/>
        <w:ind w:left="720" w:right="0.263671875"/>
        <w:rPr/>
      </w:pPr>
      <w:r w:rsidDel="00000000" w:rsidR="00000000" w:rsidRPr="00000000">
        <w:rPr>
          <w:rtl w:val="0"/>
        </w:rPr>
        <w:t xml:space="preserve">Ministério da Ciência e Tecnologia, &amp; Centro de Gestão e Estudos Estratégicos. (2010). </w:t>
      </w:r>
      <w:r w:rsidDel="00000000" w:rsidR="00000000" w:rsidRPr="00000000">
        <w:rPr>
          <w:i w:val="1"/>
          <w:iCs w:val="1"/>
          <w:rtl w:val="0"/>
        </w:rPr>
        <w:t xml:space="preserve">Livro azul: 4ª conferência nacional de ciência, tecnologia e inovação para o desenvolvimento sustentável</w:t>
      </w:r>
      <w:r w:rsidDel="00000000" w:rsidR="00000000" w:rsidRPr="00000000">
        <w:rPr>
          <w:rtl w:val="0"/>
        </w:rPr>
        <w:t xml:space="preserve">.</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https://livroaberto.ibict.br/handle/123456789/677</w:t>
        </w:r>
      </w:hyperlink>
      <w:r w:rsidDel="00000000" w:rsidR="00000000" w:rsidRPr="00000000">
        <w:rPr>
          <w:rtl w:val="0"/>
        </w:rPr>
      </w:r>
    </w:p>
    <w:p w:rsidR="00000000" w:rsidDel="00000000" w:rsidP="00000000" w:rsidRDefault="00000000" w:rsidRPr="00000000" w14:paraId="000002E5">
      <w:pPr>
        <w:widowControl w:val="0"/>
        <w:spacing w:before="8.8134765625" w:line="248.30520629882812" w:lineRule="auto"/>
        <w:ind w:left="715.4109191894531" w:right="0.216064453125" w:hanging="704.2909240722656"/>
        <w:jc w:val="both"/>
        <w:rPr/>
      </w:pPr>
      <w:r w:rsidDel="00000000" w:rsidR="00000000" w:rsidRPr="00000000">
        <w:rPr>
          <w:rtl w:val="0"/>
        </w:rPr>
        <w:t xml:space="preserve">Nery Furlan Mendes, A., &amp; Goulart, D. (2021). Contribuições do Projeto de Iniciação Científica júnior (Pic-jr) para o ensino aprendizagem de química e formação dos alunos bolsistas da ed ucação básica. </w:t>
      </w:r>
      <w:r w:rsidDel="00000000" w:rsidR="00000000" w:rsidRPr="00000000">
        <w:rPr>
          <w:i w:val="1"/>
          <w:iCs w:val="1"/>
          <w:rtl w:val="0"/>
        </w:rPr>
        <w:t xml:space="preserve">Anais do 20º Encontro Nacional de Ensino de Química (ENEQ Pernambuco)</w:t>
      </w:r>
      <w:r w:rsidDel="00000000" w:rsidR="00000000" w:rsidRPr="00000000">
        <w:rPr>
          <w:rtl w:val="0"/>
        </w:rPr>
        <w:t xml:space="preserve">. </w:t>
      </w:r>
      <w:hyperlink r:id="rId40">
        <w:r w:rsidDel="00000000" w:rsidR="00000000" w:rsidRPr="00000000">
          <w:rPr>
            <w:color w:val="1155cc"/>
            <w:u w:val="single"/>
            <w:rtl w:val="0"/>
          </w:rPr>
          <w:t xml:space="preserve">https://doi.org/10.29327/ENEQPE2020.246442</w:t>
        </w:r>
      </w:hyperlink>
      <w:r w:rsidDel="00000000" w:rsidR="00000000" w:rsidRPr="00000000">
        <w:rPr>
          <w:rtl w:val="0"/>
        </w:rPr>
        <w:t xml:space="preserve">  </w:t>
      </w:r>
    </w:p>
    <w:p w:rsidR="00000000" w:rsidDel="00000000" w:rsidP="00000000" w:rsidRDefault="00000000" w:rsidRPr="00000000" w14:paraId="000002E6">
      <w:pPr>
        <w:widowControl w:val="0"/>
        <w:spacing w:before="8.8165283203125" w:line="248.3081817626953" w:lineRule="auto"/>
        <w:ind w:left="730.9017944335938" w:right="0.283203125" w:hanging="714.7636413574219"/>
        <w:jc w:val="both"/>
        <w:rPr/>
      </w:pPr>
      <w:r w:rsidDel="00000000" w:rsidR="00000000" w:rsidRPr="00000000">
        <w:rPr>
          <w:rtl w:val="0"/>
        </w:rPr>
        <w:t xml:space="preserve">Oliveira, A. D., &amp; Bianchetti, L. (2018). Iniciação Científica Júnior: Desafios à materialização de um círculo virtuoso. </w:t>
      </w:r>
      <w:r w:rsidDel="00000000" w:rsidR="00000000" w:rsidRPr="00000000">
        <w:rPr>
          <w:i w:val="1"/>
          <w:iCs w:val="1"/>
          <w:rtl w:val="0"/>
        </w:rPr>
        <w:t xml:space="preserve">Ensaio: Avaliação e Políticas Públicas em Educação</w:t>
      </w:r>
      <w:r w:rsidDel="00000000" w:rsidR="00000000" w:rsidRPr="00000000">
        <w:rPr>
          <w:rtl w:val="0"/>
        </w:rPr>
        <w:t xml:space="preserve">, </w:t>
      </w:r>
      <w:r w:rsidDel="00000000" w:rsidR="00000000" w:rsidRPr="00000000">
        <w:rPr>
          <w:i w:val="1"/>
          <w:iCs w:val="1"/>
          <w:rtl w:val="0"/>
        </w:rPr>
        <w:t xml:space="preserve">26</w:t>
      </w:r>
      <w:r w:rsidDel="00000000" w:rsidR="00000000" w:rsidRPr="00000000">
        <w:rPr>
          <w:rtl w:val="0"/>
        </w:rPr>
        <w:t xml:space="preserve">(98), 133–162. </w:t>
      </w:r>
      <w:hyperlink r:id="rId41">
        <w:r w:rsidDel="00000000" w:rsidR="00000000" w:rsidRPr="00000000">
          <w:rPr>
            <w:color w:val="1155cc"/>
            <w:u w:val="single"/>
            <w:rtl w:val="0"/>
          </w:rPr>
          <w:t xml:space="preserve">https://doi.org/10.1590/s0104-40362018002600952</w:t>
        </w:r>
      </w:hyperlink>
      <w:r w:rsidDel="00000000" w:rsidR="00000000" w:rsidRPr="00000000">
        <w:rPr>
          <w:rtl w:val="0"/>
        </w:rPr>
        <w:t xml:space="preserve">  </w:t>
      </w:r>
    </w:p>
    <w:p w:rsidR="00000000" w:rsidDel="00000000" w:rsidP="00000000" w:rsidRDefault="00000000" w:rsidRPr="00000000" w14:paraId="000002E7">
      <w:pPr>
        <w:widowControl w:val="0"/>
        <w:spacing w:before="8.80889892578125" w:line="248.29862594604492" w:lineRule="auto"/>
        <w:ind w:left="730.6924438476562" w:right="37.816162109375" w:hanging="714.5542907714844"/>
        <w:jc w:val="both"/>
        <w:rPr/>
      </w:pPr>
      <w:r w:rsidDel="00000000" w:rsidR="00000000" w:rsidRPr="00000000">
        <w:rPr>
          <w:rtl w:val="0"/>
        </w:rPr>
        <w:t xml:space="preserve">Oliveira, J. D. A., &amp; Silva, Y. F. D. O. E. (2021). Orientações Político Pedagógicas Da Educação Profissional Técnica. </w:t>
      </w:r>
      <w:r w:rsidDel="00000000" w:rsidR="00000000" w:rsidRPr="00000000">
        <w:rPr>
          <w:i w:val="1"/>
          <w:iCs w:val="1"/>
          <w:rtl w:val="0"/>
        </w:rPr>
        <w:t xml:space="preserve">Revista Brasileira da Educação Profissional e Tecnológica</w:t>
      </w:r>
      <w:r w:rsidDel="00000000" w:rsidR="00000000" w:rsidRPr="00000000">
        <w:rPr>
          <w:rtl w:val="0"/>
        </w:rPr>
        <w:t xml:space="preserve">, </w:t>
      </w:r>
      <w:r w:rsidDel="00000000" w:rsidR="00000000" w:rsidRPr="00000000">
        <w:rPr>
          <w:i w:val="1"/>
          <w:iCs w:val="1"/>
          <w:rtl w:val="0"/>
        </w:rPr>
        <w:t xml:space="preserve">1</w:t>
      </w:r>
      <w:r w:rsidDel="00000000" w:rsidR="00000000" w:rsidRPr="00000000">
        <w:rPr>
          <w:rtl w:val="0"/>
        </w:rPr>
        <w:t xml:space="preserve">(20), e9757. </w:t>
      </w:r>
      <w:hyperlink r:id="rId42">
        <w:r w:rsidDel="00000000" w:rsidR="00000000" w:rsidRPr="00000000">
          <w:rPr>
            <w:color w:val="1155cc"/>
            <w:u w:val="single"/>
            <w:rtl w:val="0"/>
          </w:rPr>
          <w:t xml:space="preserve">https://doi.org/10.15628/rbept.2021.9757</w:t>
        </w:r>
      </w:hyperlink>
      <w:r w:rsidDel="00000000" w:rsidR="00000000" w:rsidRPr="00000000">
        <w:rPr>
          <w:rtl w:val="0"/>
        </w:rPr>
        <w:t xml:space="preserve">  </w:t>
      </w:r>
    </w:p>
    <w:p w:rsidR="00000000" w:rsidDel="00000000" w:rsidP="00000000" w:rsidRDefault="00000000" w:rsidRPr="00000000" w14:paraId="000002E8">
      <w:pPr>
        <w:widowControl w:val="0"/>
        <w:spacing w:before="8.81744384765625" w:line="248.3078384399414" w:lineRule="auto"/>
        <w:ind w:left="730.9017944335938" w:right="0.355224609375" w:hanging="714.7636413574219"/>
        <w:jc w:val="both"/>
        <w:rPr/>
      </w:pPr>
      <w:r w:rsidDel="00000000" w:rsidR="00000000" w:rsidRPr="00000000">
        <w:rPr>
          <w:rtl w:val="0"/>
        </w:rPr>
        <w:t xml:space="preserve">Oliveira, V. H. N. O., &amp; Vasques, D. G. (2023). Estado do conhecimento sobre iniciação científica na educação básica. </w:t>
      </w:r>
      <w:r w:rsidDel="00000000" w:rsidR="00000000" w:rsidRPr="00000000">
        <w:rPr>
          <w:i w:val="1"/>
          <w:iCs w:val="1"/>
          <w:rtl w:val="0"/>
        </w:rPr>
        <w:t xml:space="preserve">Revista Eletrônica de Educação</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 e5292104. </w:t>
      </w:r>
      <w:hyperlink r:id="rId43">
        <w:r w:rsidDel="00000000" w:rsidR="00000000" w:rsidRPr="00000000">
          <w:rPr>
            <w:color w:val="1155cc"/>
            <w:u w:val="single"/>
            <w:rtl w:val="0"/>
          </w:rPr>
          <w:t xml:space="preserve">https://doi.org/10.14244/198271995292</w:t>
        </w:r>
      </w:hyperlink>
      <w:r w:rsidDel="00000000" w:rsidR="00000000" w:rsidRPr="00000000">
        <w:rPr>
          <w:rtl w:val="0"/>
        </w:rPr>
        <w:t xml:space="preserve">  </w:t>
      </w:r>
    </w:p>
    <w:p w:rsidR="00000000" w:rsidDel="00000000" w:rsidP="00000000" w:rsidRDefault="00000000" w:rsidRPr="00000000" w14:paraId="000002E9">
      <w:pPr>
        <w:widowControl w:val="0"/>
        <w:spacing w:before="8.8092041015625" w:line="248.30486297607422" w:lineRule="auto"/>
        <w:ind w:left="730.0291442871094" w:right="10.03662109375" w:hanging="718.4727478027344"/>
        <w:jc w:val="both"/>
        <w:rPr/>
      </w:pPr>
      <w:r w:rsidDel="00000000" w:rsidR="00000000" w:rsidRPr="00000000">
        <w:rPr>
          <w:rtl w:val="0"/>
        </w:rPr>
        <w:t xml:space="preserve">Peters‐Burton, E., Rich, P. J., Kitsantas, A., Stehle, S. M., &amp; Laclede, L. (2023). High school biol ogy teachers’ integration of computational thinking into data practices to support student investigations. </w:t>
      </w:r>
      <w:r w:rsidDel="00000000" w:rsidR="00000000" w:rsidRPr="00000000">
        <w:rPr>
          <w:i w:val="1"/>
          <w:iCs w:val="1"/>
          <w:rtl w:val="0"/>
        </w:rPr>
        <w:t xml:space="preserve">Journal of Research in Science Teaching</w:t>
      </w:r>
      <w:r w:rsidDel="00000000" w:rsidR="00000000" w:rsidRPr="00000000">
        <w:rPr>
          <w:rtl w:val="0"/>
        </w:rPr>
        <w:t xml:space="preserve">, </w:t>
      </w:r>
      <w:r w:rsidDel="00000000" w:rsidR="00000000" w:rsidRPr="00000000">
        <w:rPr>
          <w:i w:val="1"/>
          <w:iCs w:val="1"/>
          <w:rtl w:val="0"/>
        </w:rPr>
        <w:t xml:space="preserve">60</w:t>
      </w:r>
      <w:r w:rsidDel="00000000" w:rsidR="00000000" w:rsidRPr="00000000">
        <w:rPr>
          <w:rtl w:val="0"/>
        </w:rPr>
        <w:t xml:space="preserve">(6), 1353–1384. </w:t>
      </w:r>
      <w:hyperlink r:id="rId44">
        <w:r w:rsidDel="00000000" w:rsidR="00000000" w:rsidRPr="00000000">
          <w:rPr>
            <w:color w:val="1155cc"/>
            <w:u w:val="single"/>
            <w:rtl w:val="0"/>
          </w:rPr>
          <w:t xml:space="preserve">https://doi.org/10.1002/tea.21834</w:t>
        </w:r>
      </w:hyperlink>
      <w:r w:rsidDel="00000000" w:rsidR="00000000" w:rsidRPr="00000000">
        <w:rPr>
          <w:rtl w:val="0"/>
        </w:rPr>
        <w:t xml:space="preserve">   </w:t>
      </w:r>
    </w:p>
    <w:p w:rsidR="00000000" w:rsidDel="00000000" w:rsidP="00000000" w:rsidRDefault="00000000" w:rsidRPr="00000000" w14:paraId="000002EA">
      <w:pPr>
        <w:widowControl w:val="0"/>
        <w:spacing w:before="8.810577392578125" w:line="248.29891204833984" w:lineRule="auto"/>
        <w:ind w:left="736.1381530761719" w:right="0.218505859375" w:hanging="720"/>
        <w:rPr/>
      </w:pPr>
      <w:r w:rsidDel="00000000" w:rsidR="00000000" w:rsidRPr="00000000">
        <w:rPr>
          <w:rtl w:val="0"/>
        </w:rPr>
        <w:t xml:space="preserve">Saw, G., Swagerty, B., Brewington, S., Chang, C.-N., &amp; Culbertson, R. (2019). Out-of-school time STEM program: Students’ attitudes toward and career interests in mathematics and science. </w:t>
      </w:r>
      <w:r w:rsidDel="00000000" w:rsidR="00000000" w:rsidRPr="00000000">
        <w:rPr>
          <w:i w:val="1"/>
          <w:iCs w:val="1"/>
          <w:rtl w:val="0"/>
        </w:rPr>
        <w:t xml:space="preserve">International Journal of Evaluation and Research in Education (IJERE)</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(2), 356. https: //</w:t>
      </w:r>
      <w:hyperlink r:id="rId45">
        <w:r w:rsidDel="00000000" w:rsidR="00000000" w:rsidRPr="00000000">
          <w:rPr>
            <w:color w:val="1155cc"/>
            <w:u w:val="single"/>
            <w:rtl w:val="0"/>
          </w:rPr>
          <w:t xml:space="preserve">doi.org/10.11591/ijere.v8i2.18702</w:t>
        </w:r>
      </w:hyperlink>
      <w:r w:rsidDel="00000000" w:rsidR="00000000" w:rsidRPr="00000000">
        <w:rPr>
          <w:rtl w:val="0"/>
        </w:rPr>
        <w:t xml:space="preserve">   </w:t>
      </w:r>
    </w:p>
    <w:p w:rsidR="00000000" w:rsidDel="00000000" w:rsidP="00000000" w:rsidRDefault="00000000" w:rsidRPr="00000000" w14:paraId="000002EB">
      <w:pPr>
        <w:widowControl w:val="0"/>
        <w:spacing w:before="8.817138671875" w:line="248.3045196533203" w:lineRule="auto"/>
        <w:ind w:left="714.3180847167969" w:right="12.535400390625" w:hanging="698.179931640625"/>
        <w:jc w:val="both"/>
        <w:rPr/>
      </w:pPr>
      <w:r w:rsidDel="00000000" w:rsidR="00000000" w:rsidRPr="00000000">
        <w:rPr>
          <w:rtl w:val="0"/>
        </w:rPr>
        <w:t xml:space="preserve">Schiffer, J. M., Lyman, J., Byrd, D., Silverstein, H., &amp; Halls, M. D. (2020). Microplastics Out reach Program: A Systems-Thinking Approach To Teach High School Students about the Chemistry and Impacts of Plastics. </w:t>
      </w:r>
      <w:r w:rsidDel="00000000" w:rsidR="00000000" w:rsidRPr="00000000">
        <w:rPr>
          <w:i w:val="1"/>
          <w:iCs w:val="1"/>
          <w:rtl w:val="0"/>
        </w:rPr>
        <w:t xml:space="preserve">Journal of Chemical Education</w:t>
      </w:r>
      <w:r w:rsidDel="00000000" w:rsidR="00000000" w:rsidRPr="00000000">
        <w:rPr>
          <w:rtl w:val="0"/>
        </w:rPr>
        <w:t xml:space="preserve">, </w:t>
      </w:r>
      <w:r w:rsidDel="00000000" w:rsidR="00000000" w:rsidRPr="00000000">
        <w:rPr>
          <w:i w:val="1"/>
          <w:iCs w:val="1"/>
          <w:rtl w:val="0"/>
        </w:rPr>
        <w:t xml:space="preserve">97</w:t>
      </w:r>
      <w:r w:rsidDel="00000000" w:rsidR="00000000" w:rsidRPr="00000000">
        <w:rPr>
          <w:rtl w:val="0"/>
        </w:rPr>
        <w:t xml:space="preserve">(1), 137–142. https: //</w:t>
      </w:r>
      <w:hyperlink r:id="rId46">
        <w:r w:rsidDel="00000000" w:rsidR="00000000" w:rsidRPr="00000000">
          <w:rPr>
            <w:color w:val="1155cc"/>
            <w:u w:val="single"/>
            <w:rtl w:val="0"/>
          </w:rPr>
          <w:t xml:space="preserve">doi.org/10.1021/acs.jchemed.9b00249</w:t>
        </w:r>
      </w:hyperlink>
      <w:r w:rsidDel="00000000" w:rsidR="00000000" w:rsidRPr="00000000">
        <w:rPr>
          <w:rtl w:val="0"/>
        </w:rPr>
        <w:t xml:space="preserve">  </w:t>
      </w:r>
    </w:p>
    <w:p w:rsidR="00000000" w:rsidDel="00000000" w:rsidP="00000000" w:rsidRDefault="00000000" w:rsidRPr="00000000" w14:paraId="000002EC">
      <w:pPr>
        <w:widowControl w:val="0"/>
        <w:spacing w:before="8.812255859375" w:line="248.2979965209961" w:lineRule="auto"/>
        <w:ind w:left="731.3381958007812" w:right="0.21728515625" w:hanging="715.2000427246094"/>
        <w:jc w:val="both"/>
        <w:rPr/>
      </w:pPr>
      <w:r w:rsidDel="00000000" w:rsidR="00000000" w:rsidRPr="00000000">
        <w:rPr>
          <w:rtl w:val="0"/>
        </w:rPr>
        <w:t xml:space="preserve">Silva, C. G. da, &amp; Melo, L. C. P. de (Eds.). (2001). </w:t>
      </w:r>
      <w:r w:rsidDel="00000000" w:rsidR="00000000" w:rsidRPr="00000000">
        <w:rPr>
          <w:i w:val="1"/>
          <w:iCs w:val="1"/>
          <w:rtl w:val="0"/>
        </w:rPr>
        <w:t xml:space="preserve">Ciência, tecnologia e inovação: Desafio para a sociedade brasileira: Livro verde</w:t>
      </w:r>
      <w:r w:rsidDel="00000000" w:rsidR="00000000" w:rsidRPr="00000000">
        <w:rPr>
          <w:rtl w:val="0"/>
        </w:rPr>
        <w:t xml:space="preserve">. Ministério da Ciência e Tecnologia; Academia Brasileira de Ciências.</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https://livroaberto.ibict.br/handle/123456789/859</w:t>
        </w:r>
      </w:hyperlink>
      <w:r w:rsidDel="00000000" w:rsidR="00000000" w:rsidRPr="00000000">
        <w:rPr>
          <w:rtl w:val="0"/>
        </w:rPr>
      </w:r>
    </w:p>
    <w:p w:rsidR="00000000" w:rsidDel="00000000" w:rsidP="00000000" w:rsidRDefault="00000000" w:rsidRPr="00000000" w14:paraId="000002ED">
      <w:pPr>
        <w:widowControl w:val="0"/>
        <w:spacing w:before="8.836669921875" w:line="248.29854011535645" w:lineRule="auto"/>
        <w:ind w:left="731.1199951171875" w:right="18.763427734375" w:hanging="714.9818420410156"/>
        <w:rPr/>
      </w:pPr>
      <w:r w:rsidDel="00000000" w:rsidR="00000000" w:rsidRPr="00000000">
        <w:rPr>
          <w:rtl w:val="0"/>
        </w:rPr>
        <w:t xml:space="preserve">Silva, K. L. (2023). </w:t>
      </w:r>
      <w:r w:rsidDel="00000000" w:rsidR="00000000" w:rsidRPr="00000000">
        <w:rPr>
          <w:i w:val="1"/>
          <w:iCs w:val="1"/>
          <w:rtl w:val="0"/>
        </w:rPr>
        <w:t xml:space="preserve">Contribuições e desafios da iniciação científica júnior</w:t>
      </w:r>
      <w:r w:rsidDel="00000000" w:rsidR="00000000" w:rsidRPr="00000000">
        <w:rPr>
          <w:rtl w:val="0"/>
        </w:rPr>
        <w:t xml:space="preserve"> [Dissertação de mestrado, Universidade Federal de Viçosa]. Locus Repositório Institucional da UFV.</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https://locus.ufv.br//handle/123456789/31917</w:t>
        </w:r>
      </w:hyperlink>
      <w:r w:rsidDel="00000000" w:rsidR="00000000" w:rsidRPr="00000000">
        <w:rPr>
          <w:rtl w:val="0"/>
        </w:rPr>
      </w:r>
    </w:p>
    <w:p w:rsidR="00000000" w:rsidDel="00000000" w:rsidP="00000000" w:rsidRDefault="00000000" w:rsidRPr="00000000" w14:paraId="000002EE">
      <w:pPr>
        <w:widowControl w:val="0"/>
        <w:spacing w:before="8.817138671875" w:line="248.3048915863037" w:lineRule="auto"/>
        <w:ind w:left="630" w:right="12.435302734375"/>
        <w:rPr/>
      </w:pPr>
      <w:r w:rsidDel="00000000" w:rsidR="00000000" w:rsidRPr="00000000">
        <w:rPr>
          <w:rtl w:val="0"/>
        </w:rPr>
        <w:t xml:space="preserve">Silveira, Z. S. (2015). Formação científica no nível médio de ensino: Primeiras aproximações. </w:t>
      </w:r>
      <w:r w:rsidDel="00000000" w:rsidR="00000000" w:rsidRPr="00000000">
        <w:rPr>
          <w:i w:val="1"/>
          <w:iCs w:val="1"/>
          <w:rtl w:val="0"/>
        </w:rPr>
        <w:t xml:space="preserve">Boletim Técnico do Senac, 41</w:t>
      </w:r>
      <w:r w:rsidDel="00000000" w:rsidR="00000000" w:rsidRPr="00000000">
        <w:rPr>
          <w:rtl w:val="0"/>
        </w:rPr>
        <w:t xml:space="preserve">(1), 36–57.</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https://www.bts.senac.br/bts/article/view/55</w:t>
        </w:r>
      </w:hyperlink>
      <w:r w:rsidDel="00000000" w:rsidR="00000000" w:rsidRPr="00000000">
        <w:rPr>
          <w:rtl w:val="0"/>
        </w:rPr>
      </w:r>
    </w:p>
    <w:p w:rsidR="00000000" w:rsidDel="00000000" w:rsidP="00000000" w:rsidRDefault="00000000" w:rsidRPr="00000000" w14:paraId="000002EF">
      <w:pPr>
        <w:widowControl w:val="0"/>
        <w:spacing w:before="8.817138671875" w:line="248.3048915863037" w:lineRule="auto"/>
        <w:ind w:left="630" w:right="12.435302734375"/>
        <w:rPr/>
      </w:pPr>
      <w:r w:rsidDel="00000000" w:rsidR="00000000" w:rsidRPr="00000000">
        <w:rPr>
          <w:rtl w:val="0"/>
        </w:rPr>
        <w:t xml:space="preserve">Snitynsky, R. B., Rose, K., &amp; Pegg, J. M. (2019). Partnering Teachers and Scientists: Translating Carbohydrate Research into Curriculum Resources for Secondary Science Classrooms. </w:t>
      </w:r>
      <w:r w:rsidDel="00000000" w:rsidR="00000000" w:rsidRPr="00000000">
        <w:rPr>
          <w:i w:val="1"/>
          <w:iCs w:val="1"/>
          <w:rtl w:val="0"/>
        </w:rPr>
        <w:t xml:space="preserve">Jour nal of Chemical Education</w:t>
      </w:r>
      <w:r w:rsidDel="00000000" w:rsidR="00000000" w:rsidRPr="00000000">
        <w:rPr>
          <w:rtl w:val="0"/>
        </w:rPr>
        <w:t xml:space="preserve">, </w:t>
      </w:r>
      <w:r w:rsidDel="00000000" w:rsidR="00000000" w:rsidRPr="00000000">
        <w:rPr>
          <w:i w:val="1"/>
          <w:iCs w:val="1"/>
          <w:rtl w:val="0"/>
        </w:rPr>
        <w:t xml:space="preserve">96</w:t>
      </w:r>
      <w:r w:rsidDel="00000000" w:rsidR="00000000" w:rsidRPr="00000000">
        <w:rPr>
          <w:rtl w:val="0"/>
        </w:rPr>
        <w:t xml:space="preserve">(4), 685–690. </w:t>
      </w:r>
      <w:hyperlink r:id="rId53">
        <w:r w:rsidDel="00000000" w:rsidR="00000000" w:rsidRPr="00000000">
          <w:rPr>
            <w:color w:val="1155cc"/>
            <w:u w:val="single"/>
            <w:rtl w:val="0"/>
          </w:rPr>
          <w:t xml:space="preserve">https://doi.org/10.1021/acs.jchemed.8b00793</w:t>
        </w:r>
      </w:hyperlink>
      <w:r w:rsidDel="00000000" w:rsidR="00000000" w:rsidRPr="00000000">
        <w:rPr>
          <w:rtl w:val="0"/>
        </w:rPr>
        <w:t xml:space="preserve">  </w:t>
      </w:r>
    </w:p>
    <w:p w:rsidR="00000000" w:rsidDel="00000000" w:rsidP="00000000" w:rsidRDefault="00000000" w:rsidRPr="00000000" w14:paraId="000002F0">
      <w:pPr>
        <w:widowControl w:val="0"/>
        <w:spacing w:before="8.817138671875" w:line="248.3048915863037" w:lineRule="auto"/>
        <w:ind w:left="630" w:right="12.435302734375"/>
        <w:rPr/>
      </w:pPr>
      <w:r w:rsidDel="00000000" w:rsidR="00000000" w:rsidRPr="00000000">
        <w:rPr>
          <w:rtl w:val="0"/>
        </w:rPr>
        <w:t xml:space="preserve">Souza, R. M. D. Q., Couto, J. C. D., &amp; Couto, L. S. M. D. (2021). Iniciação científica para alunos da educação básica: Uma pesquisa-ação em Escolas Públicas Paulistas. </w:t>
      </w:r>
      <w:r w:rsidDel="00000000" w:rsidR="00000000" w:rsidRPr="00000000">
        <w:rPr>
          <w:i w:val="1"/>
          <w:iCs w:val="1"/>
          <w:rtl w:val="0"/>
        </w:rPr>
        <w:t xml:space="preserve">Cadernos CERU</w:t>
      </w:r>
      <w:r w:rsidDel="00000000" w:rsidR="00000000" w:rsidRPr="00000000">
        <w:rPr>
          <w:rtl w:val="0"/>
        </w:rPr>
        <w:t xml:space="preserve">, </w:t>
      </w:r>
      <w:r w:rsidDel="00000000" w:rsidR="00000000" w:rsidRPr="00000000">
        <w:rPr>
          <w:i w:val="1"/>
          <w:iCs w:val="1"/>
          <w:rtl w:val="0"/>
        </w:rPr>
        <w:t xml:space="preserve">32</w:t>
      </w:r>
      <w:r w:rsidDel="00000000" w:rsidR="00000000" w:rsidRPr="00000000">
        <w:rPr>
          <w:rtl w:val="0"/>
        </w:rPr>
        <w:t xml:space="preserve">(1), 253–263. </w:t>
      </w:r>
      <w:hyperlink r:id="rId54">
        <w:r w:rsidDel="00000000" w:rsidR="00000000" w:rsidRPr="00000000">
          <w:rPr>
            <w:color w:val="1155cc"/>
            <w:u w:val="single"/>
            <w:rtl w:val="0"/>
          </w:rPr>
          <w:t xml:space="preserve">https://doi.org/10.11606/issn.2595-2536.v32i1p253-263</w:t>
        </w:r>
      </w:hyperlink>
      <w:r w:rsidDel="00000000" w:rsidR="00000000" w:rsidRPr="00000000">
        <w:rPr>
          <w:rtl w:val="0"/>
        </w:rPr>
        <w:t xml:space="preserve">  </w:t>
      </w:r>
    </w:p>
    <w:p w:rsidR="00000000" w:rsidDel="00000000" w:rsidP="00000000" w:rsidRDefault="00000000" w:rsidRPr="00000000" w14:paraId="000002F1">
      <w:pPr>
        <w:widowControl w:val="0"/>
        <w:spacing w:before="8.812255859375" w:line="248.29922676086426" w:lineRule="auto"/>
        <w:ind w:left="730.0291442871094" w:right="12.440185546875" w:hanging="718.2545471191406"/>
        <w:jc w:val="both"/>
        <w:rPr/>
      </w:pPr>
      <w:r w:rsidDel="00000000" w:rsidR="00000000" w:rsidRPr="00000000">
        <w:rPr>
          <w:rtl w:val="0"/>
        </w:rPr>
        <w:t xml:space="preserve">Taylor, J. A., Adams, C. T., Westbrook, A. L., Creasap Gee, J., Spybrook, J. K., Kowalski, S. M., Gardner, A. L., &amp; Bloom, M. (2022). The effect of a student–teacher–scientist partnership program on high school students’ science achievement and attitudes about scientists. </w:t>
      </w:r>
      <w:r w:rsidDel="00000000" w:rsidR="00000000" w:rsidRPr="00000000">
        <w:rPr>
          <w:i w:val="1"/>
          <w:iCs w:val="1"/>
          <w:rtl w:val="0"/>
        </w:rPr>
        <w:t xml:space="preserve">Journal of Research in Science Teaching</w:t>
      </w:r>
      <w:r w:rsidDel="00000000" w:rsidR="00000000" w:rsidRPr="00000000">
        <w:rPr>
          <w:rtl w:val="0"/>
        </w:rPr>
        <w:t xml:space="preserve">, </w:t>
      </w:r>
      <w:r w:rsidDel="00000000" w:rsidR="00000000" w:rsidRPr="00000000">
        <w:rPr>
          <w:i w:val="1"/>
          <w:iCs w:val="1"/>
          <w:rtl w:val="0"/>
        </w:rPr>
        <w:t xml:space="preserve">59</w:t>
      </w:r>
      <w:r w:rsidDel="00000000" w:rsidR="00000000" w:rsidRPr="00000000">
        <w:rPr>
          <w:rtl w:val="0"/>
        </w:rPr>
        <w:t xml:space="preserve">(3), 423–457. </w:t>
      </w:r>
      <w:hyperlink r:id="rId55">
        <w:r w:rsidDel="00000000" w:rsidR="00000000" w:rsidRPr="00000000">
          <w:rPr>
            <w:color w:val="1155cc"/>
            <w:u w:val="single"/>
            <w:rtl w:val="0"/>
          </w:rPr>
          <w:t xml:space="preserve">https://doi.org/10.1002/tea.21733</w:t>
        </w:r>
      </w:hyperlink>
      <w:r w:rsidDel="00000000" w:rsidR="00000000" w:rsidRPr="00000000">
        <w:rPr>
          <w:rtl w:val="0"/>
        </w:rPr>
        <w:t xml:space="preserve">  </w:t>
      </w:r>
    </w:p>
    <w:p w:rsidR="00000000" w:rsidDel="00000000" w:rsidP="00000000" w:rsidRDefault="00000000" w:rsidRPr="00000000" w14:paraId="000002F2">
      <w:pPr>
        <w:widowControl w:val="0"/>
        <w:spacing w:before="8.836669921875" w:line="248.2990550994873" w:lineRule="auto"/>
        <w:ind w:left="720" w:right="12.43896484375"/>
        <w:rPr/>
      </w:pPr>
      <w:r w:rsidDel="00000000" w:rsidR="00000000" w:rsidRPr="00000000">
        <w:rPr>
          <w:rtl w:val="0"/>
        </w:rPr>
        <w:t xml:space="preserve">Vasques, D. G., &amp; Oliveira, V. H. N. (2020). Scientific initiation in basic school: State of knowledge from scientific articles 2010-2020. </w:t>
      </w:r>
      <w:r w:rsidDel="00000000" w:rsidR="00000000" w:rsidRPr="00000000">
        <w:rPr>
          <w:i w:val="1"/>
          <w:iCs w:val="1"/>
          <w:rtl w:val="0"/>
        </w:rPr>
        <w:t xml:space="preserve">12</w:t>
      </w:r>
      <w:r w:rsidDel="00000000" w:rsidR="00000000" w:rsidRPr="00000000">
        <w:rPr>
          <w:rtl w:val="0"/>
        </w:rPr>
        <w:t xml:space="preserve">. </w:t>
      </w:r>
    </w:p>
    <w:p w:rsidR="00000000" w:rsidDel="00000000" w:rsidP="00000000" w:rsidRDefault="00000000" w:rsidRPr="00000000" w14:paraId="000002F3">
      <w:pPr>
        <w:widowControl w:val="0"/>
        <w:spacing w:before="8.817138671875" w:line="248.3081817626953" w:lineRule="auto"/>
        <w:ind w:left="729.368896484375" w:right="0.40771484375" w:hanging="721.3034057617188"/>
        <w:jc w:val="both"/>
        <w:rPr>
          <w:sz w:val="21.818199157714844"/>
          <w:szCs w:val="21.818199157714844"/>
        </w:rPr>
      </w:pPr>
      <w:r w:rsidDel="00000000" w:rsidR="00000000" w:rsidRPr="00000000">
        <w:rPr>
          <w:rtl w:val="0"/>
        </w:rPr>
        <w:t xml:space="preserve">Vasques, D. G., &amp; Oliveira, V. H. N. (2023). Orientação em Iniciação Científica Júnior: Reflexões e processos de uma pesquisa-ação. </w:t>
      </w:r>
      <w:r w:rsidDel="00000000" w:rsidR="00000000" w:rsidRPr="00000000">
        <w:rPr>
          <w:i w:val="1"/>
          <w:iCs w:val="1"/>
          <w:rtl w:val="0"/>
        </w:rPr>
        <w:t xml:space="preserve">Retratos da Escola</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(37), 351–372. </w:t>
      </w:r>
      <w:hyperlink r:id="rId56">
        <w:r w:rsidDel="00000000" w:rsidR="00000000" w:rsidRPr="00000000">
          <w:rPr>
            <w:color w:val="1155cc"/>
            <w:u w:val="single"/>
            <w:rtl w:val="0"/>
          </w:rPr>
          <w:t xml:space="preserve">https://doi.org/10.22420/rde.v17i37.1506</w:t>
        </w:r>
      </w:hyperlink>
      <w:r w:rsidDel="00000000" w:rsidR="00000000" w:rsidRPr="00000000">
        <w:rPr>
          <w:rtl w:val="0"/>
        </w:rPr>
        <w:t xml:space="preserve">   </w:t>
      </w:r>
      <w:r w:rsidDel="00000000" w:rsidR="00000000" w:rsidRPr="00000000">
        <w:rPr>
          <w:rtl w:val="0"/>
        </w:rPr>
      </w:r>
    </w:p>
    <w:sectPr>
      <w:type w:val="continuous"/>
      <w:pgSz w:h="15840" w:w="12240" w:orient="portrait"/>
      <w:pgMar w:bottom="842.239990234375" w:top="1372.255859375" w:left="1440" w:right="1397.22900390625" w:header="0" w:footer="720"/>
      <w:cols w:equalWidth="0" w:num="1">
        <w:col w:space="0" w:w="9402.7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2F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As informações institucionais foram cruzadas com a base de dados do sistema e-MEC. </w:t>
      </w:r>
    </w:p>
  </w:footnote>
  <w:footnote w:id="2">
    <w:p w:rsidR="00000000" w:rsidDel="00000000" w:rsidP="00000000" w:rsidRDefault="00000000" w:rsidRPr="00000000" w14:paraId="000002F5">
      <w:pPr>
        <w:spacing w:line="240" w:lineRule="auto"/>
        <w:jc w:val="both"/>
        <w:rPr>
          <w:vertAlign w:val="superscript"/>
        </w:rPr>
      </w:pPr>
      <w:r w:rsidDel="00000000" w:rsidR="00000000" w:rsidRPr="00000000">
        <w:rPr>
          <w:rStyle w:val="FootnoteReference"/>
          <w:vertAlign w:val="superscript"/>
        </w:rPr>
        <w:footnoteRef/>
      </w:r>
      <w:r w:rsidDel="00000000" w:rsidR="00000000" w:rsidRPr="00000000">
        <w:rPr>
          <w:vertAlign w:val="superscript"/>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O Índice Geral de Cursos (IGC), utilizado pelo Ministério da Educação (MEC), é um indicador de qualidade que avalia as instituições de ensino superior brasileiras, tanto públicas quanto privadas, em uma escala de 1 a 5.</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Calculado por meio de uma média ponderada, o IGC sintetiza a qualidade dos cursos de graduação e de pós-graduação </w:t>
      </w:r>
      <w:r w:rsidDel="00000000" w:rsidR="00000000" w:rsidRPr="00000000">
        <w:rPr>
          <w:rFonts w:ascii="Arial" w:cs="Arial" w:eastAsia="Arial" w:hAnsi="Arial"/>
          <w:b w:val="0"/>
          <w:bCs w:val="0"/>
          <w:i w:val="1"/>
          <w:iCs w:val="1"/>
          <w:smallCaps w:val="0"/>
          <w:strike w:val="0"/>
          <w:color w:val="000000"/>
          <w:u w:val="none"/>
          <w:shd w:fill="auto" w:val="clear"/>
          <w:vertAlign w:val="baseline"/>
          <w:rtl w:val="0"/>
        </w:rPr>
        <w:t xml:space="preserve">stricto sensu</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sendo fundamental para o credenciamento institucional e para auxiliar a escolha dos estudantes.</w:t>
      </w:r>
      <w:r w:rsidDel="00000000" w:rsidR="00000000" w:rsidRPr="00000000">
        <w:rPr>
          <w:rtl w:val="0"/>
        </w:rPr>
      </w:r>
    </w:p>
  </w:footnote>
  <w:footnote w:id="3">
    <w:p w:rsidR="00000000" w:rsidDel="00000000" w:rsidP="00000000" w:rsidRDefault="00000000" w:rsidRPr="00000000" w14:paraId="000002F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Para este modelo, utilizou-se </w:t>
      </w:r>
      <w:r w:rsidDel="00000000" w:rsidR="00000000" w:rsidRPr="00000000">
        <w:rPr>
          <w:i w:val="1"/>
          <w:iCs w:val="1"/>
          <w:sz w:val="20"/>
          <w:szCs w:val="20"/>
          <w:rtl w:val="0"/>
        </w:rPr>
        <w:t xml:space="preserve">N=496</w:t>
      </w:r>
      <w:r w:rsidDel="00000000" w:rsidR="00000000" w:rsidRPr="00000000">
        <w:rPr>
          <w:sz w:val="20"/>
          <w:szCs w:val="20"/>
          <w:rtl w:val="0"/>
        </w:rPr>
        <w:t xml:space="preserve"> em razão do filtro amostral, que restringiu a análise aos pesquisadores vinculados a Instituições de Ensino Superior com notas no IGC disponíveis no banco de dados do E-MEC.</w:t>
      </w:r>
    </w:p>
  </w:footnote>
  <w:footnote w:id="0">
    <w:p w:rsidR="00000000" w:rsidDel="00000000" w:rsidP="00000000" w:rsidRDefault="00000000" w:rsidRPr="00000000" w14:paraId="000002F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Indicador bibliométrico que combina produtividade de publicações e impacto de citações do pesquisador.</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9327/ENEQPE2020.246442" TargetMode="External"/><Relationship Id="rId42" Type="http://schemas.openxmlformats.org/officeDocument/2006/relationships/hyperlink" Target="https://doi.org/10.15628/rbept.2021.9757" TargetMode="External"/><Relationship Id="rId41" Type="http://schemas.openxmlformats.org/officeDocument/2006/relationships/hyperlink" Target="https://doi.org/10.1590/s0104-40362018002600952" TargetMode="External"/><Relationship Id="rId44" Type="http://schemas.openxmlformats.org/officeDocument/2006/relationships/hyperlink" Target="https://doi.org/10.1002/tea.21834" TargetMode="External"/><Relationship Id="rId43" Type="http://schemas.openxmlformats.org/officeDocument/2006/relationships/hyperlink" Target="https://doi.org/10.14244/198271995292" TargetMode="External"/><Relationship Id="rId46" Type="http://schemas.openxmlformats.org/officeDocument/2006/relationships/hyperlink" Target="http://doi.org/10.1021/acs.jchemed.9b00249" TargetMode="External"/><Relationship Id="rId45" Type="http://schemas.openxmlformats.org/officeDocument/2006/relationships/hyperlink" Target="http://doi.org/10.11591/ijere.v8i2.187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i.org/10.1016/j.Evalprogplan.2024.102517" TargetMode="External"/><Relationship Id="rId48" Type="http://schemas.openxmlformats.org/officeDocument/2006/relationships/hyperlink" Target="https://livroaberto.ibict.br/handle/123456789/859" TargetMode="External"/><Relationship Id="rId47" Type="http://schemas.openxmlformats.org/officeDocument/2006/relationships/hyperlink" Target="https://livroaberto.ibict.br/handle/123456789/859" TargetMode="External"/><Relationship Id="rId49" Type="http://schemas.openxmlformats.org/officeDocument/2006/relationships/hyperlink" Target="https://locus.ufv.br//handle/123456789/31917"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doi.org/10.55905/revconv.17n.9-115" TargetMode="External"/><Relationship Id="rId31" Type="http://schemas.openxmlformats.org/officeDocument/2006/relationships/hyperlink" Target="https://doi.org/10.1590/S0100-15742005000200006" TargetMode="External"/><Relationship Id="rId30" Type="http://schemas.openxmlformats.org/officeDocument/2006/relationships/hyperlink" Target="https://doi.org/10.1186/s40594-020-00247-y" TargetMode="External"/><Relationship Id="rId33" Type="http://schemas.openxmlformats.org/officeDocument/2006/relationships/hyperlink" Target="https://doi.org/10.3389/feduc.2024.1493356" TargetMode="External"/><Relationship Id="rId32" Type="http://schemas.openxmlformats.org/officeDocument/2006/relationships/hyperlink" Target="https://doi.org/10.1590/S1413-24782009000300005" TargetMode="External"/><Relationship Id="rId35" Type="http://schemas.openxmlformats.org/officeDocument/2006/relationships/hyperlink" Target="https://livroaberto.ibict.br/handle/123456789/859" TargetMode="External"/><Relationship Id="rId34" Type="http://schemas.openxmlformats.org/officeDocument/2006/relationships/hyperlink" Target="https://livroaberto.ibict.br/handle/123456789/859" TargetMode="External"/><Relationship Id="rId37" Type="http://schemas.openxmlformats.org/officeDocument/2006/relationships/hyperlink" Target="https://livroaberto.ibict.br/handle/123456789/720" TargetMode="External"/><Relationship Id="rId36" Type="http://schemas.openxmlformats.org/officeDocument/2006/relationships/hyperlink" Target="https://livroaberto.ibict.br/handle/123456789/720" TargetMode="External"/><Relationship Id="rId39" Type="http://schemas.openxmlformats.org/officeDocument/2006/relationships/hyperlink" Target="https://livroaberto.ibict.br/handle/123456789/677" TargetMode="External"/><Relationship Id="rId38" Type="http://schemas.openxmlformats.org/officeDocument/2006/relationships/hyperlink" Target="https://livroaberto.ibict.br/handle/123456789/677" TargetMode="External"/><Relationship Id="rId20" Type="http://schemas.openxmlformats.org/officeDocument/2006/relationships/hyperlink" Target="https://doi.org/10.1186/s40594-017-0081-4" TargetMode="External"/><Relationship Id="rId22" Type="http://schemas.openxmlformats.org/officeDocument/2006/relationships/hyperlink" Target="https://doi.org/10.1590/S1413-24782001000300010" TargetMode="External"/><Relationship Id="rId21" Type="http://schemas.openxmlformats.org/officeDocument/2006/relationships/hyperlink" Target="https://doi.org/10.1590/1980-6248-2018-0083" TargetMode="External"/><Relationship Id="rId24" Type="http://schemas.openxmlformats.org/officeDocument/2006/relationships/hyperlink" Target="https://doi.org/10.1523/ENEURO.0039-24.2024" TargetMode="External"/><Relationship Id="rId23" Type="http://schemas.openxmlformats.org/officeDocument/2006/relationships/hyperlink" Target="https://doi.org/10.1590/S1413-24782001000300010" TargetMode="External"/><Relationship Id="rId26" Type="http://schemas.openxmlformats.org/officeDocument/2006/relationships/hyperlink" Target="https://doi.org/10.1002/sce.21332" TargetMode="External"/><Relationship Id="rId25" Type="http://schemas.openxmlformats.org/officeDocument/2006/relationships/hyperlink" Target="https://doi.org/10.1002/ev.175" TargetMode="External"/><Relationship Id="rId28" Type="http://schemas.openxmlformats.org/officeDocument/2006/relationships/hyperlink" Target="https://doi.org/10.1007/s11218-022-09705-7" TargetMode="External"/><Relationship Id="rId27" Type="http://schemas.openxmlformats.org/officeDocument/2006/relationships/hyperlink" Target="https://doi.org/10.1111/1475-6765.12097" TargetMode="External"/><Relationship Id="rId29" Type="http://schemas.openxmlformats.org/officeDocument/2006/relationships/hyperlink" Target="https://doi.org/10.1186/s40594-020-00247-y" TargetMode="External"/><Relationship Id="rId51" Type="http://schemas.openxmlformats.org/officeDocument/2006/relationships/hyperlink" Target="https://www.bts.senac.br/bts/article/view/55" TargetMode="External"/><Relationship Id="rId50" Type="http://schemas.openxmlformats.org/officeDocument/2006/relationships/hyperlink" Target="https://locus.ufv.br//handle/123456789/31917" TargetMode="External"/><Relationship Id="rId53" Type="http://schemas.openxmlformats.org/officeDocument/2006/relationships/hyperlink" Target="https://doi.org/10.1021/acs.jchemed.8b00793" TargetMode="External"/><Relationship Id="rId52" Type="http://schemas.openxmlformats.org/officeDocument/2006/relationships/hyperlink" Target="https://www.bts.senac.br/bts/article/view/55" TargetMode="External"/><Relationship Id="rId11" Type="http://schemas.openxmlformats.org/officeDocument/2006/relationships/hyperlink" Target="https://ojs.sites.ufsc.br/index.php/sobretudo/article/view/2371" TargetMode="External"/><Relationship Id="rId55" Type="http://schemas.openxmlformats.org/officeDocument/2006/relationships/hyperlink" Target="https://doi.org/10.1002/tea.21733" TargetMode="External"/><Relationship Id="rId10" Type="http://schemas.openxmlformats.org/officeDocument/2006/relationships/hyperlink" Target="https://ojs.sites.ufsc.br/index.php/sobretudo/article/view/2371" TargetMode="External"/><Relationship Id="rId54" Type="http://schemas.openxmlformats.org/officeDocument/2006/relationships/hyperlink" Target="https://doi.org/10.11606/issn.2595-2536.v32i1p253-263" TargetMode="External"/><Relationship Id="rId13" Type="http://schemas.openxmlformats.org/officeDocument/2006/relationships/hyperlink" Target="https://doi.org/10.17226/25568" TargetMode="External"/><Relationship Id="rId12" Type="http://schemas.openxmlformats.org/officeDocument/2006/relationships/hyperlink" Target="https://doi.org/10.5902/198464445012" TargetMode="External"/><Relationship Id="rId56" Type="http://schemas.openxmlformats.org/officeDocument/2006/relationships/hyperlink" Target="https://doi.org/10.22420/rde.v17i37.1506" TargetMode="External"/><Relationship Id="rId15" Type="http://schemas.openxmlformats.org/officeDocument/2006/relationships/hyperlink" Target="https://doi.org/10.1080/15348431.2024.2413530" TargetMode="External"/><Relationship Id="rId14" Type="http://schemas.openxmlformats.org/officeDocument/2006/relationships/hyperlink" Target="https://www.gov.br/cnpq/pt-br/assuntos/noticias/pibiccompleta-36-anos-consolidando-se-como-um-dos-principais-programas-de-incentivo-aciencia-no-brasil" TargetMode="External"/><Relationship Id="rId17" Type="http://schemas.openxmlformats.org/officeDocument/2006/relationships/hyperlink" Target="https://doi.org/10.1187/cbe.17-04-0066" TargetMode="External"/><Relationship Id="rId16" Type="http://schemas.openxmlformats.org/officeDocument/2006/relationships/hyperlink" Target="https://doi.org/10.1371/journal.pone.0336418" TargetMode="External"/><Relationship Id="rId19" Type="http://schemas.openxmlformats.org/officeDocument/2006/relationships/hyperlink" Target="https://doi.org/10.1187/cbe.15-11-0230" TargetMode="External"/><Relationship Id="rId18" Type="http://schemas.openxmlformats.org/officeDocument/2006/relationships/hyperlink" Target="https://doi.org/10.1590/S1516-7313200600020000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