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0"/>
        <w:spacing w:line="240" w:lineRule="auto"/>
        <w:ind w:left="17.40386962890625" w:right="43.026123046875" w:firstLine="0"/>
        <w:jc w:val="both"/>
        <w:rPr>
          <w:sz w:val="24"/>
          <w:szCs w:val="24"/>
          <w:vertAlign w:val="baseline"/>
        </w:rPr>
      </w:pPr>
      <w:bookmarkStart w:colFirst="0" w:colLast="0" w:name="_otba78c0ndng" w:id="0"/>
      <w:bookmarkEnd w:id="0"/>
      <w:r w:rsidDel="00000000" w:rsidR="00000000" w:rsidRPr="00000000">
        <w:rPr>
          <w:sz w:val="24"/>
          <w:szCs w:val="24"/>
          <w:vertAlign w:val="baseline"/>
          <w:rtl w:val="0"/>
        </w:rPr>
        <w:t xml:space="preserve">Junior Scientific Initiation as Science Policy: Equity, Access, and Institutional Design </w:t>
      </w:r>
    </w:p>
    <w:p w:rsidR="00000000" w:rsidDel="00000000" w:rsidP="00000000" w:rsidRDefault="00000000" w:rsidRPr="00000000" w14:paraId="00000002">
      <w:pPr>
        <w:pStyle w:val="Heading1"/>
        <w:widowControl w:val="0"/>
        <w:spacing w:before="467.3583984375" w:line="240" w:lineRule="auto"/>
        <w:ind w:left="29.072113037109375" w:firstLine="0"/>
        <w:jc w:val="both"/>
        <w:rPr>
          <w:sz w:val="24"/>
          <w:szCs w:val="24"/>
          <w:vertAlign w:val="baseline"/>
        </w:rPr>
      </w:pPr>
      <w:bookmarkStart w:colFirst="0" w:colLast="0" w:name="_x51u4yl4c155" w:id="1"/>
      <w:bookmarkEnd w:id="1"/>
      <w:r w:rsidDel="00000000" w:rsidR="00000000" w:rsidRPr="00000000">
        <w:rPr>
          <w:sz w:val="24"/>
          <w:szCs w:val="24"/>
          <w:vertAlign w:val="baseline"/>
          <w:rtl w:val="0"/>
        </w:rPr>
        <w:t xml:space="preserve">1.Introdução </w:t>
      </w:r>
    </w:p>
    <w:p w:rsidR="00000000" w:rsidDel="00000000" w:rsidP="00000000" w:rsidRDefault="00000000" w:rsidRPr="00000000" w14:paraId="00000003">
      <w:pPr>
        <w:pStyle w:val="Heading2"/>
        <w:widowControl w:val="0"/>
        <w:spacing w:before="424.9072265625" w:line="240" w:lineRule="auto"/>
        <w:ind w:left="27.05474853515625" w:firstLine="0"/>
        <w:jc w:val="both"/>
        <w:rPr>
          <w:sz w:val="24"/>
          <w:szCs w:val="24"/>
          <w:vertAlign w:val="baseline"/>
        </w:rPr>
      </w:pPr>
      <w:bookmarkStart w:colFirst="0" w:colLast="0" w:name="_5nvaudh6ijjk" w:id="2"/>
      <w:bookmarkEnd w:id="2"/>
      <w:r w:rsidDel="00000000" w:rsidR="00000000" w:rsidRPr="00000000">
        <w:rPr>
          <w:sz w:val="24"/>
          <w:szCs w:val="24"/>
          <w:vertAlign w:val="baseline"/>
          <w:rtl w:val="0"/>
        </w:rPr>
        <w:t xml:space="preserve">1.1. O problema global: </w:t>
      </w:r>
      <w:r w:rsidDel="00000000" w:rsidR="00000000" w:rsidRPr="00000000">
        <w:rPr>
          <w:i w:val="1"/>
          <w:iCs w:val="1"/>
          <w:sz w:val="24"/>
          <w:szCs w:val="24"/>
          <w:vertAlign w:val="baseline"/>
          <w:rtl w:val="0"/>
        </w:rPr>
        <w:t xml:space="preserve">leaky pipeline </w:t>
      </w:r>
      <w:r w:rsidDel="00000000" w:rsidR="00000000" w:rsidRPr="00000000">
        <w:rPr>
          <w:sz w:val="24"/>
          <w:szCs w:val="24"/>
          <w:vertAlign w:val="baseline"/>
          <w:rtl w:val="0"/>
        </w:rPr>
        <w:t xml:space="preserve">e a “crise de talentos”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40087890625" w:line="240" w:lineRule="auto"/>
        <w:ind w:left="0" w:right="12.43896484375"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baixa atratividade das carreiras em ciência, tecnologia, engenharia e matemática (STEM) entre jovens tem sido identificada como um desafio relevante por educadores e formuladores de políticas públicas em diferentes países (Kitchen et al., 2018). Em termos analíticos, esse problema pode ser descrito como um processo acumulativo de perdas ao longo da trajetória formativa, frequentemente referido como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leaky pipeline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talentos. Nesse modelo, o desafio não se limita à permanência e à obtenção de credenciais em STEM, mas inclui também a capacidade de atrair novos estudantes para essas trajetórias. Isso depende, em parte, da existência de oportunidades e referências que estimulem o interesse por projetos de vida vinculados às carreiras científicas (Kitchen et al., 2018; Kuchynka et al., 2022). Como resultado, as perdas tendem a se intensificar a cada transição educacional, produzindo sub-representação persistente, especialmente entre grupos historicamente </w:t>
      </w:r>
      <w:r w:rsidDel="00000000" w:rsidR="00000000" w:rsidRPr="00000000">
        <w:rPr>
          <w:sz w:val="24"/>
          <w:szCs w:val="24"/>
          <w:rtl w:val="0"/>
        </w:rPr>
        <w:t xml:space="preserve">minorizados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(Estrada et al., 2018).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943115234375" w:line="240" w:lineRule="auto"/>
        <w:ind w:left="12.65472412109375" w:right="12.4365234375" w:firstLine="707.345275878906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Estudos sobre trajetória escolar sugerem que o ensino médio é um ponto crítico para sustentar </w:t>
      </w:r>
      <w:r w:rsidDel="00000000" w:rsidR="00000000" w:rsidRPr="00000000">
        <w:rPr>
          <w:sz w:val="24"/>
          <w:szCs w:val="24"/>
          <w:rtl w:val="0"/>
        </w:rPr>
        <w:t xml:space="preserve">atitudes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identidade e aspirações de carreira em STEM e portanto, um alvo prioritário para estratégias e políticas públicas (Kitchen et al., 2018; Kuchynka et al., 2022; Liu &amp; Schunn, 2020; Mims et al., 2025). Essa preocupação aparece em diferentes frentes governamentais e institucionais. Por um lado, emerge no debate educacional sobre currículo e formação acadêmica, incluindo iniciativas que buscam aproximar práticas escolares de formas contemporâneas de produzir e interpretar dados e evidências científicas (Peters‐Burton et al., 2023). Por outro, é mobilizada como estratégia de governança e planejamento de força de trabalho, incentivando arranjos colaborativos que conectam escola, universidade e mercado. Nessa linha, têm ganhado relevância parcerias público-privadas nas quais agências públicas financiam e coordenam iniciativas com participação de empresas, com o objetivo de ampliar oportunidades formativas e fortalecer a oferta futura de mão de obra qualificada em CT&amp;I (Katzenmeyer &amp; Lawrenz, 2006).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9248046875" w:line="240" w:lineRule="auto"/>
        <w:ind w:left="12.65472412109375" w:right="0" w:firstLine="707.3452758789062"/>
        <w:jc w:val="both"/>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Nesse cenário, agências e órgãos de fomento assumem um papel estratégico na formação de jovens talentos para a ciência, ao alinhar prioridades nacionais, financiamento e mecanismos de avaliação. Nos Estados Unidos, esse papel se materializa tanto em agências federais (como a National Science Foundation (NSF) e o National Institutes of Health (NIH)) quanto em unidades e programas </w:t>
      </w:r>
      <w:r w:rsidDel="00000000" w:rsidR="00000000" w:rsidRPr="00000000">
        <w:rPr>
          <w:sz w:val="24"/>
          <w:szCs w:val="24"/>
          <w:rtl w:val="0"/>
        </w:rPr>
        <w:t xml:space="preserve">internos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voltados especificamente à educação e ao desenvolvimento de capital humano. Katzenmeyer </w:t>
      </w:r>
      <w:r w:rsidDel="00000000" w:rsidR="00000000" w:rsidRPr="00000000">
        <w:rPr>
          <w:sz w:val="24"/>
          <w:szCs w:val="24"/>
          <w:rtl w:val="0"/>
        </w:rPr>
        <w:t xml:space="preserve">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Lawrenz (2006) argumentam que, no caso da NSF, a política de avaliação de programas em STEM não é apenas um procedimento técnico, mas um instrumento de governança voltado a sustentar a liderança nacional, ao produzir informação relevante e oportuna para decisões de financiamento e para a prestação de contas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accountability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Em última instância, a racionalidade desses programas educacionais está orientada para melhorar o desempenho estudantil em escala nacional e ampliar a diversidade da força de trabalho em áreas demandantes de mão de obra qualificada em ciência, tecnologia e inovação. </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9248046875" w:line="240" w:lineRule="auto"/>
        <w:ind w:left="12.65472412109375" w:right="0" w:firstLine="707.345275878906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Nesse contexto, políticas educacionais efetivas precisam ir além do “reforço” de conteúdos e </w:t>
      </w:r>
      <w:r w:rsidDel="00000000" w:rsidR="00000000" w:rsidRPr="00000000">
        <w:rPr>
          <w:sz w:val="24"/>
          <w:szCs w:val="24"/>
          <w:rtl w:val="0"/>
        </w:rPr>
        <w:t xml:space="preserve">atuar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sobre aspirações e identidade científica. Diferentes estratégias em diferentes países têm sido mobilizadas para fomentar, ainda no ensino médio, a escolha de jovens por carreiras em STEM, incluindo programas de verão vinculados a universidades, iniciativas extracurriculares e intervenções desenhadas para </w:t>
      </w:r>
      <w:r w:rsidDel="00000000" w:rsidR="00000000" w:rsidRPr="00000000">
        <w:rPr>
          <w:sz w:val="24"/>
          <w:szCs w:val="24"/>
          <w:rtl w:val="0"/>
        </w:rPr>
        <w:t xml:space="preserve">ampliar o pertencimento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e a identidade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científica. </w:t>
      </w:r>
    </w:p>
    <w:p w:rsidR="00000000" w:rsidDel="00000000" w:rsidP="00000000" w:rsidRDefault="00000000" w:rsidRPr="00000000" w14:paraId="00000008">
      <w:pPr>
        <w:pStyle w:val="Heading2"/>
        <w:widowControl w:val="0"/>
        <w:spacing w:before="585.413818359375" w:line="240" w:lineRule="auto"/>
        <w:ind w:left="27.05474853515625"/>
        <w:jc w:val="both"/>
        <w:rPr>
          <w:sz w:val="24"/>
          <w:szCs w:val="24"/>
          <w:vertAlign w:val="baseline"/>
        </w:rPr>
      </w:pPr>
      <w:bookmarkStart w:colFirst="0" w:colLast="0" w:name="_xqdk48h265yh" w:id="3"/>
      <w:bookmarkEnd w:id="3"/>
      <w:r w:rsidDel="00000000" w:rsidR="00000000" w:rsidRPr="00000000">
        <w:rPr>
          <w:sz w:val="24"/>
          <w:szCs w:val="24"/>
          <w:vertAlign w:val="baseline"/>
          <w:rtl w:val="0"/>
        </w:rPr>
        <w:t xml:space="preserve">1.2. Modelos internacionais de intervenção: ecossistemas de imersão e mentoria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40087890625" w:line="240" w:lineRule="auto"/>
        <w:ind w:left="14.618377685546875" w:right="18.983154296875" w:firstLine="705.381622314453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preocupação em atrair e sustentar jovens em trajetórias STEM tem motivado respostas </w:t>
      </w:r>
      <w:r w:rsidDel="00000000" w:rsidR="00000000" w:rsidRPr="00000000">
        <w:rPr>
          <w:sz w:val="24"/>
          <w:szCs w:val="24"/>
          <w:rtl w:val="0"/>
        </w:rPr>
        <w:t xml:space="preserve">institucionais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variadas em diferentes países. A literatura documenta experiências que vão desde programas de verão e outras iniciativas de imersão vinculadas a universidades (Kitchen et al., 2018), passando por formatos de pesquisa aplicada em escolas profissionais (Friedman et al., 2017), até intervenções curriculares e pedagógicas em nível escolar (Peters‐Burton et al., 2023). Também há registros de programas baseados em projetos e parcerias com mentoria (presencial ou online), incluindo </w:t>
      </w:r>
      <w:r w:rsidDel="00000000" w:rsidR="00000000" w:rsidRPr="00000000">
        <w:rPr>
          <w:sz w:val="24"/>
          <w:szCs w:val="24"/>
          <w:rtl w:val="0"/>
        </w:rPr>
        <w:t xml:space="preserve">atividades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em laboratórios universitários de alto padrão (Mims et al., 2025) e modelos de parceria estudante–professor–cientista com apoio de mentoria (Taylor et al., 2022), bem como experiências em pesquisa de campo e outreach científico (Flowers et al., 2016; Schiffer et al., 2020).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930908203125" w:line="240" w:lineRule="auto"/>
        <w:ind w:left="14.618377685546875" w:right="17.235107421875" w:firstLine="705.381622314453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 conjunto, esses estudos sugerem que as estratégias de atração e engajamento podem ser </w:t>
      </w:r>
      <w:r w:rsidDel="00000000" w:rsidR="00000000" w:rsidRPr="00000000">
        <w:rPr>
          <w:sz w:val="24"/>
          <w:szCs w:val="24"/>
          <w:rtl w:val="0"/>
        </w:rPr>
        <w:t xml:space="preserve">agrupadas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em diferentes perspectivas de intervenção. A Figura 1 organiza, de forma sintética, os principais tipos identificados no levantamento: (i) imersão e experiências autênticas (universidade/laboratório/campo); (ii) mentoria e redes de apoio psicossocial; (iii) intervenções </w:t>
      </w:r>
      <w:r w:rsidDel="00000000" w:rsidR="00000000" w:rsidRPr="00000000">
        <w:rPr>
          <w:sz w:val="24"/>
          <w:szCs w:val="24"/>
          <w:rtl w:val="0"/>
        </w:rPr>
        <w:t xml:space="preserve">curriculares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 práticas pedagógicas; (iv) iniciativas extracurriculares e programas no contraturno; e (v) instrumentos de governança, avaliação e indução por financiamento.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364501953125"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sectPr>
          <w:pgSz w:h="15840" w:w="12240" w:orient="portrait"/>
          <w:pgMar w:bottom="842.239990234375" w:top="1372.255859375" w:left="1431.4907836914062" w:right="1397.22900390625" w:header="0" w:footer="720"/>
          <w:pgNumType w:start="1"/>
        </w:sectPr>
      </w:pPr>
      <w:r w:rsidDel="00000000" w:rsidR="00000000" w:rsidRPr="00000000">
        <w:rPr>
          <w:sz w:val="24"/>
          <w:szCs w:val="24"/>
        </w:rPr>
        <w:drawing>
          <wp:inline distB="114300" distT="114300" distL="114300" distR="114300">
            <wp:extent cx="5976163" cy="2184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76163"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344970703125" w:line="240" w:lineRule="auto"/>
        <w:ind w:left="13.958282470703125" w:right="12.4365234375" w:firstLine="1.750946044921875"/>
        <w:jc w:val="both"/>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Figur</w:t>
      </w:r>
      <w:r w:rsidDel="00000000" w:rsidR="00000000" w:rsidRPr="00000000">
        <w:rPr>
          <w:rtl w:val="0"/>
        </w:rPr>
        <w:t xml:space="preserve">a</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1: Principais tipos de intervenções para atração e engajamento de jovens em STEM (Com mittee on Effective Mentoring in STEMM et al., 2019; Flowers et al., 2016; Friedman et al., 2017; Kitchen et al., 2018; Mims et al., 2025; Peters‐Burton et al., 2023; Schiffer et al., 2020; Taylor et al., 2022).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27642822265625" w:line="240" w:lineRule="auto"/>
        <w:ind w:left="14.618377685546875" w:right="38.40087890625" w:firstLine="705.381622314453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 ponto transversal às intervenções sintetizadas na Figura 1 é o papel das universidades na construção de ecossistemas de imersão científica. Ao oferecer acesso a laboratórios, grupos de pesquisa, infraestrutura e interação com pesquisadores, o ambiente universitário tende a produzir experiências mais “autênticas” de ciência e a ampliar a consciência de carreira, contribuindo para a formação de identidade científica e para o senso de pertencimento de jovens (Flowers et al., 2016; Friedman et al., 2017; Kitchen et al., 2018).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9736328125" w:line="240" w:lineRule="auto"/>
        <w:ind w:left="14.618377685546875" w:right="11.783447265625" w:firstLine="705.381622314453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papel das universidades é frequentemente descrito, como o de uma infraestrutura que integra recursos materiais e relações sociais, funcionando como uma espécie de “comunidade de prática” que a escola básica, isoladamente, tende a ter dificuldade em reproduzir. Ao deslocar o jovem para um ambiente onde a ciência é praticada de forma cotidiana, esses programas ampliam a exposição a modelos de carreira e a formas de investigação orientadas por problemas e hipóteses, criando condições favoráveis para que a identidade científica se desenvolva (Flowers et al., 2016; Friedman et al., 2017).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9248046875" w:line="240" w:lineRule="auto"/>
        <w:ind w:left="13.958282470703125" w:right="12.4365234375" w:firstLine="706.041717529296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Além do acesso físico a laboratórios e equipamentos, a imersão universitária opera como </w:t>
      </w:r>
      <w:r w:rsidDel="00000000" w:rsidR="00000000" w:rsidRPr="00000000">
        <w:rPr>
          <w:sz w:val="24"/>
          <w:szCs w:val="24"/>
          <w:rtl w:val="0"/>
        </w:rPr>
        <w:t xml:space="preserve">mecanismo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 socialização científica: ao interagir com pesquisadores e estudantes em diferentes níveis de formação, jovens podem reinterpretar o que significa “fazer ciência”, construir repertórios de </w:t>
      </w:r>
      <w:r w:rsidDel="00000000" w:rsidR="00000000" w:rsidRPr="00000000">
        <w:rPr>
          <w:sz w:val="24"/>
          <w:szCs w:val="24"/>
          <w:rtl w:val="0"/>
        </w:rPr>
        <w:t xml:space="preserve">participação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 fortalecer o senso de pertencimento a trajetórias STEM (Flowers et al., 2016; Kitchen et al., 2018). Nesse sentido, o ecossistema de imersão é tanto material quanto relacional, e sua eficácia depende, em grande medida, da qualidade das redes de apoio, incluindo mentoria (Kuchynka et al., 2022).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50634765625" w:line="240" w:lineRule="auto"/>
        <w:ind w:left="14.400177001953125" w:right="12.435302734375" w:firstLine="705.599822998046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Entre as dimensões mais recorrentes nesses modelos, destaca-se a mentoria como mecanismo para fortalecer pertencimento e identidade científica, sobretudo quando inclui suporte psicossocial e figuras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near-peer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(Kuchynka et al., 2022). Além disso, recomendações internacionais defendem a necessidade de institucionalizar a mentoria (em vez de tratá-la como prática apenas informal), como parte de uma estratégia sistêmica de formação e retenção de talentos (Committee on Effective Mentoring in STEMM et al., 2019). </w:t>
      </w:r>
    </w:p>
    <w:p w:rsidR="00000000" w:rsidDel="00000000" w:rsidP="00000000" w:rsidRDefault="00000000" w:rsidRPr="00000000" w14:paraId="00000011">
      <w:pPr>
        <w:pStyle w:val="Heading2"/>
        <w:widowControl w:val="0"/>
        <w:spacing w:before="585.413818359375" w:line="240" w:lineRule="auto"/>
        <w:ind w:left="17.01812744140625" w:right="42.764892578125" w:firstLine="10.036468505859375"/>
        <w:jc w:val="both"/>
        <w:rPr>
          <w:sz w:val="24"/>
          <w:szCs w:val="24"/>
          <w:vertAlign w:val="baseline"/>
        </w:rPr>
      </w:pPr>
      <w:bookmarkStart w:colFirst="0" w:colLast="0" w:name="_111lpt6vaqzi" w:id="4"/>
      <w:bookmarkEnd w:id="4"/>
      <w:r w:rsidDel="00000000" w:rsidR="00000000" w:rsidRPr="00000000">
        <w:rPr>
          <w:sz w:val="24"/>
          <w:szCs w:val="24"/>
          <w:vertAlign w:val="baseline"/>
          <w:rtl w:val="0"/>
        </w:rPr>
        <w:t xml:space="preserve">1.3. O caso brasileiro: institucionalização e desenho da ”Iniciação Científica” como Política de Estado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85693359375" w:line="240" w:lineRule="auto"/>
        <w:ind w:left="6.974639892578125" w:right="17.237548828125" w:firstLine="713.025360107421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Brasil, a formação de cientistas é historicamente induzida pelo Estado por meio de um </w:t>
      </w:r>
      <w:r w:rsidDel="00000000" w:rsidR="00000000" w:rsidRPr="00000000">
        <w:rPr>
          <w:sz w:val="24"/>
          <w:szCs w:val="24"/>
          <w:rtl w:val="0"/>
        </w:rPr>
        <w:t xml:space="preserve">sistema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nacional apoiado em agências centralizadas, em especial o Conselho Nacional de </w:t>
      </w:r>
      <w:r w:rsidDel="00000000" w:rsidR="00000000" w:rsidRPr="00000000">
        <w:rPr>
          <w:sz w:val="24"/>
          <w:szCs w:val="24"/>
          <w:rtl w:val="0"/>
        </w:rPr>
        <w:t xml:space="preserve">Desenvolvimento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Científico e Tecnológico (CNPq), criado em 1951. Nesse arranjo, a Iniciação Científica (IC) consolidou-se como uma política estruturada de integração entre ensino e pesquisa, inicialmente voltada à graduação, com o objetivo de inserir estudantes na cultura científica e na rotina de </w:t>
      </w:r>
      <w:r w:rsidDel="00000000" w:rsidR="00000000" w:rsidRPr="00000000">
        <w:rPr>
          <w:sz w:val="24"/>
          <w:szCs w:val="24"/>
          <w:rtl w:val="0"/>
        </w:rPr>
        <w:t xml:space="preserve">grupos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 pesquisa reais. A institucionalização desse modelo se fortaleceu com a criação do Programa Institucional de Bolsas de Iniciação Científica (PIBIC), que contribuiu para difusão da prática nas universidades e para consolidá-la como mecanismo de formação de novos pesquisadores e preparação para a pós-graduação (Bessa, 2015; Bianchetti et al., 2012).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9339599609375" w:line="240" w:lineRule="auto"/>
        <w:ind w:left="13.9581298828125" w:right="12.43896484375" w:firstLine="706.041870117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 a cultura de Iniciação Científica já estabelecida no ensino superior, ganhou força a necessidade de estender o modelo para a educação básica, em particular para o ensino médio, antecipando a socialização científica e ampliando oportunidades formativas. A expansão da iniciação científica para o ensino médio se articula a políticas científicas e educacionais voltadas a qualificar a formação escolar e a aproximar estudantes de práticas de pesquisa e da cultura acadêmica (Bessa &amp; Lima, 2017), seguindo a tendência internacional. Oliveira e Bianchetti (2018) analisam esse movimento como uma tentativa de aproximar escola pública e universidade e produzir um “círculo virtuoso” capaz</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atrair talentos precocemente e ampliar a continuidade formativa até a pós-graduação.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9736328125" w:line="240" w:lineRule="auto"/>
        <w:ind w:left="14.618377685546875" w:right="12.43896484375" w:firstLine="705.381622314453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Autores como Arantes e Peres (2020) e Bessa e Lima (2015) destacam que experiências bem sucedidas anteriores a institucionalização da iniciação científica para jovens do ensino médio, como aquelas desenvolvidas em centros de pesquisas como a FIOCRUZ no Rio de Janeiro, contribuíram para legitimar a ideia de que a formação científica juvenil poderia ser institucionalizada em </w:t>
      </w:r>
      <w:r w:rsidDel="00000000" w:rsidR="00000000" w:rsidRPr="00000000">
        <w:rPr>
          <w:sz w:val="24"/>
          <w:szCs w:val="24"/>
          <w:rtl w:val="0"/>
        </w:rPr>
        <w:t xml:space="preserve">escala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nacional (Bianchetti et al., 2012). Como resultado do acoplamento entre problema e solução, originou-se o programa denominado Iniciação Científica Júnior (ICJ), no ano de </w:t>
      </w:r>
      <w:r w:rsidDel="00000000" w:rsidR="00000000" w:rsidRPr="00000000">
        <w:rPr>
          <w:sz w:val="24"/>
          <w:szCs w:val="24"/>
          <w:rtl w:val="0"/>
        </w:rPr>
        <w:t xml:space="preserve">2003, coordenado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pelo CNPq e baseado no modelo já desenvolvido nas universidades brasileiras (Silveira, 2015).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9248046875" w:line="240" w:lineRule="auto"/>
        <w:ind w:left="6.97479248046875" w:right="18.7646484375" w:firstLine="713.025207519531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 ponto de vista do desenho institucional, esse movimento de aproximação da iniciação </w:t>
      </w:r>
      <w:r w:rsidDel="00000000" w:rsidR="00000000" w:rsidRPr="00000000">
        <w:rPr>
          <w:sz w:val="24"/>
          <w:szCs w:val="24"/>
          <w:rtl w:val="0"/>
        </w:rPr>
        <w:t xml:space="preserve">científica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para jovens estudantes do ensino médio se materializou na criação da ICJ e que por sua vez se desdobrou em 2010 no Programa Institucional de Bolsas de Iniciação Científica para o Ensino Médio (PIBIC-EM). O PIBIC-EM concede bolsas de no mínimo um ano de duração para que </w:t>
      </w:r>
      <w:r w:rsidDel="00000000" w:rsidR="00000000" w:rsidRPr="00000000">
        <w:rPr>
          <w:sz w:val="24"/>
          <w:szCs w:val="24"/>
          <w:rtl w:val="0"/>
        </w:rPr>
        <w:t xml:space="preserve">estudantes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do ensino médio de escolas públicas participem de atividades de pesquisa sob supervisão de pesquisadores renomados, vivenciando práticas científicas ao serem inseridos em ambientes </w:t>
      </w:r>
      <w:r w:rsidDel="00000000" w:rsidR="00000000" w:rsidRPr="00000000">
        <w:rPr>
          <w:sz w:val="24"/>
          <w:szCs w:val="24"/>
          <w:rtl w:val="0"/>
        </w:rPr>
        <w:t xml:space="preserve">universitários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 centros de pesquisas Bianchetti et al. (2012).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50634765625" w:line="240" w:lineRule="auto"/>
        <w:ind w:left="12.65472412109375" w:right="11.781005859375" w:firstLine="707.345275878906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Ao analisar estudos de caso sobre a implementação do PIBIC-EM, Bessa (2015) sugere que a </w:t>
      </w:r>
      <w:r w:rsidDel="00000000" w:rsidR="00000000" w:rsidRPr="00000000">
        <w:rPr>
          <w:sz w:val="24"/>
          <w:szCs w:val="24"/>
          <w:rtl w:val="0"/>
        </w:rPr>
        <w:t xml:space="preserve">efetividade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do programa depende da capacidade de articular supervisão, infraestrutura e rotinas de trabalho científico compatíveis com o nível de formação dos estudantes. Documentos </w:t>
      </w:r>
      <w:r w:rsidDel="00000000" w:rsidR="00000000" w:rsidRPr="00000000">
        <w:rPr>
          <w:sz w:val="24"/>
          <w:szCs w:val="24"/>
          <w:rtl w:val="0"/>
        </w:rPr>
        <w:t xml:space="preserve">governamentais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oficiais estratégicos elaborados nas primeiras décadas dos anos 2000 sobre a política científica e educacional (Brasil, Minist</w:t>
      </w:r>
      <w:r w:rsidDel="00000000" w:rsidR="00000000" w:rsidRPr="00000000">
        <w:rPr>
          <w:sz w:val="24"/>
          <w:szCs w:val="24"/>
          <w:rtl w:val="0"/>
        </w:rPr>
        <w:t xml:space="preserve">ério da Ciência e Tecnologia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2001; 2002; 2010), confirmam essa </w:t>
      </w:r>
      <w:r w:rsidDel="00000000" w:rsidR="00000000" w:rsidRPr="00000000">
        <w:rPr>
          <w:sz w:val="24"/>
          <w:szCs w:val="24"/>
          <w:rtl w:val="0"/>
        </w:rPr>
        <w:t xml:space="preserve">transformação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discursiva ao enfatizar a necessidade de fortalecer a educação científica como condição para a competitividade nacional e a inclusão social. Como observam Vasques </w:t>
      </w:r>
      <w:r w:rsidDel="00000000" w:rsidR="00000000" w:rsidRPr="00000000">
        <w:rPr>
          <w:sz w:val="24"/>
          <w:szCs w:val="24"/>
          <w:rtl w:val="0"/>
        </w:rPr>
        <w:t xml:space="preserve">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Oliveira (2020) esse período foi marcado por uma agenda que visava promover uma ”revolução na educação básica” por meio da cultura científica e da aproximação entre escola pública e universidade. Tal conjuntura favoreceu o acoplamento entre diagnósticos educacionais emergentes e soluções já existentes no </w:t>
      </w:r>
      <w:r w:rsidDel="00000000" w:rsidR="00000000" w:rsidRPr="00000000">
        <w:rPr>
          <w:sz w:val="24"/>
          <w:szCs w:val="24"/>
          <w:rtl w:val="0"/>
        </w:rPr>
        <w:t xml:space="preserve">subsistema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científico, </w:t>
      </w:r>
      <w:r w:rsidDel="00000000" w:rsidR="00000000" w:rsidRPr="00000000">
        <w:rPr>
          <w:sz w:val="24"/>
          <w:szCs w:val="24"/>
          <w:rtl w:val="0"/>
        </w:rPr>
        <w:t xml:space="preserve">ampliou</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atuação das universidades como lócus privilegiado da produção e difusão da ciência (Silveira, 2015).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93701171875" w:line="240" w:lineRule="auto"/>
        <w:ind w:left="4.5892333984375" w:right="18.76220703125" w:firstLine="715.410766601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 aspecto decisivo na política de atração de jovens talentos, no caso brasileiro, é a sua </w:t>
      </w:r>
      <w:r w:rsidDel="00000000" w:rsidR="00000000" w:rsidRPr="00000000">
        <w:rPr>
          <w:sz w:val="24"/>
          <w:szCs w:val="24"/>
          <w:rtl w:val="0"/>
        </w:rPr>
        <w:t xml:space="preserve">dependência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estrutural do interesse individual dos pesquisadores. O desenho normativo do programa (CNPq, 2006) estabelece que a submissão de projetos e a solicitação de cotas são prerrogativas de pesquisadores com vínculo institucional, e não das escolas de forma autônoma. Nesse modelo, como observam Arantes e Peres (2015), o acesso dos estudantes aos ambientes de produção científica é condicionado pela adesão voluntária de orientadores dispostos a tutelar esses jovens. </w:t>
      </w:r>
      <w:r w:rsidDel="00000000" w:rsidR="00000000" w:rsidRPr="00000000">
        <w:rPr>
          <w:sz w:val="24"/>
          <w:szCs w:val="24"/>
          <w:rtl w:val="0"/>
        </w:rPr>
        <w:t xml:space="preserve">Consequentemente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motivação e a disponibilidade desses atores tornam-se componentes críticos: Filipecki et al. (2006) destacam que cabe ao pesquisador a decisão de investir seu tempo escasso na formação básica, enquanto</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Oliveira </w:t>
      </w:r>
      <w:r w:rsidDel="00000000" w:rsidR="00000000" w:rsidRPr="00000000">
        <w:rPr>
          <w:sz w:val="24"/>
          <w:szCs w:val="24"/>
          <w:rtl w:val="0"/>
        </w:rPr>
        <w:t xml:space="preserve">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Bianchetti (2018) alertam que a baixa adesão docente, </w:t>
      </w:r>
      <w:r w:rsidDel="00000000" w:rsidR="00000000" w:rsidRPr="00000000">
        <w:rPr>
          <w:sz w:val="24"/>
          <w:szCs w:val="24"/>
          <w:rtl w:val="0"/>
        </w:rPr>
        <w:t xml:space="preserve">pressionada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pelo produtivismo acadêmico, pode comprometer o alcance e a própria sustentabilidade da política.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38427734375" w:line="240" w:lineRule="auto"/>
        <w:ind w:left="15.709228515625" w:right="18.984375" w:firstLine="704.29077148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análise das resoluções normativas e das chamadas públicas que regem o funcionamento do PIBIC</w:t>
      </w:r>
      <w:r w:rsidDel="00000000" w:rsidR="00000000" w:rsidRPr="00000000">
        <w:rPr>
          <w:sz w:val="24"/>
          <w:szCs w:val="24"/>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 revela a consolidação de um arranjo regulatório que combina finalidades declaradamente </w:t>
      </w:r>
      <w:r w:rsidDel="00000000" w:rsidR="00000000" w:rsidRPr="00000000">
        <w:rPr>
          <w:sz w:val="24"/>
          <w:szCs w:val="24"/>
          <w:rtl w:val="0"/>
        </w:rPr>
        <w:t xml:space="preserve">inclusivas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com mecanismos institucionais de alta seletividade. De acordo com Oliveira </w:t>
      </w:r>
      <w:r w:rsidDel="00000000" w:rsidR="00000000" w:rsidRPr="00000000">
        <w:rPr>
          <w:sz w:val="24"/>
          <w:szCs w:val="24"/>
          <w:rtl w:val="0"/>
        </w:rPr>
        <w:t xml:space="preserve">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Bianchetti (2018), o arranjo normativo do PIBIC-EM transforma a inclusão social em uma ”política focal”, onde o acesso não é universal, mas restrito aos estudantes de alto rendimento acadêmico ou que vivem em grandes centros urbanos, onde geralmente estão localizados os grandes centros de pesquisas e universidades. As Resoluções Normativas do PIBIC-EM a RN-017/2006 (CNPq, 2006), estabelece que o programa deve “despertar vocação científica e incentivar talentos potenciais entre estudantes do ensino médio e profissional da rede pública”. Esse objetivo é reafirmado na RN 027/2008 (CNPq, 2008), que amplia o público-alvo, mas mantém como exigência que os estudantes participem de projetos orientados por pesquisadores com título de mestre ou doutor, vinculados institucionalmente a universidades ou centros de pesquisa. O documento estabelece ainda que os projetos devem ser desenvolvidos em instituições com infraestrutura científica compatível e que apenas instituições previamente participantes de programas de iniciação científica para graduação (PIBIC) ou inovação tecnológica (PIBITI) podem submeter propostas ao PIBIC-EM. Esses </w:t>
      </w:r>
      <w:r w:rsidDel="00000000" w:rsidR="00000000" w:rsidRPr="00000000">
        <w:rPr>
          <w:sz w:val="24"/>
          <w:szCs w:val="24"/>
          <w:rtl w:val="0"/>
        </w:rPr>
        <w:t xml:space="preserve">requisitos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funcionam como filtros que estruturam a participação institucional e que, ao mesmo tempo, reforçam a centralidade das universidades e de seus pesquisadores no desenho da política.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4453125" w:line="240" w:lineRule="auto"/>
        <w:ind w:left="14.618377685546875" w:right="0.2197265625" w:firstLine="705.381622314453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Apesar da relevância do PIBIC-EM como política de aproximação entre educação básica e pesquisa científica, ainda são escassos os estudos que examinam, de forma sistemática, os fatores associados à recorrência de pesquisadores já aprovados no programa. Nesse contexto, este artigo analisa como a recorrência de proponentes contemplados nas chamadas públicas do PIBIC-EM, entre 2014 e 2024, se associa a características individuais e institucionais. Ao focalizar o universo dos pesquisadores aprovados, o estudo não investiga o acesso inicial à política, mas sua dinâmica interna de </w:t>
      </w:r>
      <w:r w:rsidDel="00000000" w:rsidR="00000000" w:rsidRPr="00000000">
        <w:rPr>
          <w:sz w:val="24"/>
          <w:szCs w:val="24"/>
          <w:rtl w:val="0"/>
        </w:rPr>
        <w:t xml:space="preserve">permanência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ao longo do tempo. Sua principal contribuição consiste em indicar como a sustentação do programa parece associar-se a padrões de recorrência que permitem problematizar a relação entre a promessa normativa de democratização e os mecanismos concretos de operação da política. </w:t>
      </w:r>
    </w:p>
    <w:p w:rsidR="00000000" w:rsidDel="00000000" w:rsidP="00000000" w:rsidRDefault="00000000" w:rsidRPr="00000000" w14:paraId="0000001A">
      <w:pPr>
        <w:pStyle w:val="Heading1"/>
        <w:widowControl w:val="0"/>
        <w:spacing w:before="572.4725341796875" w:line="240" w:lineRule="auto"/>
        <w:ind w:left="21.89910888671875" w:firstLine="0"/>
        <w:jc w:val="both"/>
        <w:rPr>
          <w:sz w:val="24"/>
          <w:szCs w:val="24"/>
          <w:vertAlign w:val="baseline"/>
        </w:rPr>
      </w:pPr>
      <w:bookmarkStart w:colFirst="0" w:colLast="0" w:name="_5qrsmnyj6lgs" w:id="5"/>
      <w:bookmarkEnd w:id="5"/>
      <w:r w:rsidDel="00000000" w:rsidR="00000000" w:rsidRPr="00000000">
        <w:rPr>
          <w:sz w:val="24"/>
          <w:szCs w:val="24"/>
          <w:vertAlign w:val="baseline"/>
          <w:rtl w:val="0"/>
        </w:rPr>
        <w:t xml:space="preserve">2. Objetivo do estudo e estratégia analítica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9078369140625" w:line="240" w:lineRule="auto"/>
        <w:ind w:left="6.97479248046875" w:right="0.21728515625" w:firstLine="713.025207519531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Este estudo adota uma abordagem quantitativa, de natureza observacional, para analisar os </w:t>
      </w:r>
      <w:r w:rsidDel="00000000" w:rsidR="00000000" w:rsidRPr="00000000">
        <w:rPr>
          <w:sz w:val="24"/>
          <w:szCs w:val="24"/>
          <w:rtl w:val="0"/>
        </w:rPr>
        <w:t xml:space="preserve">fatores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associados à recorrência de pesquisadores no Programa Institucional de Bolsas de Iniciação Científica para o Ensino Médio (PIBIC-EM), no período de 2014 a 2024. A unidade de análise é o pesquisador individual identificado como proponente aprovado nos editais públicos do programa. Em vez de estimar os determinantes do acesso inicial ao PIBIC-EM, a análise concentra-se na variação da recorrência entre pesquisadores que já haviam sido aprovados ao menos uma vez. </w:t>
      </w:r>
    </w:p>
    <w:p w:rsidR="00000000" w:rsidDel="00000000" w:rsidP="00000000" w:rsidRDefault="00000000" w:rsidRPr="00000000" w14:paraId="0000001C">
      <w:pPr>
        <w:pStyle w:val="Heading2"/>
        <w:widowControl w:val="0"/>
        <w:spacing w:before="585.4135131835938" w:line="240" w:lineRule="auto"/>
        <w:ind w:left="20.945587158203125" w:firstLine="0"/>
        <w:jc w:val="both"/>
        <w:rPr>
          <w:sz w:val="24"/>
          <w:szCs w:val="24"/>
          <w:vertAlign w:val="baseline"/>
        </w:rPr>
      </w:pPr>
      <w:bookmarkStart w:colFirst="0" w:colLast="0" w:name="_unipsjn9ae3b" w:id="6"/>
      <w:bookmarkEnd w:id="6"/>
      <w:r w:rsidDel="00000000" w:rsidR="00000000" w:rsidRPr="00000000">
        <w:rPr>
          <w:sz w:val="24"/>
          <w:szCs w:val="24"/>
          <w:vertAlign w:val="baseline"/>
          <w:rtl w:val="0"/>
        </w:rPr>
        <w:t xml:space="preserve">2.1 Base de dados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6.97479248046875" w:right="0.25390625" w:firstLine="713.0252075195312"/>
        <w:jc w:val="both"/>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banco de dados foi construído a partir da publicação </w:t>
      </w:r>
      <w:r w:rsidDel="00000000" w:rsidR="00000000" w:rsidRPr="00000000">
        <w:rPr>
          <w:sz w:val="24"/>
          <w:szCs w:val="24"/>
          <w:rtl w:val="0"/>
        </w:rPr>
        <w:t xml:space="preserve">nominal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dos pesquisadores </w:t>
      </w:r>
      <w:r w:rsidDel="00000000" w:rsidR="00000000" w:rsidRPr="00000000">
        <w:rPr>
          <w:sz w:val="24"/>
          <w:szCs w:val="24"/>
          <w:rtl w:val="0"/>
        </w:rPr>
        <w:t xml:space="preserve">contemplados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em pelo menos um dos seis editais do PIBIC-EM entre 2014 e 2024. Para cada pesquisador identificado, foram reunidas informações sobre vínculo institucional, categoria administrativa da instituição, região geográfica, qualidade institucional e capital científico. O capital científico </w:t>
      </w:r>
      <w:r w:rsidDel="00000000" w:rsidR="00000000" w:rsidRPr="00000000">
        <w:rPr>
          <w:sz w:val="24"/>
          <w:szCs w:val="24"/>
          <w:rtl w:val="0"/>
        </w:rPr>
        <w:t xml:space="preserve">individual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foi operacionalizado com base no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h-index</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superscript"/>
        </w:rPr>
        <w:footnoteReference w:customMarkFollows="0" w:id="0"/>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 pesquisador, obtido por meio da API OpenAlex. Nas especificações </w:t>
      </w:r>
      <w:r w:rsidDel="00000000" w:rsidR="00000000" w:rsidRPr="00000000">
        <w:rPr>
          <w:sz w:val="24"/>
          <w:szCs w:val="24"/>
          <w:rtl w:val="0"/>
        </w:rPr>
        <w:t xml:space="preserve">estatísticas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covariável contínua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h-index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foi centralizada na média. As </w:t>
      </w:r>
      <w:r w:rsidDel="00000000" w:rsidR="00000000" w:rsidRPr="00000000">
        <w:rPr>
          <w:sz w:val="24"/>
          <w:szCs w:val="24"/>
          <w:rtl w:val="0"/>
        </w:rPr>
        <w:t xml:space="preserve">informações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institucionais foram articuladas às classificações analíticas adotadas no estudo, incluindo a categorização administrativa e a localização regional, a partir de dados do Ministério da Educação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superscript"/>
        </w:rPr>
        <w:footnoteReference w:customMarkFollows="0" w:id="1"/>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14.618377685546875" w:right="42.762451171875" w:firstLine="705.381622314453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variável dependente corresponde ao número de editais distintos do PIBIC-EM em que o mesmo pesquisador apareceu como proponente aprovado. Trata-se, portanto, de uma variável discreta e não negativa, que representa a contagem de participações recorrentes ao longo do tempo. O foco analítico não recai sobre o volume absoluto de bolsas alocadas às instituições, mas sobre a frequência com que o mesmo pesquisador reaparece no programa.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14.618377685546875" w:right="12.21923828125" w:firstLine="705.381622314453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variáveis independentes foram organizadas em três grupos. O primeiro corresponde ao capital científico individual, mensurado pelo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h-index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 segundo corresponde às características </w:t>
      </w:r>
      <w:r w:rsidDel="00000000" w:rsidR="00000000" w:rsidRPr="00000000">
        <w:rPr>
          <w:sz w:val="24"/>
          <w:szCs w:val="24"/>
          <w:rtl w:val="0"/>
        </w:rPr>
        <w:t xml:space="preserve">institucionais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incluindo a categoria administrativa da instituição e, quando aplicável, a classificação </w:t>
      </w:r>
      <w:r w:rsidDel="00000000" w:rsidR="00000000" w:rsidRPr="00000000">
        <w:rPr>
          <w:sz w:val="24"/>
          <w:szCs w:val="24"/>
          <w:rtl w:val="0"/>
        </w:rPr>
        <w:t xml:space="preserve">institucional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baseada no Índice Geral de Cursos (IGC). O terceiro grupo reúne controles contextuais, especialmente a região geográfica da instituição. </w:t>
      </w:r>
    </w:p>
    <w:p w:rsidR="00000000" w:rsidDel="00000000" w:rsidP="00000000" w:rsidRDefault="00000000" w:rsidRPr="00000000" w14:paraId="00000020">
      <w:pPr>
        <w:pStyle w:val="Heading2"/>
        <w:widowControl w:val="0"/>
        <w:spacing w:before="585.41259765625" w:line="240" w:lineRule="auto"/>
        <w:ind w:left="20.945587158203125" w:firstLine="0"/>
        <w:jc w:val="both"/>
        <w:rPr>
          <w:sz w:val="24"/>
          <w:szCs w:val="24"/>
          <w:vertAlign w:val="baseline"/>
        </w:rPr>
      </w:pPr>
      <w:bookmarkStart w:colFirst="0" w:colLast="0" w:name="_z7otni4svibl" w:id="7"/>
      <w:bookmarkEnd w:id="7"/>
      <w:r w:rsidDel="00000000" w:rsidR="00000000" w:rsidRPr="00000000">
        <w:rPr>
          <w:sz w:val="24"/>
          <w:szCs w:val="24"/>
          <w:vertAlign w:val="baseline"/>
          <w:rtl w:val="0"/>
        </w:rPr>
        <w:t xml:space="preserve">2.2 Estratégia empírica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402099609375" w:line="240" w:lineRule="auto"/>
        <w:ind w:left="12.65472412109375" w:right="18.980712890625" w:firstLine="707.345275878906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Como a variável dependente é uma medida de contagem, a análise foi conduzida por meio de </w:t>
      </w:r>
      <w:r w:rsidDel="00000000" w:rsidR="00000000" w:rsidRPr="00000000">
        <w:rPr>
          <w:sz w:val="24"/>
          <w:szCs w:val="24"/>
          <w:rtl w:val="0"/>
        </w:rPr>
        <w:t xml:space="preserve">Modelos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Lineares Generalizados para dados de contagem. Os modelos foram estimados com distribuição Quasi-Poisson e função de ligação logarítmica, especificação adotada para acomodar padrões de </w:t>
      </w:r>
      <w:r w:rsidDel="00000000" w:rsidR="00000000" w:rsidRPr="00000000">
        <w:rPr>
          <w:sz w:val="24"/>
          <w:szCs w:val="24"/>
          <w:rtl w:val="0"/>
        </w:rPr>
        <w:t xml:space="preserve">dispersão</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superiores aos assumidos por um modelo de Poisson estrito. Considerando que a base de dados abrange exclusivamente proponentes contemplados no programa, o modelo Quasi-Poisson foi empregado sob a restrição condicional de Y≥1, o que impõe parcimônia na extrapolação dos coeficientes preditivos. Nessa estrutura, os coeficientes são estimados na escala logarítmica e posteriormente exponenciados para obtenção das razões de taxa de incidência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Incidence Rate Ratios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IRR).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38427734375" w:line="240" w:lineRule="auto"/>
        <w:ind w:left="14.6185302734375" w:right="38.26171875" w:firstLine="705.381469726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A estratégia empírica foi desenvolvida em duas etapas. Para a modelagem inferencial, a base inicial de 541 pesquisadores contemplados foi reduzida para uma amostra final de 496 observações válidas. A exclusão desses 45 casos (cerca de 8% do total) decorreu da indisponibilidade de dados completos nas bases de consulta referentes ao vínculo institucional atualizado ou ao capital científico (Índice-h) do proponente. Na primeira etapa, a análise utilizou essa amostra de 496 pesquisadores e estimou uma sequência de modelos aninhados.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especificação inicial incluiu apenas a categoria administrativa da instituição. A segunda especificação acrescentou a região geográfica como variável de controle. A terceira incorporou a categoria de IGC. A quarta adicionou o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h-index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como preditor contínuo. Essa estrutura sequencial foi adotada para avaliar se a associação entre perfil institucional e recorrência se mantinha após a inclusão de controles geográficos, de qualidade institucional e de capital científico individual.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943115234375" w:line="240" w:lineRule="auto"/>
        <w:ind w:left="6.974945068359375" w:right="19.072265625" w:firstLine="713.025054931640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 segunda etapa, a análise foi restringida ao subsistema federal, composto por 296 pesquisadores vinculados a Universidades Federais ou IFs/CEFETs. Esse recorte foi adotado para comparar padrões de recorrência em um ambiente institucional mais homogêneo. O primeiro modelo dessa etapa incluiu categoria institucional 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h-index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segunda especificação acrescentou a região </w:t>
      </w:r>
      <w:r w:rsidDel="00000000" w:rsidR="00000000" w:rsidRPr="00000000">
        <w:rPr>
          <w:sz w:val="24"/>
          <w:szCs w:val="24"/>
          <w:rtl w:val="0"/>
        </w:rPr>
        <w:t xml:space="preserve">geográfica 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um termo de interação entre categoria institucional e região, permitindo avaliar se a associação entre tipo institucional e recorrência variava conforme o contexto territorial.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353759765625" w:line="240" w:lineRule="auto"/>
        <w:ind w:left="15.7098388671875" w:right="0" w:firstLine="704.290161132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Formalmente, a estrutura geral dos modelos pode ser expressa como: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3209228515625" w:line="240" w:lineRule="auto"/>
        <w:ind w:left="0" w:right="0" w:firstLine="0"/>
        <w:jc w:val="center"/>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log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β</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β</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β</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Z</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β</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subscript"/>
          <w:rtl w:val="0"/>
        </w:rPr>
        <w:t xml:space="preserve">3</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6541748046875" w:line="240" w:lineRule="auto"/>
        <w:ind w:left="12.65411376953125" w:right="18.865966796875" w:firstLine="1.963653564453125"/>
        <w:jc w:val="both"/>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 que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representa o número esperado de editais em que o pesquisador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foi aprovado;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subscript"/>
          <w:rtl w:val="0"/>
        </w:rPr>
        <w:t xml:space="preserve">i </w:t>
      </w:r>
      <w:r w:rsidDel="00000000" w:rsidR="00000000" w:rsidRPr="00000000">
        <w:rPr>
          <w:sz w:val="24"/>
          <w:szCs w:val="24"/>
          <w:rtl w:val="0"/>
        </w:rPr>
        <w:t xml:space="preserve">representa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 capital científico individual;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Z</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as características institucionais; 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os controles </w:t>
      </w:r>
      <w:r w:rsidDel="00000000" w:rsidR="00000000" w:rsidRPr="00000000">
        <w:rPr>
          <w:sz w:val="24"/>
          <w:szCs w:val="24"/>
          <w:rtl w:val="0"/>
        </w:rPr>
        <w:t xml:space="preserve">contextuais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No modelo de interação estimado para o subsistema federal, foi incluído adicionalmente um termo multiplicativo entre categoria institucional e região geográfica.</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6541748046875" w:line="240" w:lineRule="auto"/>
        <w:ind w:left="12.65411376953125" w:right="18.865966796875" w:firstLine="707.3458862304688"/>
        <w:jc w:val="both"/>
        <w:rPr>
          <w:sz w:val="24"/>
          <w:szCs w:val="24"/>
        </w:rPr>
      </w:pPr>
      <w:r w:rsidDel="00000000" w:rsidR="00000000" w:rsidRPr="00000000">
        <w:rPr>
          <w:sz w:val="24"/>
          <w:szCs w:val="24"/>
          <w:rtl w:val="0"/>
        </w:rPr>
        <w:t xml:space="preserve">Por fim, no que tange à especificação do capital científico individual, é importante destacar que a mensuração do Índice-h dos proponentes foi realizada em outubro de 2025. Por se tratar de um indicador transversal coletado após o período de abrangência dos editais analisados (2014 a 2024), ele reflete a produtividade cumulativa do pesquisador no momento da coleta. Consequentemente, a modelagem assume o Índice-h como uma proxy do prestígio acadêmico consolidado, reconhecendo-se a limitação analítica de não ser possível isolar temporalmente o quanto a própria aprovação recorrente do pesquisador no PIBIC-EM ao longo da década pode ter retroalimentado o seu capital científico, o que demanda cautela na interpretação causal unidirecional desse coeficiente.</w:t>
      </w:r>
    </w:p>
    <w:p w:rsidR="00000000" w:rsidDel="00000000" w:rsidP="00000000" w:rsidRDefault="00000000" w:rsidRPr="00000000" w14:paraId="00000028">
      <w:pPr>
        <w:pStyle w:val="Heading1"/>
        <w:widowControl w:val="0"/>
        <w:spacing w:line="240" w:lineRule="auto"/>
        <w:ind w:left="19.747161865234375" w:firstLine="0"/>
        <w:jc w:val="both"/>
        <w:rPr>
          <w:sz w:val="24"/>
          <w:szCs w:val="24"/>
          <w:vertAlign w:val="baseline"/>
        </w:rPr>
      </w:pPr>
      <w:bookmarkStart w:colFirst="0" w:colLast="0" w:name="_vvr060bvi7sh" w:id="8"/>
      <w:bookmarkEnd w:id="8"/>
      <w:r w:rsidDel="00000000" w:rsidR="00000000" w:rsidRPr="00000000">
        <w:rPr>
          <w:sz w:val="24"/>
          <w:szCs w:val="24"/>
          <w:vertAlign w:val="baseline"/>
          <w:rtl w:val="0"/>
        </w:rPr>
        <w:t xml:space="preserve">3. Resultados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9072265625" w:line="240" w:lineRule="auto"/>
        <w:ind w:left="14.618377685546875" w:right="42.547607421875" w:firstLine="705.381622314453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 a intenção de compreender a dinâmica de acesso e a recorrência dos pesquisadores no âmbito do PIBIC-EM, os resultados foram delineados sob três eixos analíticos. Inicialmente, expõe-se um panorama descritivo abrangente da política pública, com ênfase em sua capilaridade e na identificação dos atores institucionais. Subsequentemente, mediante o emprego de modelagem estatística hierárquica, examinam-se os determinantes estruturais e individuais preditores da taxa de recorrência dos proponentes inseridos no ecossistema do ensino superior. Por fim, adota-se uma perspectiva microanalítica voltada ao subsistema público federal, com o intuito de elucidar as distinções subjacentes às vocações institucionais de Universidades Federais e da Rede Federal de Educação Profissional, Científica e Tecnológica. </w:t>
      </w:r>
    </w:p>
    <w:p w:rsidR="00000000" w:rsidDel="00000000" w:rsidP="00000000" w:rsidRDefault="00000000" w:rsidRPr="00000000" w14:paraId="0000002A">
      <w:pPr>
        <w:pStyle w:val="Heading2"/>
        <w:widowControl w:val="0"/>
        <w:spacing w:before="585.41259765625" w:line="240" w:lineRule="auto"/>
        <w:ind w:left="18.98193359375" w:firstLine="0"/>
        <w:jc w:val="both"/>
        <w:rPr>
          <w:sz w:val="24"/>
          <w:szCs w:val="24"/>
          <w:vertAlign w:val="baseline"/>
        </w:rPr>
      </w:pPr>
      <w:bookmarkStart w:colFirst="0" w:colLast="0" w:name="_rhyx6rjokx3r" w:id="9"/>
      <w:bookmarkEnd w:id="9"/>
      <w:r w:rsidDel="00000000" w:rsidR="00000000" w:rsidRPr="00000000">
        <w:rPr>
          <w:sz w:val="24"/>
          <w:szCs w:val="24"/>
          <w:vertAlign w:val="baseline"/>
          <w:rtl w:val="0"/>
        </w:rPr>
        <w:t xml:space="preserve">3.1 Panorama geral da participação dos pesquisadores no PIBIC-EM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4014892578125" w:line="240" w:lineRule="auto"/>
        <w:ind w:left="6.97479248046875" w:right="18.9892578125" w:firstLine="713.025207519531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 subseção apresenta um panorama geral da implementação do PIBIC-EM no período de 2014 a 2024, com foco na taxa da participação, no perfil dos pesquisadores contemplados e na distribuição institucional e territorial dos vínculos. No recorte analisado, o programa reuniu 541 pesquisadores vinculados a 236 instituições, configurando uma base nacional ampla, porém marcada por </w:t>
      </w:r>
      <w:r w:rsidDel="00000000" w:rsidR="00000000" w:rsidRPr="00000000">
        <w:rPr>
          <w:sz w:val="24"/>
          <w:szCs w:val="24"/>
          <w:rtl w:val="0"/>
        </w:rPr>
        <w:t xml:space="preserve">assimetrias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 acesso e permanência. Em termos analíticos, esse padrão sugere, à primeira vista, que esse padrão é compatível com desigualdades históricas de infraestrutura científica e educacional entre instituições e regiões.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4453125" w:line="240" w:lineRule="auto"/>
        <w:ind w:left="6.978302001953125" w:right="12.21923828125" w:firstLine="713.021697998046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averiguação preliminar dos dados demonstra uma dinâmica de participação concentrada, </w:t>
      </w:r>
      <w:r w:rsidDel="00000000" w:rsidR="00000000" w:rsidRPr="00000000">
        <w:rPr>
          <w:sz w:val="24"/>
          <w:szCs w:val="24"/>
          <w:rtl w:val="0"/>
        </w:rPr>
        <w:t xml:space="preserve">conforme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Tabela 1. Embora 42,3% dos pesquisadores tenham participação pontual em uma chamada, 49,2% já se encontram em padrão de continuidade com participação intermediária entre 2 e 3 chamadas, e 8,5% alcançam recorrência alta com 4 ou mais chamadas. Em termos agregados, 57,7% dos pesquisadores participam de mais de uma chamada, percentual que supera em 15,4 </w:t>
      </w:r>
      <w:r w:rsidDel="00000000" w:rsidR="00000000" w:rsidRPr="00000000">
        <w:rPr>
          <w:sz w:val="24"/>
          <w:szCs w:val="24"/>
          <w:rtl w:val="0"/>
        </w:rPr>
        <w:t xml:space="preserve">pontos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 grupo de entrada pontual. Esse desenho também aparece na média nacional de 1,86 chamadas por pesquisador, valor próximo de duas participações por proponente e compatível com um padrão de permanência recorrente no programa.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u w:val="none"/>
          <w:shd w:fill="auto" w:val="clear"/>
          <w:vertAlign w:val="baseline"/>
        </w:rPr>
      </w:pPr>
      <w:r w:rsidDel="00000000" w:rsidR="00000000" w:rsidRPr="00000000">
        <w:rPr>
          <w:b w:val="1"/>
          <w:bCs w:val="1"/>
          <w:rtl w:val="0"/>
        </w:rPr>
        <w:t xml:space="preserve">Tabela 1:</w:t>
      </w:r>
      <w:r w:rsidDel="00000000" w:rsidR="00000000" w:rsidRPr="00000000">
        <w:rPr>
          <w:rtl w:val="0"/>
        </w:rPr>
        <w:t xml:space="preserve"> </w:t>
      </w:r>
      <w:r w:rsidDel="00000000" w:rsidR="00000000" w:rsidRPr="00000000">
        <w:rPr>
          <w:rFonts w:ascii="Arial" w:cs="Arial" w:eastAsia="Arial" w:hAnsi="Arial"/>
          <w:b w:val="0"/>
          <w:bCs w:val="0"/>
          <w:i w:val="1"/>
          <w:iCs w:val="1"/>
          <w:smallCaps w:val="0"/>
          <w:strike w:val="0"/>
          <w:color w:val="000000"/>
          <w:u w:val="none"/>
          <w:shd w:fill="auto" w:val="clear"/>
          <w:vertAlign w:val="baseline"/>
          <w:rtl w:val="0"/>
        </w:rPr>
        <w:t xml:space="preserve">Perfil Consolidado de Participação, Retenção e Abrangência Institucional no PIBIC-EM (2014-2024)</w:t>
      </w:r>
      <w:r w:rsidDel="00000000" w:rsidR="00000000" w:rsidRPr="00000000">
        <w:rPr>
          <w:rtl w:val="0"/>
        </w:rPr>
      </w:r>
    </w:p>
    <w:tbl>
      <w:tblPr>
        <w:tblStyle w:val="Table1"/>
        <w:tblW w:w="8792.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5"/>
        <w:gridCol w:w="863.9999999999999"/>
        <w:gridCol w:w="863.9999999999999"/>
        <w:gridCol w:w="863.9999999999999"/>
        <w:gridCol w:w="863.9999999999999"/>
        <w:gridCol w:w="863.9999999999999"/>
        <w:gridCol w:w="863.9999999999999"/>
        <w:gridCol w:w="863.9999999999999"/>
        <w:tblGridChange w:id="0">
          <w:tblGrid>
            <w:gridCol w:w="2745"/>
            <w:gridCol w:w="863.9999999999999"/>
            <w:gridCol w:w="863.9999999999999"/>
            <w:gridCol w:w="863.9999999999999"/>
            <w:gridCol w:w="863.9999999999999"/>
            <w:gridCol w:w="863.9999999999999"/>
            <w:gridCol w:w="863.9999999999999"/>
            <w:gridCol w:w="863.9999999999999"/>
          </w:tblGrid>
        </w:tblGridChange>
      </w:tblGrid>
      <w:tr>
        <w:trPr>
          <w:cantSplit w:val="0"/>
          <w:trHeight w:val="144" w:hRule="atLeast"/>
          <w:tblHeader w:val="0"/>
        </w:trPr>
        <w:tc>
          <w:tcPr>
            <w:tcBorders>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Perfil / Variável</w:t>
            </w:r>
            <w:r w:rsidDel="00000000" w:rsidR="00000000" w:rsidRPr="00000000">
              <w:rPr>
                <w:rtl w:val="0"/>
              </w:rPr>
            </w:r>
          </w:p>
        </w:tc>
        <w:tc>
          <w:tcPr>
            <w:tcBorders>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N (Pesq.)</w:t>
            </w:r>
            <w:r w:rsidDel="00000000" w:rsidR="00000000" w:rsidRPr="00000000">
              <w:rPr>
                <w:rtl w:val="0"/>
              </w:rPr>
            </w:r>
          </w:p>
        </w:tc>
        <w:tc>
          <w:tcPr>
            <w:tcBorders>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Total (%)</w:t>
            </w:r>
            <w:r w:rsidDel="00000000" w:rsidR="00000000" w:rsidRPr="00000000">
              <w:rPr>
                <w:rtl w:val="0"/>
              </w:rPr>
            </w:r>
          </w:p>
        </w:tc>
        <w:tc>
          <w:tcPr>
            <w:tcBorders>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Inst. (n)</w:t>
            </w:r>
            <w:r w:rsidDel="00000000" w:rsidR="00000000" w:rsidRPr="00000000">
              <w:rPr>
                <w:rtl w:val="0"/>
              </w:rPr>
            </w:r>
          </w:p>
        </w:tc>
        <w:tc>
          <w:tcPr>
            <w:tcBorders>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Méd. Cham.</w:t>
            </w:r>
            <w:r w:rsidDel="00000000" w:rsidR="00000000" w:rsidRPr="00000000">
              <w:rPr>
                <w:rtl w:val="0"/>
              </w:rPr>
            </w:r>
          </w:p>
        </w:tc>
        <w:tc>
          <w:tcPr>
            <w:tcBorders>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Pontual (%)</w:t>
            </w:r>
            <w:r w:rsidDel="00000000" w:rsidR="00000000" w:rsidRPr="00000000">
              <w:rPr>
                <w:rtl w:val="0"/>
              </w:rPr>
            </w:r>
          </w:p>
        </w:tc>
        <w:tc>
          <w:tcPr>
            <w:tcBorders>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Interm.</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w:t>
            </w:r>
            <w:r w:rsidDel="00000000" w:rsidR="00000000" w:rsidRPr="00000000">
              <w:rPr>
                <w:rtl w:val="0"/>
              </w:rPr>
            </w:r>
          </w:p>
        </w:tc>
        <w:tc>
          <w:tcPr>
            <w:tcBorders>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Recorr.</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w:t>
            </w:r>
            <w:r w:rsidDel="00000000" w:rsidR="00000000" w:rsidRPr="00000000">
              <w:rPr>
                <w:rtl w:val="0"/>
              </w:rPr>
            </w:r>
          </w:p>
        </w:tc>
      </w:tr>
      <w:tr>
        <w:trPr>
          <w:cantSplit w:val="0"/>
          <w:trHeight w:val="144" w:hRule="atLeast"/>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Categoria Administrativa</w:t>
            </w: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Universidade Federal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187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34,6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69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1,70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47,1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49,2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3,7</w:t>
            </w:r>
            <w:r w:rsidDel="00000000" w:rsidR="00000000" w:rsidRPr="00000000">
              <w:rPr>
                <w:rtl w:val="0"/>
              </w:rPr>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IF / CEFET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21,6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1,87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50,4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8,5</w:t>
            </w:r>
            <w:r w:rsidDel="00000000" w:rsidR="00000000" w:rsidRPr="00000000">
              <w:rPr>
                <w:rtl w:val="0"/>
              </w:rPr>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IES Privada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20,5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67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2,16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37,8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44,1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18,0</w:t>
            </w:r>
            <w:r w:rsidDel="00000000" w:rsidR="00000000" w:rsidRPr="00000000">
              <w:rPr>
                <w:rtl w:val="0"/>
              </w:rPr>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Pública Estadual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80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14,8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1,85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50,0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7,5</w:t>
            </w:r>
            <w:r w:rsidDel="00000000" w:rsidR="00000000" w:rsidRPr="00000000">
              <w:rPr>
                <w:rtl w:val="0"/>
              </w:rPr>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Institutos de Pesquisas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5,4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1,79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37,9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55,2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6,9</w:t>
            </w:r>
            <w:r w:rsidDel="00000000" w:rsidR="00000000" w:rsidRPr="00000000">
              <w:rPr>
                <w:rtl w:val="0"/>
              </w:rPr>
            </w:r>
          </w:p>
        </w:tc>
      </w:tr>
      <w:tr>
        <w:trPr>
          <w:cantSplit w:val="0"/>
          <w:trHeight w:val="144" w:hRule="atLeast"/>
          <w:tblHeader w:val="0"/>
        </w:trPr>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Outros</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w:t>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17</w:t>
            </w:r>
            <w:r w:rsidDel="00000000" w:rsidR="00000000" w:rsidRPr="00000000">
              <w:rPr>
                <w:rtl w:val="0"/>
              </w:rPr>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3,1</w:t>
            </w:r>
            <w:r w:rsidDel="00000000" w:rsidR="00000000" w:rsidRPr="00000000">
              <w:rPr>
                <w:rtl w:val="0"/>
              </w:rPr>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10</w:t>
            </w:r>
            <w:r w:rsidDel="00000000" w:rsidR="00000000" w:rsidRPr="00000000">
              <w:rPr>
                <w:rtl w:val="0"/>
              </w:rPr>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1,88</w:t>
            </w:r>
            <w:r w:rsidDel="00000000" w:rsidR="00000000" w:rsidRPr="00000000">
              <w:rPr>
                <w:rtl w:val="0"/>
              </w:rPr>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35,3</w:t>
            </w:r>
            <w:r w:rsidDel="00000000" w:rsidR="00000000" w:rsidRPr="00000000">
              <w:rPr>
                <w:rtl w:val="0"/>
              </w:rPr>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58,8</w:t>
            </w:r>
            <w:r w:rsidDel="00000000" w:rsidR="00000000" w:rsidRPr="00000000">
              <w:rPr>
                <w:rtl w:val="0"/>
              </w:rPr>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5,9</w:t>
            </w:r>
            <w:r w:rsidDel="00000000" w:rsidR="00000000" w:rsidRPr="00000000">
              <w:rPr>
                <w:rtl w:val="0"/>
              </w:rPr>
            </w:r>
          </w:p>
        </w:tc>
      </w:tr>
      <w:tr>
        <w:trPr>
          <w:cantSplit w:val="0"/>
          <w:trHeight w:val="144" w:hRule="atLeast"/>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Região Geográfica</w:t>
            </w: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Sudeste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189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34,9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89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39,7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51,3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9,0</w:t>
            </w:r>
            <w:r w:rsidDel="00000000" w:rsidR="00000000" w:rsidRPr="00000000">
              <w:rPr>
                <w:rtl w:val="0"/>
              </w:rPr>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Nordeste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23,3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53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1,82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45,2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47,6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7,1</w:t>
            </w:r>
            <w:r w:rsidDel="00000000" w:rsidR="00000000" w:rsidRPr="00000000">
              <w:rPr>
                <w:rtl w:val="0"/>
              </w:rPr>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Sul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22,2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56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2,09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34,2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52,5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13,3</w:t>
            </w:r>
            <w:r w:rsidDel="00000000" w:rsidR="00000000" w:rsidRPr="00000000">
              <w:rPr>
                <w:rtl w:val="0"/>
              </w:rPr>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Norte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59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1,63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54,2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3,4</w:t>
            </w:r>
            <w:r w:rsidDel="00000000" w:rsidR="00000000" w:rsidRPr="00000000">
              <w:rPr>
                <w:rtl w:val="0"/>
              </w:rPr>
            </w:r>
          </w:p>
        </w:tc>
      </w:tr>
      <w:tr>
        <w:trPr>
          <w:cantSplit w:val="0"/>
          <w:trHeight w:val="144" w:hRule="atLeast"/>
          <w:tblHeader w:val="0"/>
        </w:trPr>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Centro-Oeste</w:t>
            </w:r>
            <w:r w:rsidDel="00000000" w:rsidR="00000000" w:rsidRPr="00000000">
              <w:rPr>
                <w:rtl w:val="0"/>
              </w:rPr>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47</w:t>
            </w:r>
            <w:r w:rsidDel="00000000" w:rsidR="00000000" w:rsidRPr="00000000">
              <w:rPr>
                <w:rtl w:val="0"/>
              </w:rPr>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8,7</w:t>
            </w:r>
            <w:r w:rsidDel="00000000" w:rsidR="00000000" w:rsidRPr="00000000">
              <w:rPr>
                <w:rtl w:val="0"/>
              </w:rPr>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19</w:t>
            </w:r>
            <w:r w:rsidDel="00000000" w:rsidR="00000000" w:rsidRPr="00000000">
              <w:rPr>
                <w:rtl w:val="0"/>
              </w:rPr>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1,64</w:t>
            </w:r>
            <w:r w:rsidDel="00000000" w:rsidR="00000000" w:rsidRPr="00000000">
              <w:rPr>
                <w:rtl w:val="0"/>
              </w:rPr>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51,1</w:t>
            </w:r>
            <w:r w:rsidDel="00000000" w:rsidR="00000000" w:rsidRPr="00000000">
              <w:rPr>
                <w:rtl w:val="0"/>
              </w:rPr>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44,7</w:t>
            </w:r>
            <w:r w:rsidDel="00000000" w:rsidR="00000000" w:rsidRPr="00000000">
              <w:rPr>
                <w:rtl w:val="0"/>
              </w:rPr>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4,3</w:t>
            </w:r>
            <w:r w:rsidDel="00000000" w:rsidR="00000000" w:rsidRPr="00000000">
              <w:rPr>
                <w:rtl w:val="0"/>
              </w:rPr>
            </w:r>
          </w:p>
        </w:tc>
      </w:tr>
      <w:tr>
        <w:trPr>
          <w:cantSplit w:val="0"/>
          <w:trHeight w:val="144" w:hRule="atLeast"/>
          <w:tblHeader w:val="0"/>
        </w:trPr>
        <w:tc>
          <w:tcPr>
            <w:tcBorders>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Total Brasil</w:t>
            </w:r>
            <w:r w:rsidDel="00000000" w:rsidR="00000000" w:rsidRPr="00000000">
              <w:rPr>
                <w:rtl w:val="0"/>
              </w:rPr>
            </w:r>
          </w:p>
        </w:tc>
        <w:tc>
          <w:tcPr>
            <w:tcBorders>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541</w:t>
            </w:r>
            <w:r w:rsidDel="00000000" w:rsidR="00000000" w:rsidRPr="00000000">
              <w:rPr>
                <w:rtl w:val="0"/>
              </w:rPr>
            </w:r>
          </w:p>
        </w:tc>
        <w:tc>
          <w:tcPr>
            <w:tcBorders>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100</w:t>
            </w:r>
            <w:r w:rsidDel="00000000" w:rsidR="00000000" w:rsidRPr="00000000">
              <w:rPr>
                <w:rtl w:val="0"/>
              </w:rPr>
            </w:r>
          </w:p>
        </w:tc>
        <w:tc>
          <w:tcPr>
            <w:tcBorders>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236</w:t>
            </w:r>
            <w:r w:rsidDel="00000000" w:rsidR="00000000" w:rsidRPr="00000000">
              <w:rPr>
                <w:rtl w:val="0"/>
              </w:rPr>
            </w:r>
          </w:p>
        </w:tc>
        <w:tc>
          <w:tcPr>
            <w:tcBorders>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1,86</w:t>
            </w:r>
            <w:r w:rsidDel="00000000" w:rsidR="00000000" w:rsidRPr="00000000">
              <w:rPr>
                <w:rtl w:val="0"/>
              </w:rPr>
            </w:r>
          </w:p>
        </w:tc>
        <w:tc>
          <w:tcPr>
            <w:tcBorders>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42,3</w:t>
            </w:r>
            <w:r w:rsidDel="00000000" w:rsidR="00000000" w:rsidRPr="00000000">
              <w:rPr>
                <w:rtl w:val="0"/>
              </w:rPr>
            </w:r>
          </w:p>
        </w:tc>
        <w:tc>
          <w:tcPr>
            <w:tcBorders>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49,2</w:t>
            </w:r>
            <w:r w:rsidDel="00000000" w:rsidR="00000000" w:rsidRPr="00000000">
              <w:rPr>
                <w:rtl w:val="0"/>
              </w:rPr>
            </w:r>
          </w:p>
        </w:tc>
        <w:tc>
          <w:tcPr>
            <w:tcBorders>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8,5</w:t>
            </w:r>
            <w:r w:rsidDel="00000000" w:rsidR="00000000" w:rsidRPr="00000000">
              <w:rPr>
                <w:rtl w:val="0"/>
              </w:rPr>
            </w:r>
          </w:p>
        </w:tc>
      </w:tr>
    </w:tbl>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Nota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Número de participação nas chamadas públicas do PIBIC-EM: Pontual (1 chamada); Intermediária (2-3 chamadas); Recorrente (4+ chamadas).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t xml:space="preserve">**</w:t>
      </w:r>
      <w:r w:rsidDel="00000000" w:rsidR="00000000" w:rsidRPr="00000000">
        <w:rPr>
          <w:i w:val="0"/>
          <w:iCs w:val="0"/>
          <w:smallCaps w:val="0"/>
          <w:strike w:val="0"/>
          <w:color w:val="000000"/>
          <w:sz w:val="22"/>
          <w:szCs w:val="22"/>
          <w:u w:val="none"/>
          <w:shd w:fill="auto" w:val="clear"/>
          <w:vertAlign w:val="baseline"/>
          <w:rtl w:val="0"/>
        </w:rPr>
        <w:t xml:space="preserve">Outros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Faculdades Municipais, Organização Social e Órgão Público.</w:t>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94921875" w:line="240" w:lineRule="auto"/>
        <w:ind w:left="14.618377685546875" w:right="33.599853515625" w:firstLine="705.381622314453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tocante à distribuição territorial, os dados da Tabela 1 indicam que a participação no PIBIC-EM se organiza por um padrão de concentração regional. A macrorregião Sudeste lidera com 34,9% dos pesquisadores, seguida por Nordeste com 23,3% e por Sul com 22,2%, enquanto Norte com 10,9% e Centro-Oeste com 8,7% apresentam pesos relativos menores. A distribuição observada sugere associação entre a mobilização de proponentes e a densidade prévia de instituições, grupos e redes científicas.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38427734375" w:line="240" w:lineRule="auto"/>
        <w:ind w:left="12.65472412109375" w:right="12.21923828125" w:firstLine="707.345275878906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Quando a análise incorpora o tipo de instituição, o padrão de concentração torna-se ainda mais evidente: as Universidades Federais representam 34,6% dos pesquisadores, enquanto os Institutos Federais/CEFET, que compõem a Rede Federal de Educação Profissional, Científica e Tecnológica, respondem por 21,6%. Em conjunto, esses segmentos reúnem 56,2% da base. Além de </w:t>
      </w:r>
      <w:r w:rsidDel="00000000" w:rsidR="00000000" w:rsidRPr="00000000">
        <w:rPr>
          <w:sz w:val="24"/>
          <w:szCs w:val="24"/>
          <w:rtl w:val="0"/>
        </w:rPr>
        <w:t xml:space="preserve">concentrarem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volume, mantêm níveis consistentes de recorrência (intermediária + recorrente): 49,2% nas Universidades Federais e 50,4% nos IF/CEFET. Nesse arranjo, a Rede Federal de Ensino constitui um dos principais eixos institucionais de sustentação do PIBIC-EM, ao concentrar pesquisadores </w:t>
      </w:r>
      <w:r w:rsidDel="00000000" w:rsidR="00000000" w:rsidRPr="00000000">
        <w:rPr>
          <w:sz w:val="24"/>
          <w:szCs w:val="24"/>
          <w:rtl w:val="0"/>
        </w:rPr>
        <w:t xml:space="preserve">em ambientes institucionais nos quais se observa maior organização de projetos, continuidade de equipes e participação recorrente. </w:t>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808837890625" w:line="240" w:lineRule="auto"/>
        <w:ind w:left="14.618377685546875" w:right="18.9794921875" w:firstLine="705.381622314453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Soma-se a isso sua capilaridade territorial. Por meio das Universidades Federais e principalmente pelos IF/CEFET, a Rede Federal está presente em todas as regiões do país, com ampla distribuição geográfica, o que amplia a capacidade de interiorização e sustentação do programa em escala </w:t>
      </w:r>
      <w:r w:rsidDel="00000000" w:rsidR="00000000" w:rsidRPr="00000000">
        <w:rPr>
          <w:sz w:val="24"/>
          <w:szCs w:val="24"/>
          <w:rtl w:val="0"/>
        </w:rPr>
        <w:t xml:space="preserve">nacional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91259765625" w:line="240" w:lineRule="auto"/>
        <w:ind w:left="14.618377685546875" w:right="12.4365234375" w:firstLine="705.381622314453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 contraste, a análise das Universidades </w:t>
      </w:r>
      <w:r w:rsidDel="00000000" w:rsidR="00000000" w:rsidRPr="00000000">
        <w:rPr>
          <w:sz w:val="24"/>
          <w:szCs w:val="24"/>
          <w:rtl w:val="0"/>
        </w:rPr>
        <w:t xml:space="preserve">privadas revela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um padrão de seletividade com alta </w:t>
      </w:r>
      <w:r w:rsidDel="00000000" w:rsidR="00000000" w:rsidRPr="00000000">
        <w:rPr>
          <w:sz w:val="24"/>
          <w:szCs w:val="24"/>
          <w:rtl w:val="0"/>
        </w:rPr>
        <w:t xml:space="preserve">recorrência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 participação no programa. Embora esse segmento </w:t>
      </w:r>
      <w:r w:rsidDel="00000000" w:rsidR="00000000" w:rsidRPr="00000000">
        <w:rPr>
          <w:sz w:val="24"/>
          <w:szCs w:val="24"/>
          <w:rtl w:val="0"/>
        </w:rPr>
        <w:t xml:space="preserve">representa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20,5% dos pesquisadores, ele apresenta a maior média de participações por </w:t>
      </w:r>
      <w:r w:rsidDel="00000000" w:rsidR="00000000" w:rsidRPr="00000000">
        <w:rPr>
          <w:sz w:val="24"/>
          <w:szCs w:val="24"/>
          <w:rtl w:val="0"/>
        </w:rPr>
        <w:t xml:space="preserve">pesquisador, com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2,16%, além de ter a maior taxa de pesquisadores </w:t>
      </w:r>
      <w:r w:rsidDel="00000000" w:rsidR="00000000" w:rsidRPr="00000000">
        <w:rPr>
          <w:sz w:val="24"/>
          <w:szCs w:val="24"/>
          <w:rtl w:val="0"/>
        </w:rPr>
        <w:t xml:space="preserve">recorrentes, 18,0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Em termos substantivos, isso sugere que a participação de pesquisadores vinculados à instituições privadas no PIBIC-EM não se distribui de forma difusa; ao contrário, tende a se concentrar em núcleos institucionais mais estáveis, nos quais se observa maior regularidade de submissão de propostas.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414794921875" w:line="240" w:lineRule="auto"/>
        <w:ind w:left="6.97479248046875" w:right="0.22705078125" w:firstLine="713.025207519531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caráter seletivo da adesão, delineado pelos indicadores de retenção, revela-se ainda mais agudo quando observamos o cruzamento entre as tipologias institucionais e o território nacional, </w:t>
      </w:r>
      <w:r w:rsidDel="00000000" w:rsidR="00000000" w:rsidRPr="00000000">
        <w:rPr>
          <w:sz w:val="24"/>
          <w:szCs w:val="24"/>
          <w:rtl w:val="0"/>
        </w:rPr>
        <w:t xml:space="preserve">conforme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pode ser observado na Tabela 2. As Universidades Privadas, além de formarem núcleos de alta recorrência, concentram-se quase exclusivamente no eixo Sul-Sudeste, que abriga 82,8% dos proponentes dessa categoria. Chama atenção a total ausência de participação de pesquisadores vinculados à instituições privadas na região Norte e a baixa adesão no Nordeste, com apenas 9%. Em termos interpretativos, esse padrão sugere que o engajamento de pesquisadores nas instituições privadas no PIBIC-EM, além de exigir capacidade instalada, parece seguir uma lógica de mercado e de consolidação acadêmica geograficamente desigual.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414794921875" w:line="240" w:lineRule="auto"/>
        <w:ind w:left="6.97479248046875" w:right="0.22705078125" w:firstLine="713.0252075195312"/>
        <w:jc w:val="both"/>
        <w:rPr>
          <w:sz w:val="24"/>
          <w:szCs w:val="24"/>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414794921875" w:line="240" w:lineRule="auto"/>
        <w:ind w:left="6.97479248046875" w:right="0.22705078125" w:firstLine="713.0252075195312"/>
        <w:jc w:val="both"/>
        <w:rPr>
          <w:sz w:val="24"/>
          <w:szCs w:val="24"/>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414794921875" w:line="240" w:lineRule="auto"/>
        <w:ind w:left="6.97479248046875" w:right="0.22705078125" w:firstLine="713.0252075195312"/>
        <w:jc w:val="both"/>
        <w:rPr>
          <w:sz w:val="24"/>
          <w:szCs w:val="24"/>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414794921875" w:line="240" w:lineRule="auto"/>
        <w:ind w:left="6.97479248046875" w:right="0.22705078125" w:firstLine="713.0252075195312"/>
        <w:jc w:val="both"/>
        <w:rPr>
          <w:sz w:val="24"/>
          <w:szCs w:val="24"/>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414794921875" w:line="240" w:lineRule="auto"/>
        <w:ind w:left="6.97479248046875" w:right="0.22705078125" w:firstLine="713.0252075195312"/>
        <w:jc w:val="both"/>
        <w:rPr>
          <w:sz w:val="24"/>
          <w:szCs w:val="24"/>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414794921875" w:line="240" w:lineRule="auto"/>
        <w:ind w:left="6.97479248046875" w:right="0.22705078125"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b w:val="1"/>
          <w:bCs w:val="1"/>
          <w:rtl w:val="0"/>
        </w:rPr>
        <w:t xml:space="preserve">Tabela 2</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Distribuição dos Pesquisadores do PIBIC-EM por Categoria Administrativa e Região Geográfica (2014-2024)</w:t>
      </w:r>
      <w:r w:rsidDel="00000000" w:rsidR="00000000" w:rsidRPr="00000000">
        <w:rPr>
          <w:rtl w:val="0"/>
        </w:rPr>
      </w:r>
    </w:p>
    <w:tbl>
      <w:tblPr>
        <w:tblStyle w:val="Table2"/>
        <w:tblW w:w="9222.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1152"/>
        <w:gridCol w:w="1152"/>
        <w:gridCol w:w="1152"/>
        <w:gridCol w:w="1152"/>
        <w:gridCol w:w="1152"/>
        <w:gridCol w:w="1152"/>
        <w:tblGridChange w:id="0">
          <w:tblGrid>
            <w:gridCol w:w="2310"/>
            <w:gridCol w:w="1152"/>
            <w:gridCol w:w="1152"/>
            <w:gridCol w:w="1152"/>
            <w:gridCol w:w="1152"/>
            <w:gridCol w:w="1152"/>
            <w:gridCol w:w="1152"/>
          </w:tblGrid>
        </w:tblGridChange>
      </w:tblGrid>
      <w:tr>
        <w:trPr>
          <w:cantSplit w:val="0"/>
          <w:trHeight w:val="576" w:hRule="atLeast"/>
          <w:tblHeader w:val="0"/>
        </w:trPr>
        <w:tc>
          <w:tcPr>
            <w:tcBorders>
              <w:top w:color="000000" w:space="0" w:sz="12" w:val="single"/>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u w:val="none"/>
                <w:shd w:fill="auto" w:val="clear"/>
                <w:vertAlign w:val="baseline"/>
              </w:rPr>
            </w:pPr>
            <w:r w:rsidDel="00000000" w:rsidR="00000000" w:rsidRPr="00000000">
              <w:rPr>
                <w:rtl w:val="0"/>
              </w:rPr>
            </w:r>
          </w:p>
        </w:tc>
        <w:tc>
          <w:tcPr>
            <w:gridSpan w:val="6"/>
            <w:tcBorders>
              <w:top w:color="000000" w:space="0" w:sz="12" w:val="single"/>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mallCaps w:val="0"/>
                <w:strike w:val="0"/>
                <w:color w:val="000000"/>
                <w:u w:val="none"/>
                <w:shd w:fill="auto" w:val="clear"/>
                <w:vertAlign w:val="baseline"/>
              </w:rPr>
            </w:pPr>
            <w:r w:rsidDel="00000000" w:rsidR="00000000" w:rsidRPr="00000000">
              <w:rPr>
                <w:rtl w:val="0"/>
              </w:rPr>
              <w:t xml:space="preserve">Região Geográfica </w:t>
            </w:r>
            <w:r w:rsidDel="00000000" w:rsidR="00000000" w:rsidRPr="00000000">
              <w:rPr>
                <w:i w:val="1"/>
                <w:iCs w:val="1"/>
                <w:rtl w:val="0"/>
              </w:rPr>
              <w:t xml:space="preserve">n</w:t>
            </w:r>
            <w:r w:rsidDel="00000000" w:rsidR="00000000" w:rsidRPr="00000000">
              <w:rPr>
                <w:rtl w:val="0"/>
              </w:rPr>
              <w:t xml:space="preserve"> (%)</w:t>
            </w:r>
            <w:r w:rsidDel="00000000" w:rsidR="00000000" w:rsidRPr="00000000">
              <w:rPr>
                <w:rtl w:val="0"/>
              </w:rPr>
            </w:r>
          </w:p>
        </w:tc>
      </w:tr>
      <w:tr>
        <w:trPr>
          <w:cantSplit w:val="0"/>
          <w:trHeight w:val="144" w:hRule="atLeast"/>
          <w:tblHeader w:val="0"/>
        </w:trPr>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Categoria Administrativa</w:t>
            </w:r>
            <w:r w:rsidDel="00000000" w:rsidR="00000000" w:rsidRPr="00000000">
              <w:rPr>
                <w:rtl w:val="0"/>
              </w:rPr>
            </w:r>
          </w:p>
        </w:tc>
        <w:tc>
          <w:tcPr>
            <w:tcBorders>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Norte</w:t>
            </w:r>
            <w:r w:rsidDel="00000000" w:rsidR="00000000" w:rsidRPr="00000000">
              <w:rPr>
                <w:rtl w:val="0"/>
              </w:rPr>
            </w:r>
          </w:p>
        </w:tc>
        <w:tc>
          <w:tcPr>
            <w:tcBorders>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Nordeste</w:t>
            </w:r>
            <w:r w:rsidDel="00000000" w:rsidR="00000000" w:rsidRPr="00000000">
              <w:rPr>
                <w:rtl w:val="0"/>
              </w:rPr>
            </w:r>
          </w:p>
        </w:tc>
        <w:tc>
          <w:tcPr>
            <w:tcBorders>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Centro-Oeste</w:t>
            </w:r>
            <w:r w:rsidDel="00000000" w:rsidR="00000000" w:rsidRPr="00000000">
              <w:rPr>
                <w:rtl w:val="0"/>
              </w:rPr>
            </w:r>
          </w:p>
        </w:tc>
        <w:tc>
          <w:tcPr>
            <w:tcBorders>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Sudeste</w:t>
            </w:r>
            <w:r w:rsidDel="00000000" w:rsidR="00000000" w:rsidRPr="00000000">
              <w:rPr>
                <w:rtl w:val="0"/>
              </w:rPr>
            </w:r>
          </w:p>
        </w:tc>
        <w:tc>
          <w:tcPr>
            <w:tcBorders>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Sul</w:t>
            </w:r>
            <w:r w:rsidDel="00000000" w:rsidR="00000000" w:rsidRPr="00000000">
              <w:rPr>
                <w:rtl w:val="0"/>
              </w:rPr>
            </w:r>
          </w:p>
        </w:tc>
        <w:tc>
          <w:tcPr>
            <w:tcBorders>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Total (</w:t>
            </w:r>
            <w:r w:rsidDel="00000000" w:rsidR="00000000" w:rsidRPr="00000000">
              <w:rPr>
                <w:i w:val="1"/>
                <w:iCs w:val="1"/>
                <w:smallCaps w:val="0"/>
                <w:strike w:val="0"/>
                <w:color w:val="000000"/>
                <w:u w:val="none"/>
                <w:shd w:fill="auto" w:val="clear"/>
                <w:vertAlign w:val="baseline"/>
                <w:rtl w:val="0"/>
              </w:rPr>
              <w:t xml:space="preserve">N</w:t>
            </w:r>
            <w:r w:rsidDel="00000000" w:rsidR="00000000" w:rsidRPr="00000000">
              <w:rPr>
                <w:i w:val="0"/>
                <w:iCs w:val="0"/>
                <w:smallCaps w:val="0"/>
                <w:strike w:val="0"/>
                <w:color w:val="000000"/>
                <w:u w:val="none"/>
                <w:shd w:fill="auto" w:val="clear"/>
                <w:vertAlign w:val="baseline"/>
                <w:rtl w:val="0"/>
              </w:rPr>
              <w:t xml:space="preserve">)</w:t>
            </w:r>
            <w:r w:rsidDel="00000000" w:rsidR="00000000" w:rsidRPr="00000000">
              <w:rPr>
                <w:rtl w:val="0"/>
              </w:rPr>
            </w:r>
          </w:p>
        </w:tc>
      </w:tr>
      <w:tr>
        <w:trPr>
          <w:cantSplit w:val="0"/>
          <w:trHeight w:val="144" w:hRule="atLeast"/>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Universidade Federal</w:t>
            </w: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31 (16,6)</w:t>
            </w: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61 (32,6)</w:t>
            </w: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14 (7,5)</w:t>
            </w: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52 (27,8)</w:t>
            </w: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29 (15,5)</w:t>
            </w: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187</w:t>
            </w:r>
            <w:r w:rsidDel="00000000" w:rsidR="00000000" w:rsidRPr="00000000">
              <w:rPr>
                <w:rtl w:val="0"/>
              </w:rPr>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IF / CEFET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17 (14,5)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26 (22,2)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19 (16,2)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39 (33,3)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16 (13,7)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117</w:t>
            </w:r>
            <w:r w:rsidDel="00000000" w:rsidR="00000000" w:rsidRPr="00000000">
              <w:rPr>
                <w:rtl w:val="0"/>
              </w:rPr>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IES Privada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0 (0,0)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10 (9,0)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9 (8,1)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42 (37,8)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50 (45,0)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111</w:t>
            </w:r>
            <w:r w:rsidDel="00000000" w:rsidR="00000000" w:rsidRPr="00000000">
              <w:rPr>
                <w:rtl w:val="0"/>
              </w:rPr>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Pública Estadual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7 (8,8)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22 (27,5)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 (3,8)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28 (35,0)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20 (25,0)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80</w:t>
            </w:r>
            <w:r w:rsidDel="00000000" w:rsidR="00000000" w:rsidRPr="00000000">
              <w:rPr>
                <w:rtl w:val="0"/>
              </w:rPr>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Institutos de Pesquisas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 (10,3)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6 (20,7)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2 (6,9)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18 (62,1)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0 (0,0)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29</w:t>
            </w:r>
            <w:r w:rsidDel="00000000" w:rsidR="00000000" w:rsidRPr="00000000">
              <w:rPr>
                <w:rtl w:val="0"/>
              </w:rPr>
            </w:r>
          </w:p>
        </w:tc>
      </w:tr>
      <w:tr>
        <w:trPr>
          <w:cantSplit w:val="0"/>
          <w:trHeight w:val="144" w:hRule="atLeast"/>
          <w:tblHeader w:val="0"/>
        </w:trPr>
        <w:tc>
          <w:tcPr>
            <w:tcBorders>
              <w:top w:color="000000" w:space="0" w:sz="0" w:val="nil"/>
              <w:left w:color="000000" w:space="0" w:sz="0" w:val="nil"/>
              <w:bottom w:color="000000" w:space="0" w:sz="12"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Outros</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 (5,9)</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 (5,9)</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0 (0,0)</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10 (58,8)</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5 (29,4)</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17</w:t>
            </w:r>
            <w:r w:rsidDel="00000000" w:rsidR="00000000" w:rsidRPr="00000000">
              <w:rPr>
                <w:rtl w:val="0"/>
              </w:rPr>
            </w:r>
          </w:p>
        </w:tc>
      </w:tr>
      <w:tr>
        <w:trPr>
          <w:cantSplit w:val="0"/>
          <w:trHeight w:val="144" w:hRule="atLeast"/>
          <w:tblHeader w:val="0"/>
        </w:trPr>
        <w:tc>
          <w:tcPr>
            <w:tcBorders>
              <w:top w:color="000000" w:space="0" w:sz="12" w:val="single"/>
              <w:left w:color="000000" w:space="0" w:sz="0" w:val="nil"/>
              <w:bottom w:color="000000" w:space="0" w:sz="12"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Total Brasil</w:t>
            </w:r>
            <w:r w:rsidDel="00000000" w:rsidR="00000000" w:rsidRPr="00000000">
              <w:rPr>
                <w:rtl w:val="0"/>
              </w:rPr>
            </w:r>
          </w:p>
        </w:tc>
        <w:tc>
          <w:tcPr>
            <w:tcBorders>
              <w:top w:color="000000" w:space="0" w:sz="12" w:val="single"/>
              <w:left w:color="000000" w:space="0" w:sz="0" w:val="nil"/>
              <w:bottom w:color="000000" w:space="0" w:sz="12"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59 (10,9)</w:t>
            </w:r>
            <w:r w:rsidDel="00000000" w:rsidR="00000000" w:rsidRPr="00000000">
              <w:rPr>
                <w:rtl w:val="0"/>
              </w:rPr>
            </w:r>
          </w:p>
        </w:tc>
        <w:tc>
          <w:tcPr>
            <w:tcBorders>
              <w:top w:color="000000" w:space="0" w:sz="12" w:val="single"/>
              <w:left w:color="000000" w:space="0" w:sz="0" w:val="nil"/>
              <w:bottom w:color="000000" w:space="0" w:sz="12"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126 (23,3)</w:t>
            </w:r>
            <w:r w:rsidDel="00000000" w:rsidR="00000000" w:rsidRPr="00000000">
              <w:rPr>
                <w:rtl w:val="0"/>
              </w:rPr>
            </w:r>
          </w:p>
        </w:tc>
        <w:tc>
          <w:tcPr>
            <w:tcBorders>
              <w:top w:color="000000" w:space="0" w:sz="12" w:val="single"/>
              <w:left w:color="000000" w:space="0" w:sz="0" w:val="nil"/>
              <w:bottom w:color="000000" w:space="0" w:sz="12"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47 (8,7)</w:t>
            </w:r>
            <w:r w:rsidDel="00000000" w:rsidR="00000000" w:rsidRPr="00000000">
              <w:rPr>
                <w:rtl w:val="0"/>
              </w:rPr>
            </w:r>
          </w:p>
        </w:tc>
        <w:tc>
          <w:tcPr>
            <w:tcBorders>
              <w:top w:color="000000" w:space="0" w:sz="12" w:val="single"/>
              <w:left w:color="000000" w:space="0" w:sz="0" w:val="nil"/>
              <w:bottom w:color="000000" w:space="0" w:sz="12"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189 (34,9)</w:t>
            </w:r>
            <w:r w:rsidDel="00000000" w:rsidR="00000000" w:rsidRPr="00000000">
              <w:rPr>
                <w:rtl w:val="0"/>
              </w:rPr>
            </w:r>
          </w:p>
        </w:tc>
        <w:tc>
          <w:tcPr>
            <w:tcBorders>
              <w:top w:color="000000" w:space="0" w:sz="12" w:val="single"/>
              <w:left w:color="000000" w:space="0" w:sz="0" w:val="nil"/>
              <w:bottom w:color="000000" w:space="0" w:sz="12"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120 (22,2)</w:t>
            </w:r>
            <w:r w:rsidDel="00000000" w:rsidR="00000000" w:rsidRPr="00000000">
              <w:rPr>
                <w:rtl w:val="0"/>
              </w:rPr>
            </w:r>
          </w:p>
        </w:tc>
        <w:tc>
          <w:tcPr>
            <w:tcBorders>
              <w:top w:color="000000" w:space="0" w:sz="12" w:val="single"/>
              <w:left w:color="000000" w:space="0" w:sz="0" w:val="nil"/>
              <w:bottom w:color="000000" w:space="0" w:sz="12"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541</w:t>
            </w:r>
            <w:r w:rsidDel="00000000" w:rsidR="00000000" w:rsidRPr="00000000">
              <w:rPr>
                <w:rtl w:val="0"/>
              </w:rPr>
            </w:r>
          </w:p>
        </w:tc>
      </w:tr>
    </w:tbl>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414794921875" w:line="240" w:lineRule="auto"/>
        <w:ind w:left="6.97479248046875" w:right="0.22705078125" w:firstLine="0"/>
        <w:jc w:val="both"/>
        <w:rPr>
          <w:sz w:val="24"/>
          <w:szCs w:val="24"/>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Nota.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Os valores entre parênteses representam o percentual da categoria administrativa alocada em cada região.</w:t>
      </w: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50634765625" w:line="240" w:lineRule="auto"/>
        <w:ind w:left="16.1456298828125" w:right="42.767333984375" w:firstLine="703.854370117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Por outro lado, a Tabela 2 reafirma o papel do Estado na interiorização da política científica. Nas </w:t>
      </w:r>
      <w:r w:rsidDel="00000000" w:rsidR="00000000" w:rsidRPr="00000000">
        <w:rPr>
          <w:sz w:val="24"/>
          <w:szCs w:val="24"/>
          <w:rtl w:val="0"/>
        </w:rPr>
        <w:t xml:space="preserve">Universidades Federais, 61 pesquisadores no Nordeste correspondem a 32,6% da categoria, o maior contingente regional, evidenciando protagonismo justamente onde o setor privado reúne apenas 10 pesquisadores e participação de 9,0%. A Rede IF/CEFET também apresenta capilaridade nacional, com 14,5% no Norte, 22,2% no Nordeste, 16,2% no Centro-Oeste, 33,3% no Sudeste e 13,7% no Sul. Quando se incorpora a contribuição das Universidades Públicas Estaduais, com 22 pesquisadores no Nordeste, 28 no Sudeste e 20 no Sul, o quadro se torna ainda mais claro: o Sistema Público de Ensino Superior, articulando Rede Federal e Universidades Estaduais,aparece como o principal vetor de sustentação territorial do PIBIC-EM no período analisado. </w:t>
      </w: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9248046875" w:line="240" w:lineRule="auto"/>
        <w:ind w:left="14.618377685546875" w:right="42.762451171875" w:firstLine="705.381622314453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caso dos Institutos e Centros de Pesquisa, embora representem 5,4% dos pesquisadores, esse segmento combina recorrência intermediária relevante com 55,2% entre 2 e 3 chamadas, com forte concentração territorial no Sudeste, que reúne 62,1% dos vínculos da categoria. Em contraste, sua presença é residual no Norte com 10,3%, no Centro-Oeste com 6,9% e inexistente no Sul, indicando baixa capilaridade nacional quando comparada à Rede Federal de Ensino. Esse desenho sugere que os centros de pesquisa aparecem como </w:t>
      </w:r>
      <w:r w:rsidDel="00000000" w:rsidR="00000000" w:rsidRPr="00000000">
        <w:rPr>
          <w:sz w:val="24"/>
          <w:szCs w:val="24"/>
          <w:rtl w:val="0"/>
        </w:rPr>
        <w:t xml:space="preserve">pólos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especializados de execução do PIBIC-EM em territórios com maior densidade científica, contribuindo para a continuidade qualificada da política, mas com menor capacidade de difusão territorial do programa.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9248046875" w:line="240" w:lineRule="auto"/>
        <w:ind w:left="12.65472412109375" w:right="12.21923828125" w:firstLine="707.345275878906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além da distribuição percentual descritiva, a assimetria na composição das redes de </w:t>
      </w:r>
      <w:r w:rsidDel="00000000" w:rsidR="00000000" w:rsidRPr="00000000">
        <w:rPr>
          <w:sz w:val="24"/>
          <w:szCs w:val="24"/>
          <w:rtl w:val="0"/>
        </w:rPr>
        <w:t xml:space="preserve">participação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 engajamento de pesquisadores interessados em trazer o jovem para o campo científico, reflete um padrão estrutural de alocação estatisticamente significativo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χ</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126;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 &lt;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001). A análise dos resíduos padronizados do teste de contingência evidencia que a presença institucional não ocorre de forma aleatória no território nacional, apresentando uma correlação de intensidade moderada (V de Cramer = 0,241). O setor privado exibe uma sobre-representação aguda na região Sul, com resíduo padronizado superior a 7, ao passo que sua participação no Norte e Nordeste é </w:t>
      </w:r>
      <w:r w:rsidDel="00000000" w:rsidR="00000000" w:rsidRPr="00000000">
        <w:rPr>
          <w:sz w:val="24"/>
          <w:szCs w:val="24"/>
          <w:rtl w:val="0"/>
        </w:rPr>
        <w:t xml:space="preserve">estatisticamente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inferior ao que seria esperado por uma distribuição homogênea. Esse comportamento é compatível com incentivos institucionais e padrões de consolidação acadêmica.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838623046875" w:line="240" w:lineRule="auto"/>
        <w:ind w:left="12.65472412109375" w:right="18.7646484375" w:firstLine="707.3452758789062"/>
        <w:jc w:val="both"/>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 sentido oposto, as Universidades Federais e a Rede IF/CEFET registram frequências </w:t>
      </w:r>
      <w:r w:rsidDel="00000000" w:rsidR="00000000" w:rsidRPr="00000000">
        <w:rPr>
          <w:sz w:val="24"/>
          <w:szCs w:val="24"/>
          <w:rtl w:val="0"/>
        </w:rPr>
        <w:t xml:space="preserve">significativamente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acima do esperado nas regiões Norte, Nordeste e Centro-Oeste, compensando a ausência e a sub-representação dos demais atores institucionais. Configuram-se, portanto, dois ecossistemas operacionais distintos no âmbito do programa. De um lado, observa-se um arranjo misto e </w:t>
      </w:r>
      <w:r w:rsidDel="00000000" w:rsidR="00000000" w:rsidRPr="00000000">
        <w:rPr>
          <w:sz w:val="24"/>
          <w:szCs w:val="24"/>
          <w:rtl w:val="0"/>
        </w:rPr>
        <w:t xml:space="preserve">diversificado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no eixo Sul-Sudeste, onde o interesse de pesquisadores em trazer os jovens para dentro das </w:t>
      </w:r>
      <w:r w:rsidDel="00000000" w:rsidR="00000000" w:rsidRPr="00000000">
        <w:rPr>
          <w:sz w:val="24"/>
          <w:szCs w:val="24"/>
          <w:rtl w:val="0"/>
        </w:rPr>
        <w:t xml:space="preserve">atividades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acadêmicas é capilarizado entre universidades públicas, fortes atores privados e institutos de pesquisa. De outro, consolida-se a participação de pesquisadores vinculados às instituições de ensino públicas nas demais macrorregiões, o qual se sustenta dependente da infraestrutura da rede federal. </w:t>
      </w: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93701171875" w:line="240" w:lineRule="auto"/>
        <w:ind w:left="1.52587890625E-4" w:right="0" w:firstLine="719.999847412109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análise do perfil epistemológico dos proponentes revela que a Iniciação Científica Júnior é </w:t>
      </w:r>
      <w:r w:rsidDel="00000000" w:rsidR="00000000" w:rsidRPr="00000000">
        <w:rPr>
          <w:sz w:val="24"/>
          <w:szCs w:val="24"/>
          <w:rtl w:val="0"/>
        </w:rPr>
        <w:t xml:space="preserve">majoritariamente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operada por pesquisadores vinculados às ciências experimentais e exatas. Como demonstrado na Tabela 3, as áreas de Ciências Exatas e da Terra, com 26,4%, e Ciências Biológicas, com 25,1%, respondem, em conjunto, por 51,6% da área de atuação dos pesquisadores proponentes. Esse resultado explicita que o PIBIC-EM conta com maior engajamento de pesquisadores das áreas STEM, historicamente mais associadas à pesquisa experimental e à prática laboratorial. Tal padrão é coerente com o propósito do programa e à agenda nacional de formação acadêmica desde o ensino médio, ao favorecer a inserção precoce de estudantes em trajetórias científicas e tecnológicas.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255859375" w:line="240" w:lineRule="auto"/>
        <w:ind w:left="15.08453369140625" w:right="142.72705078125" w:hanging="5.381622314453125"/>
        <w:jc w:val="both"/>
        <w:rPr>
          <w:sz w:val="24"/>
          <w:szCs w:val="24"/>
        </w:rPr>
      </w:pPr>
      <w:r w:rsidDel="00000000" w:rsidR="00000000" w:rsidRPr="00000000">
        <w:rPr>
          <w:rtl w:val="0"/>
        </w:rPr>
      </w:r>
    </w:p>
    <w:p w:rsidR="00000000" w:rsidDel="00000000" w:rsidP="00000000" w:rsidRDefault="00000000" w:rsidRPr="00000000" w14:paraId="000000FA">
      <w:pPr>
        <w:widowControl w:val="0"/>
        <w:rPr>
          <w:i w:val="1"/>
          <w:iCs w:val="1"/>
        </w:rPr>
      </w:pPr>
      <w:r w:rsidDel="00000000" w:rsidR="00000000" w:rsidRPr="00000000">
        <w:rPr>
          <w:b w:val="1"/>
          <w:bCs w:val="1"/>
          <w:rtl w:val="0"/>
        </w:rPr>
        <w:t xml:space="preserve">Tabela 3: </w:t>
      </w:r>
      <w:r w:rsidDel="00000000" w:rsidR="00000000" w:rsidRPr="00000000">
        <w:rPr>
          <w:i w:val="1"/>
          <w:iCs w:val="1"/>
          <w:rtl w:val="0"/>
        </w:rPr>
        <w:t xml:space="preserve">Distribuição de Programas de Pós-Graduação por Área de Atuação e Categoria Institucional no Brasil</w:t>
      </w:r>
      <w:r w:rsidDel="00000000" w:rsidR="00000000" w:rsidRPr="00000000">
        <w:rPr>
          <w:rtl w:val="0"/>
        </w:rPr>
      </w:r>
    </w:p>
    <w:tbl>
      <w:tblPr>
        <w:tblStyle w:val="Table3"/>
        <w:tblW w:w="9260.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1008"/>
        <w:gridCol w:w="1008"/>
        <w:gridCol w:w="1008"/>
        <w:gridCol w:w="1008"/>
        <w:gridCol w:w="1008"/>
        <w:gridCol w:w="1008"/>
        <w:gridCol w:w="1008"/>
        <w:tblGridChange w:id="0">
          <w:tblGrid>
            <w:gridCol w:w="2205"/>
            <w:gridCol w:w="1008"/>
            <w:gridCol w:w="1008"/>
            <w:gridCol w:w="1008"/>
            <w:gridCol w:w="1008"/>
            <w:gridCol w:w="1008"/>
            <w:gridCol w:w="1008"/>
            <w:gridCol w:w="1008"/>
          </w:tblGrid>
        </w:tblGridChange>
      </w:tblGrid>
      <w:tr>
        <w:trPr>
          <w:cantSplit w:val="0"/>
          <w:trHeight w:val="144" w:hRule="atLeast"/>
          <w:tblHeader w:val="0"/>
        </w:trPr>
        <w:tc>
          <w:tcPr>
            <w:tcBorders>
              <w:top w:color="000000" w:space="0" w:sz="12" w:val="single"/>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B">
            <w:pPr>
              <w:widowControl w:val="0"/>
              <w:jc w:val="center"/>
              <w:rPr/>
            </w:pPr>
            <w:r w:rsidDel="00000000" w:rsidR="00000000" w:rsidRPr="00000000">
              <w:rPr>
                <w:rtl w:val="0"/>
              </w:rPr>
            </w:r>
          </w:p>
        </w:tc>
        <w:tc>
          <w:tcPr>
            <w:gridSpan w:val="7"/>
            <w:tcBorders>
              <w:top w:color="000000" w:space="0" w:sz="12" w:val="single"/>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C">
            <w:pPr>
              <w:widowControl w:val="0"/>
              <w:jc w:val="center"/>
              <w:rPr/>
            </w:pPr>
            <w:r w:rsidDel="00000000" w:rsidR="00000000" w:rsidRPr="00000000">
              <w:rPr>
                <w:rtl w:val="0"/>
              </w:rPr>
              <w:t xml:space="preserve">Categoria Administrativa </w:t>
            </w:r>
            <w:r w:rsidDel="00000000" w:rsidR="00000000" w:rsidRPr="00000000">
              <w:rPr>
                <w:i w:val="1"/>
                <w:iCs w:val="1"/>
                <w:rtl w:val="0"/>
              </w:rPr>
              <w:t xml:space="preserve">n </w:t>
            </w:r>
            <w:r w:rsidDel="00000000" w:rsidR="00000000" w:rsidRPr="00000000">
              <w:rPr>
                <w:rtl w:val="0"/>
              </w:rPr>
              <w:t xml:space="preserve">(%)</w:t>
            </w:r>
          </w:p>
        </w:tc>
      </w:tr>
      <w:tr>
        <w:trPr>
          <w:cantSplit w:val="0"/>
          <w:trHeight w:val="144" w:hRule="atLeast"/>
          <w:tblHeader w:val="0"/>
        </w:trPr>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3">
            <w:pPr>
              <w:widowControl w:val="0"/>
              <w:jc w:val="center"/>
              <w:rPr/>
            </w:pPr>
            <w:r w:rsidDel="00000000" w:rsidR="00000000" w:rsidRPr="00000000">
              <w:rPr>
                <w:rtl w:val="0"/>
              </w:rPr>
              <w:t xml:space="preserve">Área de Atuação</w:t>
            </w:r>
            <w:r w:rsidDel="00000000" w:rsidR="00000000" w:rsidRPr="00000000">
              <w:rPr>
                <w:rtl w:val="0"/>
              </w:rPr>
            </w:r>
          </w:p>
        </w:tc>
        <w:tc>
          <w:tcPr>
            <w:tcBorders>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4">
            <w:pPr>
              <w:widowControl w:val="0"/>
              <w:jc w:val="center"/>
              <w:rPr/>
            </w:pPr>
            <w:r w:rsidDel="00000000" w:rsidR="00000000" w:rsidRPr="00000000">
              <w:rPr>
                <w:rtl w:val="0"/>
              </w:rPr>
              <w:t xml:space="preserve">Univ. Federal n (%)</w:t>
            </w:r>
            <w:r w:rsidDel="00000000" w:rsidR="00000000" w:rsidRPr="00000000">
              <w:rPr>
                <w:rtl w:val="0"/>
              </w:rPr>
            </w:r>
          </w:p>
        </w:tc>
        <w:tc>
          <w:tcPr>
            <w:tcBorders>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5">
            <w:pPr>
              <w:widowControl w:val="0"/>
              <w:jc w:val="center"/>
              <w:rPr/>
            </w:pPr>
            <w:r w:rsidDel="00000000" w:rsidR="00000000" w:rsidRPr="00000000">
              <w:rPr>
                <w:rtl w:val="0"/>
              </w:rPr>
              <w:t xml:space="preserve">IF / CEFET n (%)</w:t>
            </w:r>
            <w:r w:rsidDel="00000000" w:rsidR="00000000" w:rsidRPr="00000000">
              <w:rPr>
                <w:rtl w:val="0"/>
              </w:rPr>
            </w:r>
          </w:p>
        </w:tc>
        <w:tc>
          <w:tcPr>
            <w:tcBorders>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6">
            <w:pPr>
              <w:widowControl w:val="0"/>
              <w:jc w:val="center"/>
              <w:rPr/>
            </w:pPr>
            <w:r w:rsidDel="00000000" w:rsidR="00000000" w:rsidRPr="00000000">
              <w:rPr>
                <w:rtl w:val="0"/>
              </w:rPr>
              <w:t xml:space="preserve">IES Privada n (%)</w:t>
            </w:r>
            <w:r w:rsidDel="00000000" w:rsidR="00000000" w:rsidRPr="00000000">
              <w:rPr>
                <w:rtl w:val="0"/>
              </w:rPr>
            </w:r>
          </w:p>
        </w:tc>
        <w:tc>
          <w:tcPr>
            <w:tcBorders>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7">
            <w:pPr>
              <w:widowControl w:val="0"/>
              <w:jc w:val="center"/>
              <w:rPr/>
            </w:pPr>
            <w:r w:rsidDel="00000000" w:rsidR="00000000" w:rsidRPr="00000000">
              <w:rPr>
                <w:rtl w:val="0"/>
              </w:rPr>
              <w:t xml:space="preserve">Pública Estadual n (%)</w:t>
            </w:r>
            <w:r w:rsidDel="00000000" w:rsidR="00000000" w:rsidRPr="00000000">
              <w:rPr>
                <w:rtl w:val="0"/>
              </w:rPr>
            </w:r>
          </w:p>
        </w:tc>
        <w:tc>
          <w:tcPr>
            <w:tcBorders>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8">
            <w:pPr>
              <w:widowControl w:val="0"/>
              <w:jc w:val="center"/>
              <w:rPr/>
            </w:pPr>
            <w:r w:rsidDel="00000000" w:rsidR="00000000" w:rsidRPr="00000000">
              <w:rPr>
                <w:rtl w:val="0"/>
              </w:rPr>
              <w:t xml:space="preserve">Inst. Pesquisa n (%)</w:t>
            </w:r>
            <w:r w:rsidDel="00000000" w:rsidR="00000000" w:rsidRPr="00000000">
              <w:rPr>
                <w:rtl w:val="0"/>
              </w:rPr>
            </w:r>
          </w:p>
        </w:tc>
        <w:tc>
          <w:tcPr>
            <w:tcBorders>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9">
            <w:pPr>
              <w:widowControl w:val="0"/>
              <w:jc w:val="center"/>
              <w:rPr/>
            </w:pPr>
            <w:r w:rsidDel="00000000" w:rsidR="00000000" w:rsidRPr="00000000">
              <w:rPr>
                <w:rtl w:val="0"/>
              </w:rPr>
              <w:t xml:space="preserve">Outros n (%)</w:t>
            </w:r>
            <w:r w:rsidDel="00000000" w:rsidR="00000000" w:rsidRPr="00000000">
              <w:rPr>
                <w:rtl w:val="0"/>
              </w:rPr>
            </w:r>
          </w:p>
        </w:tc>
        <w:tc>
          <w:tcPr>
            <w:tcBorders>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A">
            <w:pPr>
              <w:widowControl w:val="0"/>
              <w:jc w:val="center"/>
              <w:rPr/>
            </w:pPr>
            <w:r w:rsidDel="00000000" w:rsidR="00000000" w:rsidRPr="00000000">
              <w:rPr>
                <w:rtl w:val="0"/>
              </w:rPr>
              <w:t xml:space="preserve">Total (N)</w:t>
            </w:r>
            <w:r w:rsidDel="00000000" w:rsidR="00000000" w:rsidRPr="00000000">
              <w:rPr>
                <w:rtl w:val="0"/>
              </w:rPr>
            </w:r>
          </w:p>
        </w:tc>
      </w:tr>
      <w:tr>
        <w:trPr>
          <w:cantSplit w:val="0"/>
          <w:trHeight w:val="144" w:hRule="atLeast"/>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B">
            <w:pPr>
              <w:widowControl w:val="0"/>
              <w:rPr/>
            </w:pPr>
            <w:r w:rsidDel="00000000" w:rsidR="00000000" w:rsidRPr="00000000">
              <w:rPr>
                <w:rtl w:val="0"/>
              </w:rPr>
              <w:t xml:space="preserve">Ciências Exatas e da Terra</w:t>
            </w: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C">
            <w:pPr>
              <w:widowControl w:val="0"/>
              <w:jc w:val="center"/>
              <w:rPr/>
            </w:pPr>
            <w:r w:rsidDel="00000000" w:rsidR="00000000" w:rsidRPr="00000000">
              <w:rPr>
                <w:rtl w:val="0"/>
              </w:rPr>
              <w:t xml:space="preserve">45 (31,5)</w:t>
            </w: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D">
            <w:pPr>
              <w:widowControl w:val="0"/>
              <w:jc w:val="center"/>
              <w:rPr/>
            </w:pPr>
            <w:r w:rsidDel="00000000" w:rsidR="00000000" w:rsidRPr="00000000">
              <w:rPr>
                <w:rtl w:val="0"/>
              </w:rPr>
              <w:t xml:space="preserve">44 (30,8)</w:t>
            </w: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E">
            <w:pPr>
              <w:widowControl w:val="0"/>
              <w:jc w:val="center"/>
              <w:rPr/>
            </w:pPr>
            <w:r w:rsidDel="00000000" w:rsidR="00000000" w:rsidRPr="00000000">
              <w:rPr>
                <w:rtl w:val="0"/>
              </w:rPr>
              <w:t xml:space="preserve">20 (14,0)</w:t>
            </w: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F">
            <w:pPr>
              <w:widowControl w:val="0"/>
              <w:jc w:val="center"/>
              <w:rPr/>
            </w:pPr>
            <w:r w:rsidDel="00000000" w:rsidR="00000000" w:rsidRPr="00000000">
              <w:rPr>
                <w:rtl w:val="0"/>
              </w:rPr>
              <w:t xml:space="preserve">18 (12,6)</w:t>
            </w: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0">
            <w:pPr>
              <w:widowControl w:val="0"/>
              <w:jc w:val="center"/>
              <w:rPr/>
            </w:pPr>
            <w:r w:rsidDel="00000000" w:rsidR="00000000" w:rsidRPr="00000000">
              <w:rPr>
                <w:rtl w:val="0"/>
              </w:rPr>
              <w:t xml:space="preserve">12 (8,4)</w:t>
            </w: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1">
            <w:pPr>
              <w:widowControl w:val="0"/>
              <w:jc w:val="center"/>
              <w:rPr/>
            </w:pPr>
            <w:r w:rsidDel="00000000" w:rsidR="00000000" w:rsidRPr="00000000">
              <w:rPr>
                <w:rtl w:val="0"/>
              </w:rPr>
              <w:t xml:space="preserve">4 (2,8)</w:t>
            </w: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2">
            <w:pPr>
              <w:widowControl w:val="0"/>
              <w:jc w:val="center"/>
              <w:rPr/>
            </w:pPr>
            <w:r w:rsidDel="00000000" w:rsidR="00000000" w:rsidRPr="00000000">
              <w:rPr>
                <w:rtl w:val="0"/>
              </w:rPr>
              <w:t xml:space="preserve">143</w:t>
            </w:r>
            <w:r w:rsidDel="00000000" w:rsidR="00000000" w:rsidRPr="00000000">
              <w:rPr>
                <w:rtl w:val="0"/>
              </w:rPr>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3">
            <w:pPr>
              <w:widowControl w:val="0"/>
              <w:rPr/>
            </w:pPr>
            <w:r w:rsidDel="00000000" w:rsidR="00000000" w:rsidRPr="00000000">
              <w:rPr>
                <w:rtl w:val="0"/>
              </w:rPr>
              <w:t xml:space="preserve">Ciências Biológicas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4">
            <w:pPr>
              <w:widowControl w:val="0"/>
              <w:jc w:val="center"/>
              <w:rPr/>
            </w:pPr>
            <w:r w:rsidDel="00000000" w:rsidR="00000000" w:rsidRPr="00000000">
              <w:rPr>
                <w:rtl w:val="0"/>
              </w:rPr>
              <w:t xml:space="preserve">53 (39,0)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5">
            <w:pPr>
              <w:widowControl w:val="0"/>
              <w:jc w:val="center"/>
              <w:rPr/>
            </w:pPr>
            <w:r w:rsidDel="00000000" w:rsidR="00000000" w:rsidRPr="00000000">
              <w:rPr>
                <w:rtl w:val="0"/>
              </w:rPr>
              <w:t xml:space="preserve">30 (22,1)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6">
            <w:pPr>
              <w:widowControl w:val="0"/>
              <w:jc w:val="center"/>
              <w:rPr/>
            </w:pPr>
            <w:r w:rsidDel="00000000" w:rsidR="00000000" w:rsidRPr="00000000">
              <w:rPr>
                <w:rtl w:val="0"/>
              </w:rPr>
              <w:t xml:space="preserve">14 (10,3)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7">
            <w:pPr>
              <w:widowControl w:val="0"/>
              <w:jc w:val="center"/>
              <w:rPr/>
            </w:pPr>
            <w:r w:rsidDel="00000000" w:rsidR="00000000" w:rsidRPr="00000000">
              <w:rPr>
                <w:rtl w:val="0"/>
              </w:rPr>
              <w:t xml:space="preserve">26 (19,1)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8">
            <w:pPr>
              <w:widowControl w:val="0"/>
              <w:jc w:val="center"/>
              <w:rPr/>
            </w:pPr>
            <w:r w:rsidDel="00000000" w:rsidR="00000000" w:rsidRPr="00000000">
              <w:rPr>
                <w:rtl w:val="0"/>
              </w:rPr>
              <w:t xml:space="preserve">9 (6,6)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9">
            <w:pPr>
              <w:widowControl w:val="0"/>
              <w:jc w:val="center"/>
              <w:rPr/>
            </w:pPr>
            <w:r w:rsidDel="00000000" w:rsidR="00000000" w:rsidRPr="00000000">
              <w:rPr>
                <w:rtl w:val="0"/>
              </w:rPr>
              <w:t xml:space="preserve">4 (2,9)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A">
            <w:pPr>
              <w:widowControl w:val="0"/>
              <w:jc w:val="center"/>
              <w:rPr/>
            </w:pPr>
            <w:r w:rsidDel="00000000" w:rsidR="00000000" w:rsidRPr="00000000">
              <w:rPr>
                <w:rtl w:val="0"/>
              </w:rPr>
              <w:t xml:space="preserve">136</w:t>
            </w:r>
            <w:r w:rsidDel="00000000" w:rsidR="00000000" w:rsidRPr="00000000">
              <w:rPr>
                <w:rtl w:val="0"/>
              </w:rPr>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B">
            <w:pPr>
              <w:widowControl w:val="0"/>
              <w:rPr/>
            </w:pPr>
            <w:r w:rsidDel="00000000" w:rsidR="00000000" w:rsidRPr="00000000">
              <w:rPr>
                <w:rtl w:val="0"/>
              </w:rPr>
              <w:t xml:space="preserve">Ciências Humanas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C">
            <w:pPr>
              <w:widowControl w:val="0"/>
              <w:jc w:val="center"/>
              <w:rPr/>
            </w:pPr>
            <w:r w:rsidDel="00000000" w:rsidR="00000000" w:rsidRPr="00000000">
              <w:rPr>
                <w:rtl w:val="0"/>
              </w:rPr>
              <w:t xml:space="preserve">29 (25,2)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D">
            <w:pPr>
              <w:widowControl w:val="0"/>
              <w:jc w:val="center"/>
              <w:rPr/>
            </w:pPr>
            <w:r w:rsidDel="00000000" w:rsidR="00000000" w:rsidRPr="00000000">
              <w:rPr>
                <w:rtl w:val="0"/>
              </w:rPr>
              <w:t xml:space="preserve">22 (19,1)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E">
            <w:pPr>
              <w:widowControl w:val="0"/>
              <w:jc w:val="center"/>
              <w:rPr/>
            </w:pPr>
            <w:r w:rsidDel="00000000" w:rsidR="00000000" w:rsidRPr="00000000">
              <w:rPr>
                <w:rtl w:val="0"/>
              </w:rPr>
              <w:t xml:space="preserve">38 (33,0)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F">
            <w:pPr>
              <w:widowControl w:val="0"/>
              <w:jc w:val="center"/>
              <w:rPr/>
            </w:pPr>
            <w:r w:rsidDel="00000000" w:rsidR="00000000" w:rsidRPr="00000000">
              <w:rPr>
                <w:rtl w:val="0"/>
              </w:rPr>
              <w:t xml:space="preserve">17 (14,8)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0">
            <w:pPr>
              <w:widowControl w:val="0"/>
              <w:jc w:val="center"/>
              <w:rPr/>
            </w:pPr>
            <w:r w:rsidDel="00000000" w:rsidR="00000000" w:rsidRPr="00000000">
              <w:rPr>
                <w:rtl w:val="0"/>
              </w:rPr>
              <w:t xml:space="preserve">4 (3,5)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1">
            <w:pPr>
              <w:widowControl w:val="0"/>
              <w:jc w:val="center"/>
              <w:rPr/>
            </w:pPr>
            <w:r w:rsidDel="00000000" w:rsidR="00000000" w:rsidRPr="00000000">
              <w:rPr>
                <w:rtl w:val="0"/>
              </w:rPr>
              <w:t xml:space="preserve">5 (4,3)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2">
            <w:pPr>
              <w:widowControl w:val="0"/>
              <w:jc w:val="center"/>
              <w:rPr/>
            </w:pPr>
            <w:r w:rsidDel="00000000" w:rsidR="00000000" w:rsidRPr="00000000">
              <w:rPr>
                <w:rtl w:val="0"/>
              </w:rPr>
              <w:t xml:space="preserve">115</w:t>
            </w:r>
            <w:r w:rsidDel="00000000" w:rsidR="00000000" w:rsidRPr="00000000">
              <w:rPr>
                <w:rtl w:val="0"/>
              </w:rPr>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3">
            <w:pPr>
              <w:widowControl w:val="0"/>
              <w:rPr/>
            </w:pPr>
            <w:r w:rsidDel="00000000" w:rsidR="00000000" w:rsidRPr="00000000">
              <w:rPr>
                <w:rtl w:val="0"/>
              </w:rPr>
              <w:t xml:space="preserve">Ciências da Saúde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4">
            <w:pPr>
              <w:widowControl w:val="0"/>
              <w:jc w:val="center"/>
              <w:rPr/>
            </w:pPr>
            <w:r w:rsidDel="00000000" w:rsidR="00000000" w:rsidRPr="00000000">
              <w:rPr>
                <w:rtl w:val="0"/>
              </w:rPr>
              <w:t xml:space="preserve">33 (41,2)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5">
            <w:pPr>
              <w:widowControl w:val="0"/>
              <w:jc w:val="center"/>
              <w:rPr/>
            </w:pPr>
            <w:r w:rsidDel="00000000" w:rsidR="00000000" w:rsidRPr="00000000">
              <w:rPr>
                <w:rtl w:val="0"/>
              </w:rPr>
              <w:t xml:space="preserve">4 (5,0)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6">
            <w:pPr>
              <w:widowControl w:val="0"/>
              <w:jc w:val="center"/>
              <w:rPr/>
            </w:pPr>
            <w:r w:rsidDel="00000000" w:rsidR="00000000" w:rsidRPr="00000000">
              <w:rPr>
                <w:rtl w:val="0"/>
              </w:rPr>
              <w:t xml:space="preserve">27 (33,8)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7">
            <w:pPr>
              <w:widowControl w:val="0"/>
              <w:jc w:val="center"/>
              <w:rPr/>
            </w:pPr>
            <w:r w:rsidDel="00000000" w:rsidR="00000000" w:rsidRPr="00000000">
              <w:rPr>
                <w:rtl w:val="0"/>
              </w:rPr>
              <w:t xml:space="preserve">9 (11,2)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8">
            <w:pPr>
              <w:widowControl w:val="0"/>
              <w:jc w:val="center"/>
              <w:rPr/>
            </w:pPr>
            <w:r w:rsidDel="00000000" w:rsidR="00000000" w:rsidRPr="00000000">
              <w:rPr>
                <w:rtl w:val="0"/>
              </w:rPr>
              <w:t xml:space="preserve">3 (3,8)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9">
            <w:pPr>
              <w:widowControl w:val="0"/>
              <w:jc w:val="center"/>
              <w:rPr/>
            </w:pPr>
            <w:r w:rsidDel="00000000" w:rsidR="00000000" w:rsidRPr="00000000">
              <w:rPr>
                <w:rtl w:val="0"/>
              </w:rPr>
              <w:t xml:space="preserve">4 (5,0)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A">
            <w:pPr>
              <w:widowControl w:val="0"/>
              <w:jc w:val="center"/>
              <w:rPr/>
            </w:pPr>
            <w:r w:rsidDel="00000000" w:rsidR="00000000" w:rsidRPr="00000000">
              <w:rPr>
                <w:rtl w:val="0"/>
              </w:rPr>
              <w:t xml:space="preserve">80</w:t>
            </w:r>
            <w:r w:rsidDel="00000000" w:rsidR="00000000" w:rsidRPr="00000000">
              <w:rPr>
                <w:rtl w:val="0"/>
              </w:rPr>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B">
            <w:pPr>
              <w:widowControl w:val="0"/>
              <w:rPr/>
            </w:pPr>
            <w:r w:rsidDel="00000000" w:rsidR="00000000" w:rsidRPr="00000000">
              <w:rPr>
                <w:rtl w:val="0"/>
              </w:rPr>
              <w:t xml:space="preserve">Multidisciplinar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C">
            <w:pPr>
              <w:widowControl w:val="0"/>
              <w:jc w:val="center"/>
              <w:rPr/>
            </w:pPr>
            <w:r w:rsidDel="00000000" w:rsidR="00000000" w:rsidRPr="00000000">
              <w:rPr>
                <w:rtl w:val="0"/>
              </w:rPr>
              <w:t xml:space="preserve">12 (37,5)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D">
            <w:pPr>
              <w:widowControl w:val="0"/>
              <w:jc w:val="center"/>
              <w:rPr/>
            </w:pPr>
            <w:r w:rsidDel="00000000" w:rsidR="00000000" w:rsidRPr="00000000">
              <w:rPr>
                <w:rtl w:val="0"/>
              </w:rPr>
              <w:t xml:space="preserve">8 (25,0)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E">
            <w:pPr>
              <w:widowControl w:val="0"/>
              <w:jc w:val="center"/>
              <w:rPr/>
            </w:pPr>
            <w:r w:rsidDel="00000000" w:rsidR="00000000" w:rsidRPr="00000000">
              <w:rPr>
                <w:rtl w:val="0"/>
              </w:rPr>
              <w:t xml:space="preserve">5 (15,6)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F">
            <w:pPr>
              <w:widowControl w:val="0"/>
              <w:jc w:val="center"/>
              <w:rPr/>
            </w:pPr>
            <w:r w:rsidDel="00000000" w:rsidR="00000000" w:rsidRPr="00000000">
              <w:rPr>
                <w:rtl w:val="0"/>
              </w:rPr>
              <w:t xml:space="preserve">6 (18,8)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0">
            <w:pPr>
              <w:widowControl w:val="0"/>
              <w:jc w:val="center"/>
              <w:rPr/>
            </w:pPr>
            <w:r w:rsidDel="00000000" w:rsidR="00000000" w:rsidRPr="00000000">
              <w:rPr>
                <w:rtl w:val="0"/>
              </w:rPr>
              <w:t xml:space="preserve">1 (3,1)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1">
            <w:pPr>
              <w:widowControl w:val="0"/>
              <w:jc w:val="center"/>
              <w:rPr/>
            </w:pPr>
            <w:r w:rsidDel="00000000" w:rsidR="00000000" w:rsidRPr="00000000">
              <w:rPr>
                <w:rtl w:val="0"/>
              </w:rPr>
              <w:t xml:space="preserve">0 (0,0)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2">
            <w:pPr>
              <w:widowControl w:val="0"/>
              <w:jc w:val="center"/>
              <w:rPr/>
            </w:pPr>
            <w:r w:rsidDel="00000000" w:rsidR="00000000" w:rsidRPr="00000000">
              <w:rPr>
                <w:rtl w:val="0"/>
              </w:rPr>
              <w:t xml:space="preserve">32</w:t>
            </w:r>
            <w:r w:rsidDel="00000000" w:rsidR="00000000" w:rsidRPr="00000000">
              <w:rPr>
                <w:rtl w:val="0"/>
              </w:rPr>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3">
            <w:pPr>
              <w:widowControl w:val="0"/>
              <w:rPr/>
            </w:pPr>
            <w:r w:rsidDel="00000000" w:rsidR="00000000" w:rsidRPr="00000000">
              <w:rPr>
                <w:rtl w:val="0"/>
              </w:rPr>
              <w:t xml:space="preserve">Linguística, Letras e Artes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4">
            <w:pPr>
              <w:widowControl w:val="0"/>
              <w:jc w:val="center"/>
              <w:rPr/>
            </w:pPr>
            <w:r w:rsidDel="00000000" w:rsidR="00000000" w:rsidRPr="00000000">
              <w:rPr>
                <w:rtl w:val="0"/>
              </w:rPr>
              <w:t xml:space="preserve">8 (50,0)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5">
            <w:pPr>
              <w:widowControl w:val="0"/>
              <w:jc w:val="center"/>
              <w:rPr/>
            </w:pPr>
            <w:r w:rsidDel="00000000" w:rsidR="00000000" w:rsidRPr="00000000">
              <w:rPr>
                <w:rtl w:val="0"/>
              </w:rPr>
              <w:t xml:space="preserve">5 (31,2)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6">
            <w:pPr>
              <w:widowControl w:val="0"/>
              <w:jc w:val="center"/>
              <w:rPr/>
            </w:pPr>
            <w:r w:rsidDel="00000000" w:rsidR="00000000" w:rsidRPr="00000000">
              <w:rPr>
                <w:rtl w:val="0"/>
              </w:rPr>
              <w:t xml:space="preserve">1 (6,2)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7">
            <w:pPr>
              <w:widowControl w:val="0"/>
              <w:jc w:val="center"/>
              <w:rPr/>
            </w:pPr>
            <w:r w:rsidDel="00000000" w:rsidR="00000000" w:rsidRPr="00000000">
              <w:rPr>
                <w:rtl w:val="0"/>
              </w:rPr>
              <w:t xml:space="preserve">2 (12,5)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8">
            <w:pPr>
              <w:widowControl w:val="0"/>
              <w:jc w:val="center"/>
              <w:rPr/>
            </w:pPr>
            <w:r w:rsidDel="00000000" w:rsidR="00000000" w:rsidRPr="00000000">
              <w:rPr>
                <w:rtl w:val="0"/>
              </w:rPr>
              <w:t xml:space="preserve">0 (0,0)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9">
            <w:pPr>
              <w:widowControl w:val="0"/>
              <w:jc w:val="center"/>
              <w:rPr/>
            </w:pPr>
            <w:r w:rsidDel="00000000" w:rsidR="00000000" w:rsidRPr="00000000">
              <w:rPr>
                <w:rtl w:val="0"/>
              </w:rPr>
              <w:t xml:space="preserve">0 (0,0)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A">
            <w:pPr>
              <w:widowControl w:val="0"/>
              <w:jc w:val="center"/>
              <w:rPr/>
            </w:pPr>
            <w:r w:rsidDel="00000000" w:rsidR="00000000" w:rsidRPr="00000000">
              <w:rPr>
                <w:rtl w:val="0"/>
              </w:rPr>
              <w:t xml:space="preserve">16</w:t>
            </w:r>
            <w:r w:rsidDel="00000000" w:rsidR="00000000" w:rsidRPr="00000000">
              <w:rPr>
                <w:rtl w:val="0"/>
              </w:rPr>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B">
            <w:pPr>
              <w:widowControl w:val="0"/>
              <w:rPr/>
            </w:pPr>
            <w:r w:rsidDel="00000000" w:rsidR="00000000" w:rsidRPr="00000000">
              <w:rPr>
                <w:rtl w:val="0"/>
              </w:rPr>
              <w:t xml:space="preserve">Não aplicável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C">
            <w:pPr>
              <w:widowControl w:val="0"/>
              <w:jc w:val="center"/>
              <w:rPr/>
            </w:pPr>
            <w:r w:rsidDel="00000000" w:rsidR="00000000" w:rsidRPr="00000000">
              <w:rPr>
                <w:rtl w:val="0"/>
              </w:rPr>
              <w:t xml:space="preserve">5 (41,7)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D">
            <w:pPr>
              <w:widowControl w:val="0"/>
              <w:jc w:val="center"/>
              <w:rPr/>
            </w:pPr>
            <w:r w:rsidDel="00000000" w:rsidR="00000000" w:rsidRPr="00000000">
              <w:rPr>
                <w:rtl w:val="0"/>
              </w:rPr>
              <w:t xml:space="preserve">2 (16,7)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E">
            <w:pPr>
              <w:widowControl w:val="0"/>
              <w:jc w:val="center"/>
              <w:rPr/>
            </w:pPr>
            <w:r w:rsidDel="00000000" w:rsidR="00000000" w:rsidRPr="00000000">
              <w:rPr>
                <w:rtl w:val="0"/>
              </w:rPr>
              <w:t xml:space="preserve">4 (33,3)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F">
            <w:pPr>
              <w:widowControl w:val="0"/>
              <w:jc w:val="center"/>
              <w:rPr/>
            </w:pPr>
            <w:r w:rsidDel="00000000" w:rsidR="00000000" w:rsidRPr="00000000">
              <w:rPr>
                <w:rtl w:val="0"/>
              </w:rPr>
              <w:t xml:space="preserve">1 (8,3)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0">
            <w:pPr>
              <w:widowControl w:val="0"/>
              <w:jc w:val="center"/>
              <w:rPr/>
            </w:pPr>
            <w:r w:rsidDel="00000000" w:rsidR="00000000" w:rsidRPr="00000000">
              <w:rPr>
                <w:rtl w:val="0"/>
              </w:rPr>
              <w:t xml:space="preserve">0 (0,0)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1">
            <w:pPr>
              <w:widowControl w:val="0"/>
              <w:jc w:val="center"/>
              <w:rPr/>
            </w:pPr>
            <w:r w:rsidDel="00000000" w:rsidR="00000000" w:rsidRPr="00000000">
              <w:rPr>
                <w:rtl w:val="0"/>
              </w:rPr>
              <w:t xml:space="preserve">0 (0,0)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2">
            <w:pPr>
              <w:widowControl w:val="0"/>
              <w:jc w:val="center"/>
              <w:rPr/>
            </w:pPr>
            <w:r w:rsidDel="00000000" w:rsidR="00000000" w:rsidRPr="00000000">
              <w:rPr>
                <w:rtl w:val="0"/>
              </w:rPr>
              <w:t xml:space="preserve">12</w:t>
            </w:r>
            <w:r w:rsidDel="00000000" w:rsidR="00000000" w:rsidRPr="00000000">
              <w:rPr>
                <w:rtl w:val="0"/>
              </w:rPr>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3">
            <w:pPr>
              <w:widowControl w:val="0"/>
              <w:rPr/>
            </w:pPr>
            <w:r w:rsidDel="00000000" w:rsidR="00000000" w:rsidRPr="00000000">
              <w:rPr>
                <w:rtl w:val="0"/>
              </w:rPr>
              <w:t xml:space="preserve">C. Sociais Aplicadas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4">
            <w:pPr>
              <w:widowControl w:val="0"/>
              <w:jc w:val="center"/>
              <w:rPr/>
            </w:pPr>
            <w:r w:rsidDel="00000000" w:rsidR="00000000" w:rsidRPr="00000000">
              <w:rPr>
                <w:rtl w:val="0"/>
              </w:rPr>
              <w:t xml:space="preserve">0 (0,0)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5">
            <w:pPr>
              <w:widowControl w:val="0"/>
              <w:jc w:val="center"/>
              <w:rPr/>
            </w:pPr>
            <w:r w:rsidDel="00000000" w:rsidR="00000000" w:rsidRPr="00000000">
              <w:rPr>
                <w:rtl w:val="0"/>
              </w:rPr>
              <w:t xml:space="preserve">1 (25,0)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6">
            <w:pPr>
              <w:widowControl w:val="0"/>
              <w:jc w:val="center"/>
              <w:rPr/>
            </w:pPr>
            <w:r w:rsidDel="00000000" w:rsidR="00000000" w:rsidRPr="00000000">
              <w:rPr>
                <w:rtl w:val="0"/>
              </w:rPr>
              <w:t xml:space="preserve">2 (50,0)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7">
            <w:pPr>
              <w:widowControl w:val="0"/>
              <w:jc w:val="center"/>
              <w:rPr/>
            </w:pPr>
            <w:r w:rsidDel="00000000" w:rsidR="00000000" w:rsidRPr="00000000">
              <w:rPr>
                <w:rtl w:val="0"/>
              </w:rPr>
              <w:t xml:space="preserve">1 (25,0)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8">
            <w:pPr>
              <w:widowControl w:val="0"/>
              <w:jc w:val="center"/>
              <w:rPr/>
            </w:pPr>
            <w:r w:rsidDel="00000000" w:rsidR="00000000" w:rsidRPr="00000000">
              <w:rPr>
                <w:rtl w:val="0"/>
              </w:rPr>
              <w:t xml:space="preserve">0 (0,0)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9">
            <w:pPr>
              <w:widowControl w:val="0"/>
              <w:jc w:val="center"/>
              <w:rPr/>
            </w:pPr>
            <w:r w:rsidDel="00000000" w:rsidR="00000000" w:rsidRPr="00000000">
              <w:rPr>
                <w:rtl w:val="0"/>
              </w:rPr>
              <w:t xml:space="preserve">0 (0,0)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A">
            <w:pPr>
              <w:widowControl w:val="0"/>
              <w:jc w:val="center"/>
              <w:rPr/>
            </w:pPr>
            <w:r w:rsidDel="00000000" w:rsidR="00000000" w:rsidRPr="00000000">
              <w:rPr>
                <w:rtl w:val="0"/>
              </w:rPr>
              <w:t xml:space="preserve">4</w:t>
            </w:r>
            <w:r w:rsidDel="00000000" w:rsidR="00000000" w:rsidRPr="00000000">
              <w:rPr>
                <w:rtl w:val="0"/>
              </w:rPr>
            </w:r>
          </w:p>
        </w:tc>
      </w:tr>
      <w:tr>
        <w:trPr>
          <w:cantSplit w:val="0"/>
          <w:trHeight w:val="144" w:hRule="atLeast"/>
          <w:tblHeader w:val="0"/>
        </w:trPr>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B">
            <w:pPr>
              <w:widowControl w:val="0"/>
              <w:rPr/>
            </w:pPr>
            <w:r w:rsidDel="00000000" w:rsidR="00000000" w:rsidRPr="00000000">
              <w:rPr>
                <w:rtl w:val="0"/>
              </w:rPr>
              <w:t xml:space="preserve">Engenharias</w:t>
            </w:r>
            <w:r w:rsidDel="00000000" w:rsidR="00000000" w:rsidRPr="00000000">
              <w:rPr>
                <w:rtl w:val="0"/>
              </w:rPr>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C">
            <w:pPr>
              <w:widowControl w:val="0"/>
              <w:jc w:val="center"/>
              <w:rPr/>
            </w:pPr>
            <w:r w:rsidDel="00000000" w:rsidR="00000000" w:rsidRPr="00000000">
              <w:rPr>
                <w:rtl w:val="0"/>
              </w:rPr>
              <w:t xml:space="preserve">2 (66,7)</w:t>
            </w:r>
            <w:r w:rsidDel="00000000" w:rsidR="00000000" w:rsidRPr="00000000">
              <w:rPr>
                <w:rtl w:val="0"/>
              </w:rPr>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D">
            <w:pPr>
              <w:widowControl w:val="0"/>
              <w:jc w:val="center"/>
              <w:rPr/>
            </w:pPr>
            <w:r w:rsidDel="00000000" w:rsidR="00000000" w:rsidRPr="00000000">
              <w:rPr>
                <w:rtl w:val="0"/>
              </w:rPr>
              <w:t xml:space="preserve">1 (33,3)</w:t>
            </w:r>
            <w:r w:rsidDel="00000000" w:rsidR="00000000" w:rsidRPr="00000000">
              <w:rPr>
                <w:rtl w:val="0"/>
              </w:rPr>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E">
            <w:pPr>
              <w:widowControl w:val="0"/>
              <w:jc w:val="center"/>
              <w:rPr/>
            </w:pPr>
            <w:r w:rsidDel="00000000" w:rsidR="00000000" w:rsidRPr="00000000">
              <w:rPr>
                <w:rtl w:val="0"/>
              </w:rPr>
              <w:t xml:space="preserve">0 (0,0)</w:t>
            </w:r>
            <w:r w:rsidDel="00000000" w:rsidR="00000000" w:rsidRPr="00000000">
              <w:rPr>
                <w:rtl w:val="0"/>
              </w:rPr>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F">
            <w:pPr>
              <w:widowControl w:val="0"/>
              <w:jc w:val="center"/>
              <w:rPr/>
            </w:pPr>
            <w:r w:rsidDel="00000000" w:rsidR="00000000" w:rsidRPr="00000000">
              <w:rPr>
                <w:rtl w:val="0"/>
              </w:rPr>
              <w:t xml:space="preserve">0 (0,0)</w:t>
            </w:r>
            <w:r w:rsidDel="00000000" w:rsidR="00000000" w:rsidRPr="00000000">
              <w:rPr>
                <w:rtl w:val="0"/>
              </w:rPr>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0">
            <w:pPr>
              <w:widowControl w:val="0"/>
              <w:jc w:val="center"/>
              <w:rPr/>
            </w:pPr>
            <w:r w:rsidDel="00000000" w:rsidR="00000000" w:rsidRPr="00000000">
              <w:rPr>
                <w:rtl w:val="0"/>
              </w:rPr>
              <w:t xml:space="preserve">0 (0,0)</w:t>
            </w:r>
            <w:r w:rsidDel="00000000" w:rsidR="00000000" w:rsidRPr="00000000">
              <w:rPr>
                <w:rtl w:val="0"/>
              </w:rPr>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1">
            <w:pPr>
              <w:widowControl w:val="0"/>
              <w:jc w:val="center"/>
              <w:rPr/>
            </w:pPr>
            <w:r w:rsidDel="00000000" w:rsidR="00000000" w:rsidRPr="00000000">
              <w:rPr>
                <w:rtl w:val="0"/>
              </w:rPr>
              <w:t xml:space="preserve">0 (0,0)</w:t>
            </w:r>
            <w:r w:rsidDel="00000000" w:rsidR="00000000" w:rsidRPr="00000000">
              <w:rPr>
                <w:rtl w:val="0"/>
              </w:rPr>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2">
            <w:pPr>
              <w:widowControl w:val="0"/>
              <w:jc w:val="center"/>
              <w:rPr/>
            </w:pPr>
            <w:r w:rsidDel="00000000" w:rsidR="00000000" w:rsidRPr="00000000">
              <w:rPr>
                <w:rtl w:val="0"/>
              </w:rPr>
              <w:t xml:space="preserve">3</w:t>
            </w:r>
            <w:r w:rsidDel="00000000" w:rsidR="00000000" w:rsidRPr="00000000">
              <w:rPr>
                <w:rtl w:val="0"/>
              </w:rPr>
            </w:r>
          </w:p>
        </w:tc>
      </w:tr>
      <w:tr>
        <w:trPr>
          <w:cantSplit w:val="0"/>
          <w:trHeight w:val="144" w:hRule="atLeast"/>
          <w:tblHeader w:val="0"/>
        </w:trPr>
        <w:tc>
          <w:tcPr>
            <w:tcBorders>
              <w:left w:color="000000" w:space="0" w:sz="0" w:val="nil"/>
              <w:bottom w:color="000000" w:space="0" w:sz="12"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3">
            <w:pPr>
              <w:widowControl w:val="0"/>
              <w:rPr/>
            </w:pPr>
            <w:r w:rsidDel="00000000" w:rsidR="00000000" w:rsidRPr="00000000">
              <w:rPr>
                <w:b w:val="1"/>
                <w:bCs w:val="1"/>
                <w:rtl w:val="0"/>
              </w:rPr>
              <w:t xml:space="preserve">Total Brasil</w:t>
            </w:r>
            <w:r w:rsidDel="00000000" w:rsidR="00000000" w:rsidRPr="00000000">
              <w:rPr>
                <w:rtl w:val="0"/>
              </w:rPr>
            </w:r>
          </w:p>
        </w:tc>
        <w:tc>
          <w:tcPr>
            <w:tcBorders>
              <w:left w:color="000000" w:space="0" w:sz="0" w:val="nil"/>
              <w:bottom w:color="000000" w:space="0" w:sz="12"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4">
            <w:pPr>
              <w:widowControl w:val="0"/>
              <w:jc w:val="center"/>
              <w:rPr/>
            </w:pPr>
            <w:r w:rsidDel="00000000" w:rsidR="00000000" w:rsidRPr="00000000">
              <w:rPr>
                <w:b w:val="1"/>
                <w:bCs w:val="1"/>
                <w:rtl w:val="0"/>
              </w:rPr>
              <w:t xml:space="preserve">187 (34,6)</w:t>
            </w:r>
            <w:r w:rsidDel="00000000" w:rsidR="00000000" w:rsidRPr="00000000">
              <w:rPr>
                <w:rtl w:val="0"/>
              </w:rPr>
            </w:r>
          </w:p>
        </w:tc>
        <w:tc>
          <w:tcPr>
            <w:tcBorders>
              <w:left w:color="000000" w:space="0" w:sz="0" w:val="nil"/>
              <w:bottom w:color="000000" w:space="0" w:sz="12"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5">
            <w:pPr>
              <w:widowControl w:val="0"/>
              <w:jc w:val="center"/>
              <w:rPr/>
            </w:pPr>
            <w:r w:rsidDel="00000000" w:rsidR="00000000" w:rsidRPr="00000000">
              <w:rPr>
                <w:b w:val="1"/>
                <w:bCs w:val="1"/>
                <w:rtl w:val="0"/>
              </w:rPr>
              <w:t xml:space="preserve">117 (21,6)</w:t>
            </w:r>
            <w:r w:rsidDel="00000000" w:rsidR="00000000" w:rsidRPr="00000000">
              <w:rPr>
                <w:rtl w:val="0"/>
              </w:rPr>
            </w:r>
          </w:p>
        </w:tc>
        <w:tc>
          <w:tcPr>
            <w:tcBorders>
              <w:left w:color="000000" w:space="0" w:sz="0" w:val="nil"/>
              <w:bottom w:color="000000" w:space="0" w:sz="12"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6">
            <w:pPr>
              <w:widowControl w:val="0"/>
              <w:jc w:val="center"/>
              <w:rPr/>
            </w:pPr>
            <w:r w:rsidDel="00000000" w:rsidR="00000000" w:rsidRPr="00000000">
              <w:rPr>
                <w:b w:val="1"/>
                <w:bCs w:val="1"/>
                <w:rtl w:val="0"/>
              </w:rPr>
              <w:t xml:space="preserve">111 (20,5)</w:t>
            </w:r>
            <w:r w:rsidDel="00000000" w:rsidR="00000000" w:rsidRPr="00000000">
              <w:rPr>
                <w:rtl w:val="0"/>
              </w:rPr>
            </w:r>
          </w:p>
        </w:tc>
        <w:tc>
          <w:tcPr>
            <w:tcBorders>
              <w:left w:color="000000" w:space="0" w:sz="0" w:val="nil"/>
              <w:bottom w:color="000000" w:space="0" w:sz="12"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7">
            <w:pPr>
              <w:widowControl w:val="0"/>
              <w:jc w:val="center"/>
              <w:rPr/>
            </w:pPr>
            <w:r w:rsidDel="00000000" w:rsidR="00000000" w:rsidRPr="00000000">
              <w:rPr>
                <w:b w:val="1"/>
                <w:bCs w:val="1"/>
                <w:rtl w:val="0"/>
              </w:rPr>
              <w:t xml:space="preserve">80 (14,8)</w:t>
            </w:r>
            <w:r w:rsidDel="00000000" w:rsidR="00000000" w:rsidRPr="00000000">
              <w:rPr>
                <w:rtl w:val="0"/>
              </w:rPr>
            </w:r>
          </w:p>
        </w:tc>
        <w:tc>
          <w:tcPr>
            <w:tcBorders>
              <w:left w:color="000000" w:space="0" w:sz="0" w:val="nil"/>
              <w:bottom w:color="000000" w:space="0" w:sz="12"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8">
            <w:pPr>
              <w:widowControl w:val="0"/>
              <w:jc w:val="center"/>
              <w:rPr/>
            </w:pPr>
            <w:r w:rsidDel="00000000" w:rsidR="00000000" w:rsidRPr="00000000">
              <w:rPr>
                <w:b w:val="1"/>
                <w:bCs w:val="1"/>
                <w:rtl w:val="0"/>
              </w:rPr>
              <w:t xml:space="preserve">29 (5,4)</w:t>
            </w:r>
            <w:r w:rsidDel="00000000" w:rsidR="00000000" w:rsidRPr="00000000">
              <w:rPr>
                <w:rtl w:val="0"/>
              </w:rPr>
            </w:r>
          </w:p>
        </w:tc>
        <w:tc>
          <w:tcPr>
            <w:tcBorders>
              <w:left w:color="000000" w:space="0" w:sz="0" w:val="nil"/>
              <w:bottom w:color="000000" w:space="0" w:sz="12"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9">
            <w:pPr>
              <w:widowControl w:val="0"/>
              <w:jc w:val="center"/>
              <w:rPr/>
            </w:pPr>
            <w:r w:rsidDel="00000000" w:rsidR="00000000" w:rsidRPr="00000000">
              <w:rPr>
                <w:b w:val="1"/>
                <w:bCs w:val="1"/>
                <w:rtl w:val="0"/>
              </w:rPr>
              <w:t xml:space="preserve">17 (3,1)</w:t>
            </w:r>
            <w:r w:rsidDel="00000000" w:rsidR="00000000" w:rsidRPr="00000000">
              <w:rPr>
                <w:rtl w:val="0"/>
              </w:rPr>
            </w:r>
          </w:p>
        </w:tc>
        <w:tc>
          <w:tcPr>
            <w:tcBorders>
              <w:left w:color="000000" w:space="0" w:sz="0" w:val="nil"/>
              <w:bottom w:color="000000" w:space="0" w:sz="12"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A">
            <w:pPr>
              <w:widowControl w:val="0"/>
              <w:jc w:val="center"/>
              <w:rPr/>
            </w:pPr>
            <w:r w:rsidDel="00000000" w:rsidR="00000000" w:rsidRPr="00000000">
              <w:rPr>
                <w:b w:val="1"/>
                <w:bCs w:val="1"/>
                <w:rtl w:val="0"/>
              </w:rPr>
              <w:t xml:space="preserve">541</w:t>
            </w:r>
            <w:r w:rsidDel="00000000" w:rsidR="00000000" w:rsidRPr="00000000">
              <w:rPr>
                <w:rtl w:val="0"/>
              </w:rPr>
            </w:r>
          </w:p>
        </w:tc>
      </w:tr>
    </w:tbl>
    <w:p w:rsidR="00000000" w:rsidDel="00000000" w:rsidP="00000000" w:rsidRDefault="00000000" w:rsidRPr="00000000" w14:paraId="0000015B">
      <w:pPr>
        <w:widowControl w:val="0"/>
        <w:rPr>
          <w:sz w:val="24"/>
          <w:szCs w:val="24"/>
        </w:rPr>
      </w:pPr>
      <w:r w:rsidDel="00000000" w:rsidR="00000000" w:rsidRPr="00000000">
        <w:rPr>
          <w:i w:val="1"/>
          <w:iCs w:val="1"/>
          <w:rtl w:val="0"/>
        </w:rPr>
        <w:t xml:space="preserve">Nota.</w:t>
      </w:r>
      <w:r w:rsidDel="00000000" w:rsidR="00000000" w:rsidRPr="00000000">
        <w:rPr>
          <w:rtl w:val="0"/>
        </w:rPr>
        <w:t xml:space="preserve"> Os valores entre parênteses representam o percentual da área de atuação alocada em cada categoria institucional.</w:t>
      </w:r>
      <w:r w:rsidDel="00000000" w:rsidR="00000000" w:rsidRPr="00000000">
        <w:rPr>
          <w:rtl w:val="0"/>
        </w:rPr>
        <w:t xml:space="preserve"> </w:t>
      </w:r>
      <w:r w:rsidDel="00000000" w:rsidR="00000000" w:rsidRPr="00000000">
        <w:rPr>
          <w:rtl w:val="0"/>
        </w:rPr>
        <w:t xml:space="preserve">Teste de associação de Qui-quadrado: </w:t>
      </w:r>
      <w:r w:rsidDel="00000000" w:rsidR="00000000" w:rsidRPr="00000000">
        <w:rPr>
          <w:i w:val="1"/>
          <w:iCs w:val="1"/>
          <w:sz w:val="24"/>
          <w:szCs w:val="24"/>
          <w:rtl w:val="0"/>
        </w:rPr>
        <w:t xml:space="preserve">χ</w:t>
      </w:r>
      <w:r w:rsidDel="00000000" w:rsidR="00000000" w:rsidRPr="00000000">
        <w:rPr>
          <w:sz w:val="24"/>
          <w:szCs w:val="24"/>
          <w:vertAlign w:val="superscript"/>
          <w:rtl w:val="0"/>
        </w:rPr>
        <w:t xml:space="preserve">2 </w:t>
      </w:r>
      <w:r w:rsidDel="00000000" w:rsidR="00000000" w:rsidRPr="00000000">
        <w:rPr>
          <w:rtl w:val="0"/>
        </w:rPr>
        <w:t xml:space="preserve">(40) = 70,88; </w:t>
      </w:r>
      <w:r w:rsidDel="00000000" w:rsidR="00000000" w:rsidRPr="00000000">
        <w:rPr>
          <w:i w:val="1"/>
          <w:iCs w:val="1"/>
          <w:rtl w:val="0"/>
        </w:rPr>
        <w:t xml:space="preserve">p</w:t>
      </w:r>
      <w:r w:rsidDel="00000000" w:rsidR="00000000" w:rsidRPr="00000000">
        <w:rPr>
          <w:rtl w:val="0"/>
        </w:rPr>
        <w:t xml:space="preserve"> = 0,002; </w:t>
      </w:r>
      <w:r w:rsidDel="00000000" w:rsidR="00000000" w:rsidRPr="00000000">
        <w:rPr>
          <w:i w:val="1"/>
          <w:iCs w:val="1"/>
          <w:rtl w:val="0"/>
        </w:rPr>
        <w:t xml:space="preserve">V</w:t>
      </w:r>
      <w:r w:rsidDel="00000000" w:rsidR="00000000" w:rsidRPr="00000000">
        <w:rPr>
          <w:rtl w:val="0"/>
        </w:rPr>
        <w:t xml:space="preserve"> de Cramer = 0,162.</w:t>
      </w: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034423828125" w:line="240" w:lineRule="auto"/>
        <w:ind w:left="12.65472412109375" w:right="18.98193359375" w:firstLine="707.345275878906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distribuição d</w:t>
      </w:r>
      <w:r w:rsidDel="00000000" w:rsidR="00000000" w:rsidRPr="00000000">
        <w:rPr>
          <w:sz w:val="24"/>
          <w:szCs w:val="24"/>
          <w:rtl w:val="0"/>
        </w:rPr>
        <w:t xml:space="preserve">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 áreas de atuação dos pesquisadores, contudo, não ocorre de forma homogênea entre os diferentes arranjos institucionais. O teste de contingência indica associação estatisticamente significativa </w:t>
      </w:r>
      <w:r w:rsidDel="00000000" w:rsidR="00000000" w:rsidRPr="00000000">
        <w:rPr>
          <w:sz w:val="24"/>
          <w:szCs w:val="24"/>
          <w:rtl w:val="0"/>
        </w:rPr>
        <w:t xml:space="preserve">entre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perfil de atuação e categoria administrativa da instituição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χ</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70</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88;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0</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002). Embora a intensidade dessa associação seja moderada (V de Cramer = 0,162), os resultados são compatíveis com uma alocação não aleatória dos campos do saber entre as tipologias institucionais. Em </w:t>
      </w:r>
      <w:r w:rsidDel="00000000" w:rsidR="00000000" w:rsidRPr="00000000">
        <w:rPr>
          <w:sz w:val="24"/>
          <w:szCs w:val="24"/>
          <w:rtl w:val="0"/>
        </w:rPr>
        <w:t xml:space="preserve">termos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interpretativos, esse padrão sugere uma divisão do trabalho científico associada a capacidades instaladas e prioridades institucionais.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8583984375" w:line="240" w:lineRule="auto"/>
        <w:ind w:left="14.618377685546875" w:right="0.21728515625" w:firstLine="705.381622314453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um lado, o sistema público federal e os institutos de pesquisa abrigam a ampla maioria dos pesquisadores das áreas de Exatas, Biológicas e Engenharias. O perfil do pesquisador inserido na Rede Federal e nas Universidades Federais atua em um ecossistema que exige manutenção contínua de laboratórios, aquisição de insumos de alto custo e </w:t>
      </w:r>
      <w:r w:rsidDel="00000000" w:rsidR="00000000" w:rsidRPr="00000000">
        <w:rPr>
          <w:sz w:val="24"/>
          <w:szCs w:val="24"/>
          <w:rtl w:val="0"/>
        </w:rPr>
        <w:t xml:space="preserve">infra estrutura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 capital fixo, condições institucionalmente mais frequentes em organizações sustentadas por financiamento estatal direto. É nesse tipo de contexto institucional que se observa maior presença de pesquisadores proponentes recorrentes. De outro lado, o perfil do pesquisador vinculado ao setor privado concentra-se de forma atípica nas Ciências Humanas, agrupando 33,0% dos proponentes e nas Ciências da Saúde, com 33,8%. A inserção e a permanência de pesquisadores da rede privada no PIBIC-EM parece concentrar-se em campos que tendem a demandar menor infraestrutura. O programa reflete, em</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parte, as condições de produção científica do país.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4130859375" w:line="240" w:lineRule="auto"/>
        <w:ind w:left="7.411041259765625" w:right="18.980712890625" w:firstLine="712.588958740234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Aprofundando a análise das capacidades instaladas, a avaliação de excelência das Instituições de Ensino Superior, medida pelo Índice Geral de Cursos (IGC)</w:t>
      </w:r>
      <w:r w:rsidDel="00000000" w:rsidR="00000000" w:rsidRPr="00000000">
        <w:rPr>
          <w:sz w:val="24"/>
          <w:szCs w:val="24"/>
          <w:vertAlign w:val="superscript"/>
        </w:rPr>
        <w:footnoteReference w:customMarkFollows="0" w:id="2"/>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adiciona uma nova camada de </w:t>
      </w:r>
      <w:r w:rsidDel="00000000" w:rsidR="00000000" w:rsidRPr="00000000">
        <w:rPr>
          <w:sz w:val="24"/>
          <w:szCs w:val="24"/>
          <w:rtl w:val="0"/>
        </w:rPr>
        <w:t xml:space="preserve">complexidade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ao perfil do programa. O teste de associação aponta uma associação elevada entre </w:t>
      </w:r>
      <w:r w:rsidDel="00000000" w:rsidR="00000000" w:rsidRPr="00000000">
        <w:rPr>
          <w:sz w:val="24"/>
          <w:szCs w:val="24"/>
          <w:rtl w:val="0"/>
        </w:rPr>
        <w:t xml:space="preserve">categoria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administrativa e nível de IGC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χ</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111</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 &lt;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001; V de Cramer = 0,330). O padrão observado é assimétrico: Universidades Federais aparecem quase exclusivamente na faixa de IGC Alto (98,4%), enquanto Rede IF/CEFET e instituições privadas com fins lucrativos se concentram mais na faixa de IGC Médio. Em termos interpretativos, esse resultado sugere maior presença de instituições públicas federais de IGC elevado na execução do programa.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099609375" w:line="240" w:lineRule="auto"/>
        <w:ind w:left="7.411041259765625" w:right="42.547607421875" w:firstLine="712.588958740234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Essa estratificação da excelência institucional não ocorre no vácuo espacial. Pelo contrário, ela sobrepõe-se à geografia histórica da ciência brasileira. O cruzamento entre a localização geográfica e a categoria de IGC </w:t>
      </w:r>
      <w:r w:rsidDel="00000000" w:rsidR="00000000" w:rsidRPr="00000000">
        <w:rPr>
          <w:sz w:val="24"/>
          <w:szCs w:val="24"/>
          <w:rtl w:val="0"/>
        </w:rPr>
        <w:t xml:space="preserve">evidência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assimetrias territoriais marcantes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χ</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77</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 &lt;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001; V de Cramer = 0,276). A região Sul destaca-se por uma sobre-representação de instituições com IGC Alto. Em direção oposta, o Norte e o Centro-Oeste concentram, de maneira estatisticamente significativa, as instituições com IGC Médio, evidenciando uma presença relativa menor de </w:t>
      </w:r>
      <w:r w:rsidDel="00000000" w:rsidR="00000000" w:rsidRPr="00000000">
        <w:rPr>
          <w:sz w:val="24"/>
          <w:szCs w:val="24"/>
          <w:rtl w:val="0"/>
        </w:rPr>
        <w:t xml:space="preserve">pólos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 excelência máxima. As regiões Sudeste e Nordeste, por sua vez, apresentam perfis compatíveis com a média da distribuição nacional.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6917724609375" w:line="240" w:lineRule="auto"/>
        <w:ind w:left="7.411041259765625" w:right="0.21728515625" w:firstLine="712.588958740234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Segundo os resultados, o IGC aparece como um indicador associado a desigualdades estruturais. A análise sugere que a implementação do PIBIC-EM parece ter relações com as capacidades </w:t>
      </w:r>
      <w:r w:rsidDel="00000000" w:rsidR="00000000" w:rsidRPr="00000000">
        <w:rPr>
          <w:sz w:val="24"/>
          <w:szCs w:val="24"/>
          <w:rtl w:val="0"/>
        </w:rPr>
        <w:t xml:space="preserve">institucionais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previamente instaladas. Esse fenômeno parece reproduzir, ao menos em partes, as disparidades do sistema de educação superior e da rede de pesquisa brasileira. Na prática, isso significa que o estudante do ensino médio na região Sul acessa o programa predominantemente via instituições consolidadas e de alta performance, enquanto o jovem da região Norte o faz por meio de instituições que ainda se encontram em processo de consolidação de sua infraestrutura acadêmica. </w:t>
      </w:r>
    </w:p>
    <w:p w:rsidR="00000000" w:rsidDel="00000000" w:rsidP="00000000" w:rsidRDefault="00000000" w:rsidRPr="00000000" w14:paraId="00000161">
      <w:pPr>
        <w:pStyle w:val="Heading2"/>
        <w:widowControl w:val="0"/>
        <w:spacing w:before="585.4144287109375" w:line="248.31716537475586" w:lineRule="auto"/>
        <w:ind w:left="16.800079345703125" w:right="42.762451171875" w:firstLine="2.181854248046875"/>
        <w:jc w:val="both"/>
        <w:rPr>
          <w:sz w:val="24"/>
          <w:szCs w:val="24"/>
          <w:vertAlign w:val="baseline"/>
        </w:rPr>
      </w:pPr>
      <w:bookmarkStart w:colFirst="0" w:colLast="0" w:name="_unlskbqct5ma" w:id="10"/>
      <w:bookmarkEnd w:id="10"/>
      <w:r w:rsidDel="00000000" w:rsidR="00000000" w:rsidRPr="00000000">
        <w:rPr>
          <w:sz w:val="24"/>
          <w:szCs w:val="24"/>
          <w:vertAlign w:val="baseline"/>
          <w:rtl w:val="0"/>
        </w:rPr>
        <w:t xml:space="preserve">3.2. Determinantes da Taxa Recorrência no Programa no Contexto das Instituições de Ensino Superior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841064453125" w:line="248.3020305633545" w:lineRule="auto"/>
        <w:ind w:left="12.65472412109375" w:right="12.218017578125" w:firstLine="707.345275878906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Compreender a participação de pesquisadores no PIBIC-EM revela a morfologia </w:t>
      </w:r>
      <w:r w:rsidDel="00000000" w:rsidR="00000000" w:rsidRPr="00000000">
        <w:rPr>
          <w:sz w:val="24"/>
          <w:szCs w:val="24"/>
          <w:rtl w:val="0"/>
        </w:rPr>
        <w:t xml:space="preserve">microestrutural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do programa, mas não explica sua dinâmica interna de sustentação. Como a adesão ao edital é um ato essencialmente voluntário por parte dos pesquisadores-orientadores, a viabilidade de longo prazo desta política científica parece estar associada à sua capacidade de retenção. Em outras palavras, para que o programa cumpra seu princípio basilar de atração de jovens talentos e democratização da ciência, é preciso que os pesquisadores não apenas acessem o edital de forma episódica, mas que tornem a orientação no nível médio uma prática recorrente em seus grupos de pesquisa.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9461669921875" w:line="248.3078384399414" w:lineRule="auto"/>
        <w:ind w:left="14.618377685546875" w:right="42.762451171875" w:firstLine="705.381622314453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Autores como Vasques </w:t>
      </w:r>
      <w:r w:rsidDel="00000000" w:rsidR="00000000" w:rsidRPr="00000000">
        <w:rPr>
          <w:sz w:val="24"/>
          <w:szCs w:val="24"/>
          <w:rtl w:val="0"/>
        </w:rPr>
        <w:t xml:space="preserve">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Oliveira (2020) e Oliveira </w:t>
      </w:r>
      <w:r w:rsidDel="00000000" w:rsidR="00000000" w:rsidRPr="00000000">
        <w:rPr>
          <w:sz w:val="24"/>
          <w:szCs w:val="24"/>
          <w:rtl w:val="0"/>
        </w:rPr>
        <w:t xml:space="preserve">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Bianchetti (2018) defendem a premissa de que a estruturação de políticas públicas de CT&amp;I passa por assimetrias regionais e pelo prestígio acadêmico das instituições. Esse contexto pode influenciar não apenas o acesso aos recursos, mas também a capacidade de concentrá-los ao longo do tempo. No entanto, ao isolarmos as variáveis no modelo multivariado (N = 496)</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superscript"/>
        </w:rPr>
        <w:footnoteReference w:customMarkFollows="0" w:id="3"/>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os resultados não oferecem suporte à hipótese de forte associação geográfica com a recorrência, conforme pode ser visto na Tabela 4. A região geográfica da IES à qual o pesquisador está vinculado não se mostrou um preditor estatisticamente significativo para a sua recorrência no PIBIC-EM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3</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84,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gl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4,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0</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428).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9461669921875" w:line="248.3078384399414" w:lineRule="auto"/>
        <w:ind w:left="14.618377685546875" w:right="42.762451171875" w:firstLine="705.3816223144531"/>
        <w:jc w:val="both"/>
        <w:rPr>
          <w:sz w:val="24"/>
          <w:szCs w:val="24"/>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9461669921875" w:line="248.3078384399414" w:lineRule="auto"/>
        <w:ind w:left="14.618377685546875" w:right="42.762451171875" w:firstLine="705.3816223144531"/>
        <w:jc w:val="both"/>
        <w:rPr>
          <w:sz w:val="24"/>
          <w:szCs w:val="24"/>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9461669921875" w:line="248.3078384399414" w:lineRule="auto"/>
        <w:ind w:left="14.618377685546875" w:right="42.762451171875" w:firstLine="705.3816223144531"/>
        <w:jc w:val="both"/>
        <w:rPr>
          <w:sz w:val="24"/>
          <w:szCs w:val="24"/>
        </w:rPr>
      </w:pPr>
      <w:r w:rsidDel="00000000" w:rsidR="00000000" w:rsidRPr="00000000">
        <w:rPr>
          <w:rtl w:val="0"/>
        </w:rPr>
      </w:r>
    </w:p>
    <w:p w:rsidR="00000000" w:rsidDel="00000000" w:rsidP="00000000" w:rsidRDefault="00000000" w:rsidRPr="00000000" w14:paraId="00000167">
      <w:pPr>
        <w:widowControl w:val="0"/>
        <w:spacing w:before="279.79461669921875" w:line="248.3078384399414" w:lineRule="auto"/>
        <w:ind w:left="14.618377685546875" w:right="42.762451171875" w:firstLine="0"/>
        <w:jc w:val="both"/>
        <w:rPr>
          <w:i w:val="1"/>
          <w:iCs w:val="1"/>
          <w:sz w:val="24"/>
          <w:szCs w:val="24"/>
        </w:rPr>
      </w:pPr>
      <w:r w:rsidDel="00000000" w:rsidR="00000000" w:rsidRPr="00000000">
        <w:rPr>
          <w:b w:val="1"/>
          <w:bCs w:val="1"/>
          <w:sz w:val="24"/>
          <w:szCs w:val="24"/>
          <w:rtl w:val="0"/>
        </w:rPr>
        <w:t xml:space="preserve">Tabela 4: </w:t>
      </w:r>
      <w:r w:rsidDel="00000000" w:rsidR="00000000" w:rsidRPr="00000000">
        <w:rPr>
          <w:i w:val="1"/>
          <w:iCs w:val="1"/>
          <w:sz w:val="24"/>
          <w:szCs w:val="24"/>
          <w:rtl w:val="0"/>
        </w:rPr>
        <w:t xml:space="preserve">Modelos de Regressão Quasi-Poisson para Frequência de Recorrência de Pesquisadores no PIBIC-EM (2014-2024)</w:t>
      </w:r>
    </w:p>
    <w:tbl>
      <w:tblPr>
        <w:tblStyle w:val="Table4"/>
        <w:tblW w:w="9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65"/>
        <w:gridCol w:w="1440"/>
        <w:gridCol w:w="1440"/>
        <w:gridCol w:w="1440"/>
        <w:gridCol w:w="1440"/>
        <w:tblGridChange w:id="0">
          <w:tblGrid>
            <w:gridCol w:w="3765"/>
            <w:gridCol w:w="1440"/>
            <w:gridCol w:w="1440"/>
            <w:gridCol w:w="1440"/>
            <w:gridCol w:w="1440"/>
          </w:tblGrid>
        </w:tblGridChange>
      </w:tblGrid>
      <w:tr>
        <w:trPr>
          <w:cantSplit w:val="0"/>
          <w:trHeight w:val="144" w:hRule="atLeast"/>
          <w:tblHeader w:val="0"/>
        </w:trPr>
        <w:tc>
          <w:tcPr>
            <w:tcBorders>
              <w:top w:color="1f1f1f" w:space="0" w:sz="12" w:val="single"/>
              <w:bottom w:color="1f1f1f" w:space="0" w:sz="8" w:val="single"/>
            </w:tcBorders>
            <w:tcMar>
              <w:top w:w="0.0" w:type="dxa"/>
              <w:left w:w="0.0" w:type="dxa"/>
              <w:bottom w:w="0.0" w:type="dxa"/>
              <w:right w:w="0.0" w:type="dxa"/>
            </w:tcMar>
            <w:vAlign w:val="center"/>
          </w:tcPr>
          <w:p w:rsidR="00000000" w:rsidDel="00000000" w:rsidP="00000000" w:rsidRDefault="00000000" w:rsidRPr="00000000" w14:paraId="00000168">
            <w:pPr>
              <w:widowControl w:val="0"/>
              <w:spacing w:after="0" w:line="240" w:lineRule="auto"/>
              <w:jc w:val="both"/>
              <w:rPr>
                <w:color w:val="1f1f1f"/>
                <w:sz w:val="24"/>
                <w:szCs w:val="24"/>
              </w:rPr>
            </w:pPr>
            <w:r w:rsidDel="00000000" w:rsidR="00000000" w:rsidRPr="00000000">
              <w:rPr>
                <w:b w:val="1"/>
                <w:bCs w:val="1"/>
                <w:color w:val="1f1f1f"/>
                <w:sz w:val="24"/>
                <w:szCs w:val="24"/>
                <w:rtl w:val="0"/>
              </w:rPr>
              <w:t xml:space="preserve">Variáveis Preditoras</w:t>
            </w:r>
            <w:r w:rsidDel="00000000" w:rsidR="00000000" w:rsidRPr="00000000">
              <w:rPr>
                <w:rtl w:val="0"/>
              </w:rPr>
            </w:r>
          </w:p>
        </w:tc>
        <w:tc>
          <w:tcPr>
            <w:tcBorders>
              <w:top w:color="1f1f1f" w:space="0" w:sz="12" w:val="single"/>
              <w:bottom w:color="1f1f1f" w:space="0" w:sz="8" w:val="single"/>
            </w:tcBorders>
            <w:tcMar>
              <w:top w:w="0.0" w:type="dxa"/>
              <w:left w:w="0.0" w:type="dxa"/>
              <w:bottom w:w="0.0" w:type="dxa"/>
              <w:right w:w="0.0" w:type="dxa"/>
            </w:tcMar>
            <w:vAlign w:val="center"/>
          </w:tcPr>
          <w:p w:rsidR="00000000" w:rsidDel="00000000" w:rsidP="00000000" w:rsidRDefault="00000000" w:rsidRPr="00000000" w14:paraId="00000169">
            <w:pPr>
              <w:widowControl w:val="0"/>
              <w:spacing w:after="0" w:line="240" w:lineRule="auto"/>
              <w:jc w:val="center"/>
              <w:rPr>
                <w:color w:val="1f1f1f"/>
                <w:sz w:val="24"/>
                <w:szCs w:val="24"/>
              </w:rPr>
            </w:pPr>
            <w:r w:rsidDel="00000000" w:rsidR="00000000" w:rsidRPr="00000000">
              <w:rPr>
                <w:b w:val="1"/>
                <w:bCs w:val="1"/>
                <w:color w:val="1f1f1f"/>
                <w:sz w:val="24"/>
                <w:szCs w:val="24"/>
                <w:rtl w:val="0"/>
              </w:rPr>
              <w:t xml:space="preserve">Modelo 1</w:t>
            </w:r>
            <w:r w:rsidDel="00000000" w:rsidR="00000000" w:rsidRPr="00000000">
              <w:rPr>
                <w:rtl w:val="0"/>
              </w:rPr>
            </w:r>
          </w:p>
        </w:tc>
        <w:tc>
          <w:tcPr>
            <w:tcBorders>
              <w:top w:color="1f1f1f" w:space="0" w:sz="12" w:val="single"/>
              <w:bottom w:color="1f1f1f" w:space="0" w:sz="8" w:val="single"/>
            </w:tcBorders>
            <w:tcMar>
              <w:top w:w="0.0" w:type="dxa"/>
              <w:left w:w="0.0" w:type="dxa"/>
              <w:bottom w:w="0.0" w:type="dxa"/>
              <w:right w:w="0.0" w:type="dxa"/>
            </w:tcMar>
            <w:vAlign w:val="center"/>
          </w:tcPr>
          <w:p w:rsidR="00000000" w:rsidDel="00000000" w:rsidP="00000000" w:rsidRDefault="00000000" w:rsidRPr="00000000" w14:paraId="0000016A">
            <w:pPr>
              <w:widowControl w:val="0"/>
              <w:spacing w:after="0" w:line="240" w:lineRule="auto"/>
              <w:jc w:val="center"/>
              <w:rPr>
                <w:color w:val="1f1f1f"/>
                <w:sz w:val="24"/>
                <w:szCs w:val="24"/>
              </w:rPr>
            </w:pPr>
            <w:r w:rsidDel="00000000" w:rsidR="00000000" w:rsidRPr="00000000">
              <w:rPr>
                <w:b w:val="1"/>
                <w:bCs w:val="1"/>
                <w:color w:val="1f1f1f"/>
                <w:sz w:val="24"/>
                <w:szCs w:val="24"/>
                <w:rtl w:val="0"/>
              </w:rPr>
              <w:t xml:space="preserve">Modelo 2</w:t>
            </w:r>
            <w:r w:rsidDel="00000000" w:rsidR="00000000" w:rsidRPr="00000000">
              <w:rPr>
                <w:rtl w:val="0"/>
              </w:rPr>
            </w:r>
          </w:p>
        </w:tc>
        <w:tc>
          <w:tcPr>
            <w:tcBorders>
              <w:top w:color="1f1f1f" w:space="0" w:sz="12" w:val="single"/>
              <w:bottom w:color="1f1f1f" w:space="0" w:sz="8" w:val="single"/>
            </w:tcBorders>
            <w:tcMar>
              <w:top w:w="0.0" w:type="dxa"/>
              <w:left w:w="0.0" w:type="dxa"/>
              <w:bottom w:w="0.0" w:type="dxa"/>
              <w:right w:w="0.0" w:type="dxa"/>
            </w:tcMar>
            <w:vAlign w:val="center"/>
          </w:tcPr>
          <w:p w:rsidR="00000000" w:rsidDel="00000000" w:rsidP="00000000" w:rsidRDefault="00000000" w:rsidRPr="00000000" w14:paraId="0000016B">
            <w:pPr>
              <w:widowControl w:val="0"/>
              <w:spacing w:after="0" w:line="240" w:lineRule="auto"/>
              <w:jc w:val="center"/>
              <w:rPr>
                <w:color w:val="1f1f1f"/>
                <w:sz w:val="24"/>
                <w:szCs w:val="24"/>
              </w:rPr>
            </w:pPr>
            <w:r w:rsidDel="00000000" w:rsidR="00000000" w:rsidRPr="00000000">
              <w:rPr>
                <w:b w:val="1"/>
                <w:bCs w:val="1"/>
                <w:color w:val="1f1f1f"/>
                <w:sz w:val="24"/>
                <w:szCs w:val="24"/>
                <w:rtl w:val="0"/>
              </w:rPr>
              <w:t xml:space="preserve">Modelo 3</w:t>
            </w:r>
            <w:r w:rsidDel="00000000" w:rsidR="00000000" w:rsidRPr="00000000">
              <w:rPr>
                <w:rtl w:val="0"/>
              </w:rPr>
            </w:r>
          </w:p>
        </w:tc>
        <w:tc>
          <w:tcPr>
            <w:tcBorders>
              <w:top w:color="1f1f1f" w:space="0" w:sz="12" w:val="single"/>
              <w:bottom w:color="1f1f1f" w:space="0" w:sz="8" w:val="single"/>
            </w:tcBorders>
            <w:tcMar>
              <w:top w:w="0.0" w:type="dxa"/>
              <w:left w:w="0.0" w:type="dxa"/>
              <w:bottom w:w="0.0" w:type="dxa"/>
              <w:right w:w="0.0" w:type="dxa"/>
            </w:tcMar>
            <w:vAlign w:val="center"/>
          </w:tcPr>
          <w:p w:rsidR="00000000" w:rsidDel="00000000" w:rsidP="00000000" w:rsidRDefault="00000000" w:rsidRPr="00000000" w14:paraId="0000016C">
            <w:pPr>
              <w:widowControl w:val="0"/>
              <w:spacing w:after="0" w:line="240" w:lineRule="auto"/>
              <w:jc w:val="center"/>
              <w:rPr>
                <w:color w:val="1f1f1f"/>
                <w:sz w:val="24"/>
                <w:szCs w:val="24"/>
              </w:rPr>
            </w:pPr>
            <w:r w:rsidDel="00000000" w:rsidR="00000000" w:rsidRPr="00000000">
              <w:rPr>
                <w:b w:val="1"/>
                <w:bCs w:val="1"/>
                <w:color w:val="1f1f1f"/>
                <w:sz w:val="24"/>
                <w:szCs w:val="24"/>
                <w:rtl w:val="0"/>
              </w:rPr>
              <w:t xml:space="preserve">Modelo 4</w:t>
            </w:r>
            <w:r w:rsidDel="00000000" w:rsidR="00000000" w:rsidRPr="00000000">
              <w:rPr>
                <w:rtl w:val="0"/>
              </w:rPr>
            </w:r>
          </w:p>
        </w:tc>
      </w:tr>
      <w:tr>
        <w:trPr>
          <w:cantSplit w:val="0"/>
          <w:trHeight w:val="144" w:hRule="atLeast"/>
          <w:tblHeader w:val="0"/>
        </w:trPr>
        <w:tc>
          <w:tcPr>
            <w:tcBorders>
              <w:top w:color="1f1f1f" w:space="0" w:sz="8" w:val="single"/>
            </w:tcBorders>
            <w:tcMar>
              <w:top w:w="0.0" w:type="dxa"/>
              <w:left w:w="0.0" w:type="dxa"/>
              <w:bottom w:w="0.0" w:type="dxa"/>
              <w:right w:w="0.0" w:type="dxa"/>
            </w:tcMar>
            <w:vAlign w:val="center"/>
          </w:tcPr>
          <w:p w:rsidR="00000000" w:rsidDel="00000000" w:rsidP="00000000" w:rsidRDefault="00000000" w:rsidRPr="00000000" w14:paraId="0000016D">
            <w:pPr>
              <w:widowControl w:val="0"/>
              <w:spacing w:after="0" w:line="240" w:lineRule="auto"/>
              <w:jc w:val="both"/>
              <w:rPr>
                <w:color w:val="1f1f1f"/>
                <w:sz w:val="24"/>
                <w:szCs w:val="24"/>
              </w:rPr>
            </w:pPr>
            <w:r w:rsidDel="00000000" w:rsidR="00000000" w:rsidRPr="00000000">
              <w:rPr>
                <w:b w:val="1"/>
                <w:bCs w:val="1"/>
                <w:color w:val="1f1f1f"/>
                <w:sz w:val="24"/>
                <w:szCs w:val="24"/>
                <w:rtl w:val="0"/>
              </w:rPr>
              <w:t xml:space="preserve">Intercepto</w:t>
            </w:r>
            <w:r w:rsidDel="00000000" w:rsidR="00000000" w:rsidRPr="00000000">
              <w:rPr>
                <w:rtl w:val="0"/>
              </w:rPr>
            </w:r>
          </w:p>
        </w:tc>
        <w:tc>
          <w:tcPr>
            <w:tcBorders>
              <w:top w:color="1f1f1f" w:space="0" w:sz="8" w:val="single"/>
            </w:tcBorders>
            <w:tcMar>
              <w:top w:w="0.0" w:type="dxa"/>
              <w:left w:w="0.0" w:type="dxa"/>
              <w:bottom w:w="0.0" w:type="dxa"/>
              <w:right w:w="0.0" w:type="dxa"/>
            </w:tcMar>
            <w:vAlign w:val="center"/>
          </w:tcPr>
          <w:p w:rsidR="00000000" w:rsidDel="00000000" w:rsidP="00000000" w:rsidRDefault="00000000" w:rsidRPr="00000000" w14:paraId="0000016E">
            <w:pPr>
              <w:widowControl w:val="0"/>
              <w:spacing w:after="0" w:line="240" w:lineRule="auto"/>
              <w:jc w:val="center"/>
              <w:rPr>
                <w:color w:val="1f1f1f"/>
                <w:sz w:val="24"/>
                <w:szCs w:val="24"/>
              </w:rPr>
            </w:pPr>
            <w:r w:rsidDel="00000000" w:rsidR="00000000" w:rsidRPr="00000000">
              <w:rPr>
                <w:color w:val="1f1f1f"/>
                <w:sz w:val="24"/>
                <w:szCs w:val="24"/>
                <w:rtl w:val="0"/>
              </w:rPr>
              <w:t xml:space="preserve">1.910***</w:t>
            </w:r>
          </w:p>
        </w:tc>
        <w:tc>
          <w:tcPr>
            <w:tcBorders>
              <w:top w:color="1f1f1f" w:space="0" w:sz="8" w:val="single"/>
            </w:tcBorders>
            <w:tcMar>
              <w:top w:w="0.0" w:type="dxa"/>
              <w:left w:w="0.0" w:type="dxa"/>
              <w:bottom w:w="0.0" w:type="dxa"/>
              <w:right w:w="0.0" w:type="dxa"/>
            </w:tcMar>
            <w:vAlign w:val="center"/>
          </w:tcPr>
          <w:p w:rsidR="00000000" w:rsidDel="00000000" w:rsidP="00000000" w:rsidRDefault="00000000" w:rsidRPr="00000000" w14:paraId="0000016F">
            <w:pPr>
              <w:widowControl w:val="0"/>
              <w:spacing w:after="0" w:line="240" w:lineRule="auto"/>
              <w:jc w:val="center"/>
              <w:rPr>
                <w:color w:val="1f1f1f"/>
                <w:sz w:val="24"/>
                <w:szCs w:val="24"/>
              </w:rPr>
            </w:pPr>
            <w:r w:rsidDel="00000000" w:rsidR="00000000" w:rsidRPr="00000000">
              <w:rPr>
                <w:color w:val="1f1f1f"/>
                <w:sz w:val="24"/>
                <w:szCs w:val="24"/>
                <w:rtl w:val="0"/>
              </w:rPr>
              <w:t xml:space="preserve">1.843***</w:t>
            </w:r>
          </w:p>
        </w:tc>
        <w:tc>
          <w:tcPr>
            <w:tcBorders>
              <w:top w:color="1f1f1f" w:space="0" w:sz="8" w:val="single"/>
            </w:tcBorders>
            <w:tcMar>
              <w:top w:w="0.0" w:type="dxa"/>
              <w:left w:w="0.0" w:type="dxa"/>
              <w:bottom w:w="0.0" w:type="dxa"/>
              <w:right w:w="0.0" w:type="dxa"/>
            </w:tcMar>
            <w:vAlign w:val="center"/>
          </w:tcPr>
          <w:p w:rsidR="00000000" w:rsidDel="00000000" w:rsidP="00000000" w:rsidRDefault="00000000" w:rsidRPr="00000000" w14:paraId="00000170">
            <w:pPr>
              <w:widowControl w:val="0"/>
              <w:spacing w:after="0" w:line="240" w:lineRule="auto"/>
              <w:jc w:val="center"/>
              <w:rPr>
                <w:color w:val="1f1f1f"/>
                <w:sz w:val="24"/>
                <w:szCs w:val="24"/>
              </w:rPr>
            </w:pPr>
            <w:r w:rsidDel="00000000" w:rsidR="00000000" w:rsidRPr="00000000">
              <w:rPr>
                <w:color w:val="1f1f1f"/>
                <w:sz w:val="24"/>
                <w:szCs w:val="24"/>
                <w:rtl w:val="0"/>
              </w:rPr>
              <w:t xml:space="preserve">1.567**</w:t>
            </w:r>
          </w:p>
        </w:tc>
        <w:tc>
          <w:tcPr>
            <w:tcBorders>
              <w:top w:color="1f1f1f" w:space="0" w:sz="8" w:val="single"/>
            </w:tcBorders>
            <w:tcMar>
              <w:top w:w="0.0" w:type="dxa"/>
              <w:left w:w="0.0" w:type="dxa"/>
              <w:bottom w:w="0.0" w:type="dxa"/>
              <w:right w:w="0.0" w:type="dxa"/>
            </w:tcMar>
            <w:vAlign w:val="center"/>
          </w:tcPr>
          <w:p w:rsidR="00000000" w:rsidDel="00000000" w:rsidP="00000000" w:rsidRDefault="00000000" w:rsidRPr="00000000" w14:paraId="00000171">
            <w:pPr>
              <w:widowControl w:val="0"/>
              <w:spacing w:after="0" w:line="240" w:lineRule="auto"/>
              <w:jc w:val="center"/>
              <w:rPr>
                <w:color w:val="1f1f1f"/>
                <w:sz w:val="24"/>
                <w:szCs w:val="24"/>
              </w:rPr>
            </w:pPr>
            <w:r w:rsidDel="00000000" w:rsidR="00000000" w:rsidRPr="00000000">
              <w:rPr>
                <w:color w:val="1f1f1f"/>
                <w:sz w:val="24"/>
                <w:szCs w:val="24"/>
                <w:rtl w:val="0"/>
              </w:rPr>
              <w:t xml:space="preserve">1.586**</w:t>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172">
            <w:pPr>
              <w:widowControl w:val="0"/>
              <w:spacing w:after="0" w:line="240" w:lineRule="auto"/>
              <w:jc w:val="both"/>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73">
            <w:pPr>
              <w:widowControl w:val="0"/>
              <w:spacing w:after="0" w:line="240" w:lineRule="auto"/>
              <w:jc w:val="center"/>
              <w:rPr>
                <w:color w:val="1f1f1f"/>
                <w:sz w:val="24"/>
                <w:szCs w:val="24"/>
              </w:rPr>
            </w:pPr>
            <w:r w:rsidDel="00000000" w:rsidR="00000000" w:rsidRPr="00000000">
              <w:rPr>
                <w:color w:val="1f1f1f"/>
                <w:sz w:val="24"/>
                <w:szCs w:val="24"/>
                <w:rtl w:val="0"/>
              </w:rPr>
              <w:t xml:space="preserve">(0.036)</w:t>
            </w:r>
          </w:p>
        </w:tc>
        <w:tc>
          <w:tcPr>
            <w:tcMar>
              <w:top w:w="0.0" w:type="dxa"/>
              <w:left w:w="0.0" w:type="dxa"/>
              <w:bottom w:w="0.0" w:type="dxa"/>
              <w:right w:w="0.0" w:type="dxa"/>
            </w:tcMar>
            <w:vAlign w:val="center"/>
          </w:tcPr>
          <w:p w:rsidR="00000000" w:rsidDel="00000000" w:rsidP="00000000" w:rsidRDefault="00000000" w:rsidRPr="00000000" w14:paraId="00000174">
            <w:pPr>
              <w:widowControl w:val="0"/>
              <w:spacing w:after="0" w:line="240" w:lineRule="auto"/>
              <w:jc w:val="center"/>
              <w:rPr>
                <w:color w:val="1f1f1f"/>
                <w:sz w:val="24"/>
                <w:szCs w:val="24"/>
              </w:rPr>
            </w:pPr>
            <w:r w:rsidDel="00000000" w:rsidR="00000000" w:rsidRPr="00000000">
              <w:rPr>
                <w:color w:val="1f1f1f"/>
                <w:sz w:val="24"/>
                <w:szCs w:val="24"/>
                <w:rtl w:val="0"/>
              </w:rPr>
              <w:t xml:space="preserve">(0.041)</w:t>
            </w:r>
          </w:p>
        </w:tc>
        <w:tc>
          <w:tcPr>
            <w:tcMar>
              <w:top w:w="0.0" w:type="dxa"/>
              <w:left w:w="0.0" w:type="dxa"/>
              <w:bottom w:w="0.0" w:type="dxa"/>
              <w:right w:w="0.0" w:type="dxa"/>
            </w:tcMar>
            <w:vAlign w:val="center"/>
          </w:tcPr>
          <w:p w:rsidR="00000000" w:rsidDel="00000000" w:rsidP="00000000" w:rsidRDefault="00000000" w:rsidRPr="00000000" w14:paraId="00000175">
            <w:pPr>
              <w:widowControl w:val="0"/>
              <w:spacing w:after="0" w:line="240" w:lineRule="auto"/>
              <w:jc w:val="center"/>
              <w:rPr>
                <w:color w:val="1f1f1f"/>
                <w:sz w:val="24"/>
                <w:szCs w:val="24"/>
              </w:rPr>
            </w:pPr>
            <w:r w:rsidDel="00000000" w:rsidR="00000000" w:rsidRPr="00000000">
              <w:rPr>
                <w:color w:val="1f1f1f"/>
                <w:sz w:val="24"/>
                <w:szCs w:val="24"/>
                <w:rtl w:val="0"/>
              </w:rPr>
              <w:t xml:space="preserve">(0.148)</w:t>
            </w:r>
          </w:p>
        </w:tc>
        <w:tc>
          <w:tcPr>
            <w:tcMar>
              <w:top w:w="0.0" w:type="dxa"/>
              <w:left w:w="0.0" w:type="dxa"/>
              <w:bottom w:w="0.0" w:type="dxa"/>
              <w:right w:w="0.0" w:type="dxa"/>
            </w:tcMar>
            <w:vAlign w:val="center"/>
          </w:tcPr>
          <w:p w:rsidR="00000000" w:rsidDel="00000000" w:rsidP="00000000" w:rsidRDefault="00000000" w:rsidRPr="00000000" w14:paraId="00000176">
            <w:pPr>
              <w:widowControl w:val="0"/>
              <w:spacing w:after="0" w:line="240" w:lineRule="auto"/>
              <w:jc w:val="center"/>
              <w:rPr>
                <w:color w:val="1f1f1f"/>
                <w:sz w:val="24"/>
                <w:szCs w:val="24"/>
              </w:rPr>
            </w:pPr>
            <w:r w:rsidDel="00000000" w:rsidR="00000000" w:rsidRPr="00000000">
              <w:rPr>
                <w:color w:val="1f1f1f"/>
                <w:sz w:val="24"/>
                <w:szCs w:val="24"/>
                <w:rtl w:val="0"/>
              </w:rPr>
              <w:t xml:space="preserve">(0.147)</w:t>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177">
            <w:pPr>
              <w:widowControl w:val="0"/>
              <w:spacing w:after="0" w:line="240" w:lineRule="auto"/>
              <w:jc w:val="both"/>
              <w:rPr>
                <w:color w:val="1f1f1f"/>
                <w:sz w:val="24"/>
                <w:szCs w:val="24"/>
              </w:rPr>
            </w:pPr>
            <w:r w:rsidDel="00000000" w:rsidR="00000000" w:rsidRPr="00000000">
              <w:rPr>
                <w:b w:val="1"/>
                <w:bCs w:val="1"/>
                <w:color w:val="1f1f1f"/>
                <w:sz w:val="24"/>
                <w:szCs w:val="24"/>
                <w:rtl w:val="0"/>
              </w:rPr>
              <w:t xml:space="preserve">Categoria Administrativa</w:t>
            </w:r>
            <w:r w:rsidDel="00000000" w:rsidR="00000000" w:rsidRPr="00000000">
              <w:rPr>
                <w:color w:val="1f1f1f"/>
                <w:sz w:val="24"/>
                <w:szCs w:val="24"/>
                <w:rtl w:val="0"/>
              </w:rPr>
              <w:t xml:space="preserve"> </w:t>
            </w:r>
            <w:r w:rsidDel="00000000" w:rsidR="00000000" w:rsidRPr="00000000">
              <w:rPr>
                <w:i w:val="1"/>
                <w:iCs w:val="1"/>
                <w:color w:val="1f1f1f"/>
                <w:sz w:val="24"/>
                <w:szCs w:val="24"/>
                <w:rtl w:val="0"/>
              </w:rPr>
              <w:t xml:space="preserve">(Ref: Univ. Federal)</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78">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79">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7A">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7B">
            <w:pPr>
              <w:widowControl w:val="0"/>
              <w:spacing w:after="0" w:line="240" w:lineRule="auto"/>
              <w:jc w:val="center"/>
              <w:rPr>
                <w:color w:val="1f1f1f"/>
                <w:sz w:val="24"/>
                <w:szCs w:val="24"/>
              </w:rPr>
            </w:pPr>
            <w:r w:rsidDel="00000000" w:rsidR="00000000" w:rsidRPr="00000000">
              <w:rPr>
                <w:rtl w:val="0"/>
              </w:rPr>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17C">
            <w:pPr>
              <w:widowControl w:val="0"/>
              <w:spacing w:after="0" w:line="240" w:lineRule="auto"/>
              <w:jc w:val="both"/>
              <w:rPr>
                <w:color w:val="1f1f1f"/>
                <w:sz w:val="24"/>
                <w:szCs w:val="24"/>
              </w:rPr>
            </w:pPr>
            <w:r w:rsidDel="00000000" w:rsidR="00000000" w:rsidRPr="00000000">
              <w:rPr>
                <w:color w:val="1f1f1f"/>
                <w:sz w:val="24"/>
                <w:szCs w:val="24"/>
                <w:rtl w:val="0"/>
              </w:rPr>
              <w:t xml:space="preserve">    Especial</w:t>
            </w:r>
          </w:p>
        </w:tc>
        <w:tc>
          <w:tcPr>
            <w:tcMar>
              <w:top w:w="0.0" w:type="dxa"/>
              <w:left w:w="0.0" w:type="dxa"/>
              <w:bottom w:w="0.0" w:type="dxa"/>
              <w:right w:w="0.0" w:type="dxa"/>
            </w:tcMar>
            <w:vAlign w:val="center"/>
          </w:tcPr>
          <w:p w:rsidR="00000000" w:rsidDel="00000000" w:rsidP="00000000" w:rsidRDefault="00000000" w:rsidRPr="00000000" w14:paraId="0000017D">
            <w:pPr>
              <w:widowControl w:val="0"/>
              <w:spacing w:after="0" w:line="240" w:lineRule="auto"/>
              <w:jc w:val="center"/>
              <w:rPr>
                <w:color w:val="1f1f1f"/>
                <w:sz w:val="24"/>
                <w:szCs w:val="24"/>
              </w:rPr>
            </w:pPr>
            <w:r w:rsidDel="00000000" w:rsidR="00000000" w:rsidRPr="00000000">
              <w:rPr>
                <w:color w:val="1f1f1f"/>
                <w:sz w:val="24"/>
                <w:szCs w:val="24"/>
                <w:rtl w:val="0"/>
              </w:rPr>
              <w:t xml:space="preserve">1.000</w:t>
            </w:r>
          </w:p>
        </w:tc>
        <w:tc>
          <w:tcPr>
            <w:tcMar>
              <w:top w:w="0.0" w:type="dxa"/>
              <w:left w:w="0.0" w:type="dxa"/>
              <w:bottom w:w="0.0" w:type="dxa"/>
              <w:right w:w="0.0" w:type="dxa"/>
            </w:tcMar>
            <w:vAlign w:val="center"/>
          </w:tcPr>
          <w:p w:rsidR="00000000" w:rsidDel="00000000" w:rsidP="00000000" w:rsidRDefault="00000000" w:rsidRPr="00000000" w14:paraId="0000017E">
            <w:pPr>
              <w:widowControl w:val="0"/>
              <w:spacing w:after="0" w:line="240" w:lineRule="auto"/>
              <w:jc w:val="center"/>
              <w:rPr>
                <w:color w:val="1f1f1f"/>
                <w:sz w:val="24"/>
                <w:szCs w:val="24"/>
              </w:rPr>
            </w:pPr>
            <w:r w:rsidDel="00000000" w:rsidR="00000000" w:rsidRPr="00000000">
              <w:rPr>
                <w:color w:val="1f1f1f"/>
                <w:sz w:val="24"/>
                <w:szCs w:val="24"/>
                <w:rtl w:val="0"/>
              </w:rPr>
              <w:t xml:space="preserve">0.970</w:t>
            </w:r>
          </w:p>
        </w:tc>
        <w:tc>
          <w:tcPr>
            <w:tcMar>
              <w:top w:w="0.0" w:type="dxa"/>
              <w:left w:w="0.0" w:type="dxa"/>
              <w:bottom w:w="0.0" w:type="dxa"/>
              <w:right w:w="0.0" w:type="dxa"/>
            </w:tcMar>
            <w:vAlign w:val="center"/>
          </w:tcPr>
          <w:p w:rsidR="00000000" w:rsidDel="00000000" w:rsidP="00000000" w:rsidRDefault="00000000" w:rsidRPr="00000000" w14:paraId="0000017F">
            <w:pPr>
              <w:widowControl w:val="0"/>
              <w:spacing w:after="0" w:line="240" w:lineRule="auto"/>
              <w:jc w:val="center"/>
              <w:rPr>
                <w:color w:val="1f1f1f"/>
                <w:sz w:val="24"/>
                <w:szCs w:val="24"/>
              </w:rPr>
            </w:pPr>
            <w:r w:rsidDel="00000000" w:rsidR="00000000" w:rsidRPr="00000000">
              <w:rPr>
                <w:color w:val="1f1f1f"/>
                <w:sz w:val="24"/>
                <w:szCs w:val="24"/>
                <w:rtl w:val="0"/>
              </w:rPr>
              <w:t xml:space="preserve">0.996</w:t>
            </w:r>
          </w:p>
        </w:tc>
        <w:tc>
          <w:tcPr>
            <w:tcMar>
              <w:top w:w="0.0" w:type="dxa"/>
              <w:left w:w="0.0" w:type="dxa"/>
              <w:bottom w:w="0.0" w:type="dxa"/>
              <w:right w:w="0.0" w:type="dxa"/>
            </w:tcMar>
            <w:vAlign w:val="center"/>
          </w:tcPr>
          <w:p w:rsidR="00000000" w:rsidDel="00000000" w:rsidP="00000000" w:rsidRDefault="00000000" w:rsidRPr="00000000" w14:paraId="00000180">
            <w:pPr>
              <w:widowControl w:val="0"/>
              <w:spacing w:after="0" w:line="240" w:lineRule="auto"/>
              <w:jc w:val="center"/>
              <w:rPr>
                <w:color w:val="1f1f1f"/>
                <w:sz w:val="24"/>
                <w:szCs w:val="24"/>
              </w:rPr>
            </w:pPr>
            <w:r w:rsidDel="00000000" w:rsidR="00000000" w:rsidRPr="00000000">
              <w:rPr>
                <w:color w:val="1f1f1f"/>
                <w:sz w:val="24"/>
                <w:szCs w:val="24"/>
                <w:rtl w:val="0"/>
              </w:rPr>
              <w:t xml:space="preserve">1.049</w:t>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181">
            <w:pPr>
              <w:widowControl w:val="0"/>
              <w:spacing w:after="0" w:line="240" w:lineRule="auto"/>
              <w:jc w:val="both"/>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82">
            <w:pPr>
              <w:widowControl w:val="0"/>
              <w:spacing w:after="0" w:line="240" w:lineRule="auto"/>
              <w:jc w:val="center"/>
              <w:rPr>
                <w:color w:val="1f1f1f"/>
                <w:sz w:val="24"/>
                <w:szCs w:val="24"/>
              </w:rPr>
            </w:pPr>
            <w:r w:rsidDel="00000000" w:rsidR="00000000" w:rsidRPr="00000000">
              <w:rPr>
                <w:color w:val="1f1f1f"/>
                <w:sz w:val="24"/>
                <w:szCs w:val="24"/>
                <w:rtl w:val="0"/>
              </w:rPr>
              <w:t xml:space="preserve">(0.158)</w:t>
            </w:r>
          </w:p>
        </w:tc>
        <w:tc>
          <w:tcPr>
            <w:tcMar>
              <w:top w:w="0.0" w:type="dxa"/>
              <w:left w:w="0.0" w:type="dxa"/>
              <w:bottom w:w="0.0" w:type="dxa"/>
              <w:right w:w="0.0" w:type="dxa"/>
            </w:tcMar>
            <w:vAlign w:val="center"/>
          </w:tcPr>
          <w:p w:rsidR="00000000" w:rsidDel="00000000" w:rsidP="00000000" w:rsidRDefault="00000000" w:rsidRPr="00000000" w14:paraId="00000183">
            <w:pPr>
              <w:widowControl w:val="0"/>
              <w:spacing w:after="0" w:line="240" w:lineRule="auto"/>
              <w:jc w:val="center"/>
              <w:rPr>
                <w:color w:val="1f1f1f"/>
                <w:sz w:val="24"/>
                <w:szCs w:val="24"/>
              </w:rPr>
            </w:pPr>
            <w:r w:rsidDel="00000000" w:rsidR="00000000" w:rsidRPr="00000000">
              <w:rPr>
                <w:color w:val="1f1f1f"/>
                <w:sz w:val="24"/>
                <w:szCs w:val="24"/>
                <w:rtl w:val="0"/>
              </w:rPr>
              <w:t xml:space="preserve">(0.160)</w:t>
            </w:r>
          </w:p>
        </w:tc>
        <w:tc>
          <w:tcPr>
            <w:tcMar>
              <w:top w:w="0.0" w:type="dxa"/>
              <w:left w:w="0.0" w:type="dxa"/>
              <w:bottom w:w="0.0" w:type="dxa"/>
              <w:right w:w="0.0" w:type="dxa"/>
            </w:tcMar>
            <w:vAlign w:val="center"/>
          </w:tcPr>
          <w:p w:rsidR="00000000" w:rsidDel="00000000" w:rsidP="00000000" w:rsidRDefault="00000000" w:rsidRPr="00000000" w14:paraId="00000184">
            <w:pPr>
              <w:widowControl w:val="0"/>
              <w:spacing w:after="0" w:line="240" w:lineRule="auto"/>
              <w:jc w:val="center"/>
              <w:rPr>
                <w:color w:val="1f1f1f"/>
                <w:sz w:val="24"/>
                <w:szCs w:val="24"/>
              </w:rPr>
            </w:pPr>
            <w:r w:rsidDel="00000000" w:rsidR="00000000" w:rsidRPr="00000000">
              <w:rPr>
                <w:color w:val="1f1f1f"/>
                <w:sz w:val="24"/>
                <w:szCs w:val="24"/>
                <w:rtl w:val="0"/>
              </w:rPr>
              <w:t xml:space="preserve">(0.167)</w:t>
            </w:r>
          </w:p>
        </w:tc>
        <w:tc>
          <w:tcPr>
            <w:tcMar>
              <w:top w:w="0.0" w:type="dxa"/>
              <w:left w:w="0.0" w:type="dxa"/>
              <w:bottom w:w="0.0" w:type="dxa"/>
              <w:right w:w="0.0" w:type="dxa"/>
            </w:tcMar>
            <w:vAlign w:val="center"/>
          </w:tcPr>
          <w:p w:rsidR="00000000" w:rsidDel="00000000" w:rsidP="00000000" w:rsidRDefault="00000000" w:rsidRPr="00000000" w14:paraId="00000185">
            <w:pPr>
              <w:widowControl w:val="0"/>
              <w:spacing w:after="0" w:line="240" w:lineRule="auto"/>
              <w:jc w:val="center"/>
              <w:rPr>
                <w:color w:val="1f1f1f"/>
                <w:sz w:val="24"/>
                <w:szCs w:val="24"/>
              </w:rPr>
            </w:pPr>
            <w:r w:rsidDel="00000000" w:rsidR="00000000" w:rsidRPr="00000000">
              <w:rPr>
                <w:color w:val="1f1f1f"/>
                <w:sz w:val="24"/>
                <w:szCs w:val="24"/>
                <w:rtl w:val="0"/>
              </w:rPr>
              <w:t xml:space="preserve">(0.168)</w:t>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186">
            <w:pPr>
              <w:widowControl w:val="0"/>
              <w:spacing w:after="0" w:line="240" w:lineRule="auto"/>
              <w:jc w:val="both"/>
              <w:rPr>
                <w:color w:val="1f1f1f"/>
                <w:sz w:val="24"/>
                <w:szCs w:val="24"/>
              </w:rPr>
            </w:pPr>
            <w:r w:rsidDel="00000000" w:rsidR="00000000" w:rsidRPr="00000000">
              <w:rPr>
                <w:color w:val="1f1f1f"/>
                <w:sz w:val="24"/>
                <w:szCs w:val="24"/>
                <w:rtl w:val="0"/>
              </w:rPr>
              <w:t xml:space="preserve">    IF/CEFET</w:t>
            </w:r>
          </w:p>
        </w:tc>
        <w:tc>
          <w:tcPr>
            <w:tcMar>
              <w:top w:w="0.0" w:type="dxa"/>
              <w:left w:w="0.0" w:type="dxa"/>
              <w:bottom w:w="0.0" w:type="dxa"/>
              <w:right w:w="0.0" w:type="dxa"/>
            </w:tcMar>
            <w:vAlign w:val="center"/>
          </w:tcPr>
          <w:p w:rsidR="00000000" w:rsidDel="00000000" w:rsidP="00000000" w:rsidRDefault="00000000" w:rsidRPr="00000000" w14:paraId="00000187">
            <w:pPr>
              <w:widowControl w:val="0"/>
              <w:spacing w:after="0" w:line="240" w:lineRule="auto"/>
              <w:jc w:val="center"/>
              <w:rPr>
                <w:color w:val="1f1f1f"/>
                <w:sz w:val="24"/>
                <w:szCs w:val="24"/>
              </w:rPr>
            </w:pPr>
            <w:r w:rsidDel="00000000" w:rsidR="00000000" w:rsidRPr="00000000">
              <w:rPr>
                <w:color w:val="1f1f1f"/>
                <w:sz w:val="24"/>
                <w:szCs w:val="24"/>
                <w:rtl w:val="0"/>
              </w:rPr>
              <w:t xml:space="preserve">1.100</w:t>
            </w:r>
          </w:p>
        </w:tc>
        <w:tc>
          <w:tcPr>
            <w:tcMar>
              <w:top w:w="0.0" w:type="dxa"/>
              <w:left w:w="0.0" w:type="dxa"/>
              <w:bottom w:w="0.0" w:type="dxa"/>
              <w:right w:w="0.0" w:type="dxa"/>
            </w:tcMar>
            <w:vAlign w:val="center"/>
          </w:tcPr>
          <w:p w:rsidR="00000000" w:rsidDel="00000000" w:rsidP="00000000" w:rsidRDefault="00000000" w:rsidRPr="00000000" w14:paraId="00000188">
            <w:pPr>
              <w:widowControl w:val="0"/>
              <w:spacing w:after="0" w:line="240" w:lineRule="auto"/>
              <w:jc w:val="center"/>
              <w:rPr>
                <w:color w:val="1f1f1f"/>
                <w:sz w:val="24"/>
                <w:szCs w:val="24"/>
              </w:rPr>
            </w:pPr>
            <w:r w:rsidDel="00000000" w:rsidR="00000000" w:rsidRPr="00000000">
              <w:rPr>
                <w:color w:val="1f1f1f"/>
                <w:sz w:val="24"/>
                <w:szCs w:val="24"/>
                <w:rtl w:val="0"/>
              </w:rPr>
              <w:t xml:space="preserve">1.110</w:t>
            </w:r>
          </w:p>
        </w:tc>
        <w:tc>
          <w:tcPr>
            <w:tcMar>
              <w:top w:w="0.0" w:type="dxa"/>
              <w:left w:w="0.0" w:type="dxa"/>
              <w:bottom w:w="0.0" w:type="dxa"/>
              <w:right w:w="0.0" w:type="dxa"/>
            </w:tcMar>
            <w:vAlign w:val="center"/>
          </w:tcPr>
          <w:p w:rsidR="00000000" w:rsidDel="00000000" w:rsidP="00000000" w:rsidRDefault="00000000" w:rsidRPr="00000000" w14:paraId="00000189">
            <w:pPr>
              <w:widowControl w:val="0"/>
              <w:spacing w:after="0" w:line="240" w:lineRule="auto"/>
              <w:jc w:val="center"/>
              <w:rPr>
                <w:color w:val="1f1f1f"/>
                <w:sz w:val="24"/>
                <w:szCs w:val="24"/>
              </w:rPr>
            </w:pPr>
            <w:r w:rsidDel="00000000" w:rsidR="00000000" w:rsidRPr="00000000">
              <w:rPr>
                <w:color w:val="1f1f1f"/>
                <w:sz w:val="24"/>
                <w:szCs w:val="24"/>
                <w:rtl w:val="0"/>
              </w:rPr>
              <w:t xml:space="preserve">1.122</w:t>
            </w:r>
          </w:p>
        </w:tc>
        <w:tc>
          <w:tcPr>
            <w:tcMar>
              <w:top w:w="0.0" w:type="dxa"/>
              <w:left w:w="0.0" w:type="dxa"/>
              <w:bottom w:w="0.0" w:type="dxa"/>
              <w:right w:w="0.0" w:type="dxa"/>
            </w:tcMar>
            <w:vAlign w:val="center"/>
          </w:tcPr>
          <w:p w:rsidR="00000000" w:rsidDel="00000000" w:rsidP="00000000" w:rsidRDefault="00000000" w:rsidRPr="00000000" w14:paraId="0000018A">
            <w:pPr>
              <w:widowControl w:val="0"/>
              <w:spacing w:after="0" w:line="240" w:lineRule="auto"/>
              <w:jc w:val="center"/>
              <w:rPr>
                <w:color w:val="1f1f1f"/>
                <w:sz w:val="24"/>
                <w:szCs w:val="24"/>
              </w:rPr>
            </w:pPr>
            <w:r w:rsidDel="00000000" w:rsidR="00000000" w:rsidRPr="00000000">
              <w:rPr>
                <w:color w:val="1f1f1f"/>
                <w:sz w:val="24"/>
                <w:szCs w:val="24"/>
                <w:rtl w:val="0"/>
              </w:rPr>
              <w:t xml:space="preserve">1.182*</w:t>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18B">
            <w:pPr>
              <w:widowControl w:val="0"/>
              <w:spacing w:after="0" w:line="240" w:lineRule="auto"/>
              <w:jc w:val="both"/>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8C">
            <w:pPr>
              <w:widowControl w:val="0"/>
              <w:spacing w:after="0" w:line="240" w:lineRule="auto"/>
              <w:jc w:val="center"/>
              <w:rPr>
                <w:color w:val="1f1f1f"/>
                <w:sz w:val="24"/>
                <w:szCs w:val="24"/>
              </w:rPr>
            </w:pPr>
            <w:r w:rsidDel="00000000" w:rsidR="00000000" w:rsidRPr="00000000">
              <w:rPr>
                <w:color w:val="1f1f1f"/>
                <w:sz w:val="24"/>
                <w:szCs w:val="24"/>
                <w:rtl w:val="0"/>
              </w:rPr>
              <w:t xml:space="preserve">(0.066)</w:t>
            </w:r>
          </w:p>
        </w:tc>
        <w:tc>
          <w:tcPr>
            <w:tcMar>
              <w:top w:w="0.0" w:type="dxa"/>
              <w:left w:w="0.0" w:type="dxa"/>
              <w:bottom w:w="0.0" w:type="dxa"/>
              <w:right w:w="0.0" w:type="dxa"/>
            </w:tcMar>
            <w:vAlign w:val="center"/>
          </w:tcPr>
          <w:p w:rsidR="00000000" w:rsidDel="00000000" w:rsidP="00000000" w:rsidRDefault="00000000" w:rsidRPr="00000000" w14:paraId="0000018D">
            <w:pPr>
              <w:widowControl w:val="0"/>
              <w:spacing w:after="0" w:line="240" w:lineRule="auto"/>
              <w:jc w:val="center"/>
              <w:rPr>
                <w:color w:val="1f1f1f"/>
                <w:sz w:val="24"/>
                <w:szCs w:val="24"/>
              </w:rPr>
            </w:pPr>
            <w:r w:rsidDel="00000000" w:rsidR="00000000" w:rsidRPr="00000000">
              <w:rPr>
                <w:color w:val="1f1f1f"/>
                <w:sz w:val="24"/>
                <w:szCs w:val="24"/>
                <w:rtl w:val="0"/>
              </w:rPr>
              <w:t xml:space="preserve">(0.067)</w:t>
            </w:r>
          </w:p>
        </w:tc>
        <w:tc>
          <w:tcPr>
            <w:tcMar>
              <w:top w:w="0.0" w:type="dxa"/>
              <w:left w:w="0.0" w:type="dxa"/>
              <w:bottom w:w="0.0" w:type="dxa"/>
              <w:right w:w="0.0" w:type="dxa"/>
            </w:tcMar>
            <w:vAlign w:val="center"/>
          </w:tcPr>
          <w:p w:rsidR="00000000" w:rsidDel="00000000" w:rsidP="00000000" w:rsidRDefault="00000000" w:rsidRPr="00000000" w14:paraId="0000018E">
            <w:pPr>
              <w:widowControl w:val="0"/>
              <w:spacing w:after="0" w:line="240" w:lineRule="auto"/>
              <w:jc w:val="center"/>
              <w:rPr>
                <w:color w:val="1f1f1f"/>
                <w:sz w:val="24"/>
                <w:szCs w:val="24"/>
              </w:rPr>
            </w:pPr>
            <w:r w:rsidDel="00000000" w:rsidR="00000000" w:rsidRPr="00000000">
              <w:rPr>
                <w:color w:val="1f1f1f"/>
                <w:sz w:val="24"/>
                <w:szCs w:val="24"/>
                <w:rtl w:val="0"/>
              </w:rPr>
              <w:t xml:space="preserve">(0.071)</w:t>
            </w:r>
          </w:p>
        </w:tc>
        <w:tc>
          <w:tcPr>
            <w:tcMar>
              <w:top w:w="0.0" w:type="dxa"/>
              <w:left w:w="0.0" w:type="dxa"/>
              <w:bottom w:w="0.0" w:type="dxa"/>
              <w:right w:w="0.0" w:type="dxa"/>
            </w:tcMar>
            <w:vAlign w:val="center"/>
          </w:tcPr>
          <w:p w:rsidR="00000000" w:rsidDel="00000000" w:rsidP="00000000" w:rsidRDefault="00000000" w:rsidRPr="00000000" w14:paraId="0000018F">
            <w:pPr>
              <w:widowControl w:val="0"/>
              <w:spacing w:after="0" w:line="240" w:lineRule="auto"/>
              <w:jc w:val="center"/>
              <w:rPr>
                <w:color w:val="1f1f1f"/>
                <w:sz w:val="24"/>
                <w:szCs w:val="24"/>
              </w:rPr>
            </w:pPr>
            <w:r w:rsidDel="00000000" w:rsidR="00000000" w:rsidRPr="00000000">
              <w:rPr>
                <w:color w:val="1f1f1f"/>
                <w:sz w:val="24"/>
                <w:szCs w:val="24"/>
                <w:rtl w:val="0"/>
              </w:rPr>
              <w:t xml:space="preserve">(0.075)</w:t>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190">
            <w:pPr>
              <w:widowControl w:val="0"/>
              <w:spacing w:after="0" w:line="240" w:lineRule="auto"/>
              <w:jc w:val="both"/>
              <w:rPr>
                <w:color w:val="1f1f1f"/>
                <w:sz w:val="24"/>
                <w:szCs w:val="24"/>
              </w:rPr>
            </w:pPr>
            <w:r w:rsidDel="00000000" w:rsidR="00000000" w:rsidRPr="00000000">
              <w:rPr>
                <w:color w:val="1f1f1f"/>
                <w:sz w:val="24"/>
                <w:szCs w:val="24"/>
                <w:rtl w:val="0"/>
              </w:rPr>
              <w:t xml:space="preserve">    Privada Com Fins Lucrativos</w:t>
            </w:r>
          </w:p>
        </w:tc>
        <w:tc>
          <w:tcPr>
            <w:tcMar>
              <w:top w:w="0.0" w:type="dxa"/>
              <w:left w:w="0.0" w:type="dxa"/>
              <w:bottom w:w="0.0" w:type="dxa"/>
              <w:right w:w="0.0" w:type="dxa"/>
            </w:tcMar>
            <w:vAlign w:val="center"/>
          </w:tcPr>
          <w:p w:rsidR="00000000" w:rsidDel="00000000" w:rsidP="00000000" w:rsidRDefault="00000000" w:rsidRPr="00000000" w14:paraId="00000191">
            <w:pPr>
              <w:widowControl w:val="0"/>
              <w:spacing w:after="0" w:line="240" w:lineRule="auto"/>
              <w:jc w:val="center"/>
              <w:rPr>
                <w:color w:val="1f1f1f"/>
                <w:sz w:val="24"/>
                <w:szCs w:val="24"/>
              </w:rPr>
            </w:pPr>
            <w:r w:rsidDel="00000000" w:rsidR="00000000" w:rsidRPr="00000000">
              <w:rPr>
                <w:color w:val="1f1f1f"/>
                <w:sz w:val="24"/>
                <w:szCs w:val="24"/>
                <w:rtl w:val="0"/>
              </w:rPr>
              <w:t xml:space="preserve">1.310*</w:t>
            </w:r>
          </w:p>
        </w:tc>
        <w:tc>
          <w:tcPr>
            <w:tcMar>
              <w:top w:w="0.0" w:type="dxa"/>
              <w:left w:w="0.0" w:type="dxa"/>
              <w:bottom w:w="0.0" w:type="dxa"/>
              <w:right w:w="0.0" w:type="dxa"/>
            </w:tcMar>
            <w:vAlign w:val="center"/>
          </w:tcPr>
          <w:p w:rsidR="00000000" w:rsidDel="00000000" w:rsidP="00000000" w:rsidRDefault="00000000" w:rsidRPr="00000000" w14:paraId="00000192">
            <w:pPr>
              <w:widowControl w:val="0"/>
              <w:spacing w:after="0" w:line="240" w:lineRule="auto"/>
              <w:jc w:val="center"/>
              <w:rPr>
                <w:color w:val="1f1f1f"/>
                <w:sz w:val="24"/>
                <w:szCs w:val="24"/>
              </w:rPr>
            </w:pPr>
            <w:r w:rsidDel="00000000" w:rsidR="00000000" w:rsidRPr="00000000">
              <w:rPr>
                <w:color w:val="1f1f1f"/>
                <w:sz w:val="24"/>
                <w:szCs w:val="24"/>
                <w:rtl w:val="0"/>
              </w:rPr>
              <w:t xml:space="preserve">1.298*</w:t>
            </w:r>
          </w:p>
        </w:tc>
        <w:tc>
          <w:tcPr>
            <w:tcMar>
              <w:top w:w="0.0" w:type="dxa"/>
              <w:left w:w="0.0" w:type="dxa"/>
              <w:bottom w:w="0.0" w:type="dxa"/>
              <w:right w:w="0.0" w:type="dxa"/>
            </w:tcMar>
            <w:vAlign w:val="center"/>
          </w:tcPr>
          <w:p w:rsidR="00000000" w:rsidDel="00000000" w:rsidP="00000000" w:rsidRDefault="00000000" w:rsidRPr="00000000" w14:paraId="00000193">
            <w:pPr>
              <w:widowControl w:val="0"/>
              <w:spacing w:after="0" w:line="240" w:lineRule="auto"/>
              <w:jc w:val="center"/>
              <w:rPr>
                <w:color w:val="1f1f1f"/>
                <w:sz w:val="24"/>
                <w:szCs w:val="24"/>
              </w:rPr>
            </w:pPr>
            <w:r w:rsidDel="00000000" w:rsidR="00000000" w:rsidRPr="00000000">
              <w:rPr>
                <w:color w:val="1f1f1f"/>
                <w:sz w:val="24"/>
                <w:szCs w:val="24"/>
                <w:rtl w:val="0"/>
              </w:rPr>
              <w:t xml:space="preserve">1.336*</w:t>
            </w:r>
          </w:p>
        </w:tc>
        <w:tc>
          <w:tcPr>
            <w:tcMar>
              <w:top w:w="0.0" w:type="dxa"/>
              <w:left w:w="0.0" w:type="dxa"/>
              <w:bottom w:w="0.0" w:type="dxa"/>
              <w:right w:w="0.0" w:type="dxa"/>
            </w:tcMar>
            <w:vAlign w:val="center"/>
          </w:tcPr>
          <w:p w:rsidR="00000000" w:rsidDel="00000000" w:rsidP="00000000" w:rsidRDefault="00000000" w:rsidRPr="00000000" w14:paraId="00000194">
            <w:pPr>
              <w:widowControl w:val="0"/>
              <w:spacing w:after="0" w:line="240" w:lineRule="auto"/>
              <w:jc w:val="center"/>
              <w:rPr>
                <w:color w:val="1f1f1f"/>
                <w:sz w:val="24"/>
                <w:szCs w:val="24"/>
              </w:rPr>
            </w:pPr>
            <w:r w:rsidDel="00000000" w:rsidR="00000000" w:rsidRPr="00000000">
              <w:rPr>
                <w:color w:val="1f1f1f"/>
                <w:sz w:val="24"/>
                <w:szCs w:val="24"/>
                <w:rtl w:val="0"/>
              </w:rPr>
              <w:t xml:space="preserve">1.411**</w:t>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195">
            <w:pPr>
              <w:widowControl w:val="0"/>
              <w:spacing w:after="0" w:line="240" w:lineRule="auto"/>
              <w:jc w:val="both"/>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96">
            <w:pPr>
              <w:widowControl w:val="0"/>
              <w:spacing w:after="0" w:line="240" w:lineRule="auto"/>
              <w:jc w:val="center"/>
              <w:rPr>
                <w:color w:val="1f1f1f"/>
                <w:sz w:val="24"/>
                <w:szCs w:val="24"/>
              </w:rPr>
            </w:pPr>
            <w:r w:rsidDel="00000000" w:rsidR="00000000" w:rsidRPr="00000000">
              <w:rPr>
                <w:color w:val="1f1f1f"/>
                <w:sz w:val="24"/>
                <w:szCs w:val="24"/>
                <w:rtl w:val="0"/>
              </w:rPr>
              <w:t xml:space="preserve">(0.117)</w:t>
            </w:r>
          </w:p>
        </w:tc>
        <w:tc>
          <w:tcPr>
            <w:tcMar>
              <w:top w:w="0.0" w:type="dxa"/>
              <w:left w:w="0.0" w:type="dxa"/>
              <w:bottom w:w="0.0" w:type="dxa"/>
              <w:right w:w="0.0" w:type="dxa"/>
            </w:tcMar>
            <w:vAlign w:val="center"/>
          </w:tcPr>
          <w:p w:rsidR="00000000" w:rsidDel="00000000" w:rsidP="00000000" w:rsidRDefault="00000000" w:rsidRPr="00000000" w14:paraId="00000197">
            <w:pPr>
              <w:widowControl w:val="0"/>
              <w:spacing w:after="0" w:line="240" w:lineRule="auto"/>
              <w:jc w:val="center"/>
              <w:rPr>
                <w:color w:val="1f1f1f"/>
                <w:sz w:val="24"/>
                <w:szCs w:val="24"/>
              </w:rPr>
            </w:pPr>
            <w:r w:rsidDel="00000000" w:rsidR="00000000" w:rsidRPr="00000000">
              <w:rPr>
                <w:color w:val="1f1f1f"/>
                <w:sz w:val="24"/>
                <w:szCs w:val="24"/>
                <w:rtl w:val="0"/>
              </w:rPr>
              <w:t xml:space="preserve">(0.118)</w:t>
            </w:r>
          </w:p>
        </w:tc>
        <w:tc>
          <w:tcPr>
            <w:tcMar>
              <w:top w:w="0.0" w:type="dxa"/>
              <w:left w:w="0.0" w:type="dxa"/>
              <w:bottom w:w="0.0" w:type="dxa"/>
              <w:right w:w="0.0" w:type="dxa"/>
            </w:tcMar>
            <w:vAlign w:val="center"/>
          </w:tcPr>
          <w:p w:rsidR="00000000" w:rsidDel="00000000" w:rsidP="00000000" w:rsidRDefault="00000000" w:rsidRPr="00000000" w14:paraId="00000198">
            <w:pPr>
              <w:widowControl w:val="0"/>
              <w:spacing w:after="0" w:line="240" w:lineRule="auto"/>
              <w:jc w:val="center"/>
              <w:rPr>
                <w:color w:val="1f1f1f"/>
                <w:sz w:val="24"/>
                <w:szCs w:val="24"/>
              </w:rPr>
            </w:pPr>
            <w:r w:rsidDel="00000000" w:rsidR="00000000" w:rsidRPr="00000000">
              <w:rPr>
                <w:color w:val="1f1f1f"/>
                <w:sz w:val="24"/>
                <w:szCs w:val="24"/>
                <w:rtl w:val="0"/>
              </w:rPr>
              <w:t xml:space="preserve">(0.130)</w:t>
            </w:r>
          </w:p>
        </w:tc>
        <w:tc>
          <w:tcPr>
            <w:tcMar>
              <w:top w:w="0.0" w:type="dxa"/>
              <w:left w:w="0.0" w:type="dxa"/>
              <w:bottom w:w="0.0" w:type="dxa"/>
              <w:right w:w="0.0" w:type="dxa"/>
            </w:tcMar>
            <w:vAlign w:val="center"/>
          </w:tcPr>
          <w:p w:rsidR="00000000" w:rsidDel="00000000" w:rsidP="00000000" w:rsidRDefault="00000000" w:rsidRPr="00000000" w14:paraId="00000199">
            <w:pPr>
              <w:widowControl w:val="0"/>
              <w:spacing w:after="0" w:line="240" w:lineRule="auto"/>
              <w:jc w:val="center"/>
              <w:rPr>
                <w:color w:val="1f1f1f"/>
                <w:sz w:val="24"/>
                <w:szCs w:val="24"/>
              </w:rPr>
            </w:pPr>
            <w:r w:rsidDel="00000000" w:rsidR="00000000" w:rsidRPr="00000000">
              <w:rPr>
                <w:color w:val="1f1f1f"/>
                <w:sz w:val="24"/>
                <w:szCs w:val="24"/>
                <w:rtl w:val="0"/>
              </w:rPr>
              <w:t xml:space="preserve">(0.132)</w:t>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19A">
            <w:pPr>
              <w:widowControl w:val="0"/>
              <w:spacing w:after="0" w:line="240" w:lineRule="auto"/>
              <w:jc w:val="both"/>
              <w:rPr>
                <w:color w:val="1f1f1f"/>
                <w:sz w:val="24"/>
                <w:szCs w:val="24"/>
              </w:rPr>
            </w:pPr>
            <w:r w:rsidDel="00000000" w:rsidR="00000000" w:rsidRPr="00000000">
              <w:rPr>
                <w:color w:val="1f1f1f"/>
                <w:sz w:val="24"/>
                <w:szCs w:val="24"/>
                <w:rtl w:val="0"/>
              </w:rPr>
              <w:t xml:space="preserve">    Privada Sem Fins Lucrativos</w:t>
            </w:r>
          </w:p>
        </w:tc>
        <w:tc>
          <w:tcPr>
            <w:tcMar>
              <w:top w:w="0.0" w:type="dxa"/>
              <w:left w:w="0.0" w:type="dxa"/>
              <w:bottom w:w="0.0" w:type="dxa"/>
              <w:right w:w="0.0" w:type="dxa"/>
            </w:tcMar>
            <w:vAlign w:val="center"/>
          </w:tcPr>
          <w:p w:rsidR="00000000" w:rsidDel="00000000" w:rsidP="00000000" w:rsidRDefault="00000000" w:rsidRPr="00000000" w14:paraId="0000019B">
            <w:pPr>
              <w:widowControl w:val="0"/>
              <w:spacing w:after="0" w:line="240" w:lineRule="auto"/>
              <w:jc w:val="center"/>
              <w:rPr>
                <w:color w:val="1f1f1f"/>
                <w:sz w:val="24"/>
                <w:szCs w:val="24"/>
              </w:rPr>
            </w:pPr>
            <w:r w:rsidDel="00000000" w:rsidR="00000000" w:rsidRPr="00000000">
              <w:rPr>
                <w:color w:val="1f1f1f"/>
                <w:sz w:val="24"/>
                <w:szCs w:val="24"/>
                <w:rtl w:val="0"/>
              </w:rPr>
              <w:t xml:space="preserve">1.270***</w:t>
            </w:r>
          </w:p>
        </w:tc>
        <w:tc>
          <w:tcPr>
            <w:tcMar>
              <w:top w:w="0.0" w:type="dxa"/>
              <w:left w:w="0.0" w:type="dxa"/>
              <w:bottom w:w="0.0" w:type="dxa"/>
              <w:right w:w="0.0" w:type="dxa"/>
            </w:tcMar>
            <w:vAlign w:val="center"/>
          </w:tcPr>
          <w:p w:rsidR="00000000" w:rsidDel="00000000" w:rsidP="00000000" w:rsidRDefault="00000000" w:rsidRPr="00000000" w14:paraId="0000019C">
            <w:pPr>
              <w:widowControl w:val="0"/>
              <w:spacing w:after="0" w:line="240" w:lineRule="auto"/>
              <w:jc w:val="center"/>
              <w:rPr>
                <w:color w:val="1f1f1f"/>
                <w:sz w:val="24"/>
                <w:szCs w:val="24"/>
              </w:rPr>
            </w:pPr>
            <w:r w:rsidDel="00000000" w:rsidR="00000000" w:rsidRPr="00000000">
              <w:rPr>
                <w:color w:val="1f1f1f"/>
                <w:sz w:val="24"/>
                <w:szCs w:val="24"/>
                <w:rtl w:val="0"/>
              </w:rPr>
              <w:t xml:space="preserve">1.213**</w:t>
            </w:r>
          </w:p>
        </w:tc>
        <w:tc>
          <w:tcPr>
            <w:tcMar>
              <w:top w:w="0.0" w:type="dxa"/>
              <w:left w:w="0.0" w:type="dxa"/>
              <w:bottom w:w="0.0" w:type="dxa"/>
              <w:right w:w="0.0" w:type="dxa"/>
            </w:tcMar>
            <w:vAlign w:val="center"/>
          </w:tcPr>
          <w:p w:rsidR="00000000" w:rsidDel="00000000" w:rsidP="00000000" w:rsidRDefault="00000000" w:rsidRPr="00000000" w14:paraId="0000019D">
            <w:pPr>
              <w:widowControl w:val="0"/>
              <w:spacing w:after="0" w:line="240" w:lineRule="auto"/>
              <w:jc w:val="center"/>
              <w:rPr>
                <w:color w:val="1f1f1f"/>
                <w:sz w:val="24"/>
                <w:szCs w:val="24"/>
              </w:rPr>
            </w:pPr>
            <w:r w:rsidDel="00000000" w:rsidR="00000000" w:rsidRPr="00000000">
              <w:rPr>
                <w:color w:val="1f1f1f"/>
                <w:sz w:val="24"/>
                <w:szCs w:val="24"/>
                <w:rtl w:val="0"/>
              </w:rPr>
              <w:t xml:space="preserve">1.232**</w:t>
            </w:r>
          </w:p>
        </w:tc>
        <w:tc>
          <w:tcPr>
            <w:tcMar>
              <w:top w:w="0.0" w:type="dxa"/>
              <w:left w:w="0.0" w:type="dxa"/>
              <w:bottom w:w="0.0" w:type="dxa"/>
              <w:right w:w="0.0" w:type="dxa"/>
            </w:tcMar>
            <w:vAlign w:val="center"/>
          </w:tcPr>
          <w:p w:rsidR="00000000" w:rsidDel="00000000" w:rsidP="00000000" w:rsidRDefault="00000000" w:rsidRPr="00000000" w14:paraId="0000019E">
            <w:pPr>
              <w:widowControl w:val="0"/>
              <w:spacing w:after="0" w:line="240" w:lineRule="auto"/>
              <w:jc w:val="center"/>
              <w:rPr>
                <w:color w:val="1f1f1f"/>
                <w:sz w:val="24"/>
                <w:szCs w:val="24"/>
              </w:rPr>
            </w:pPr>
            <w:r w:rsidDel="00000000" w:rsidR="00000000" w:rsidRPr="00000000">
              <w:rPr>
                <w:color w:val="1f1f1f"/>
                <w:sz w:val="24"/>
                <w:szCs w:val="24"/>
                <w:rtl w:val="0"/>
              </w:rPr>
              <w:t xml:space="preserve">1.279**</w:t>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19F">
            <w:pPr>
              <w:widowControl w:val="0"/>
              <w:spacing w:after="0" w:line="240" w:lineRule="auto"/>
              <w:jc w:val="both"/>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A0">
            <w:pPr>
              <w:widowControl w:val="0"/>
              <w:spacing w:after="0" w:line="240" w:lineRule="auto"/>
              <w:jc w:val="center"/>
              <w:rPr>
                <w:color w:val="1f1f1f"/>
                <w:sz w:val="24"/>
                <w:szCs w:val="24"/>
              </w:rPr>
            </w:pPr>
            <w:r w:rsidDel="00000000" w:rsidR="00000000" w:rsidRPr="00000000">
              <w:rPr>
                <w:color w:val="1f1f1f"/>
                <w:sz w:val="24"/>
                <w:szCs w:val="24"/>
                <w:rtl w:val="0"/>
              </w:rPr>
              <w:t xml:space="preserve">(0.069)</w:t>
            </w:r>
          </w:p>
        </w:tc>
        <w:tc>
          <w:tcPr>
            <w:tcMar>
              <w:top w:w="0.0" w:type="dxa"/>
              <w:left w:w="0.0" w:type="dxa"/>
              <w:bottom w:w="0.0" w:type="dxa"/>
              <w:right w:w="0.0" w:type="dxa"/>
            </w:tcMar>
            <w:vAlign w:val="center"/>
          </w:tcPr>
          <w:p w:rsidR="00000000" w:rsidDel="00000000" w:rsidP="00000000" w:rsidRDefault="00000000" w:rsidRPr="00000000" w14:paraId="000001A1">
            <w:pPr>
              <w:widowControl w:val="0"/>
              <w:spacing w:after="0" w:line="240" w:lineRule="auto"/>
              <w:jc w:val="center"/>
              <w:rPr>
                <w:color w:val="1f1f1f"/>
                <w:sz w:val="24"/>
                <w:szCs w:val="24"/>
              </w:rPr>
            </w:pPr>
            <w:r w:rsidDel="00000000" w:rsidR="00000000" w:rsidRPr="00000000">
              <w:rPr>
                <w:color w:val="1f1f1f"/>
                <w:sz w:val="24"/>
                <w:szCs w:val="24"/>
                <w:rtl w:val="0"/>
              </w:rPr>
              <w:t xml:space="preserve">(0.074)</w:t>
            </w:r>
          </w:p>
        </w:tc>
        <w:tc>
          <w:tcPr>
            <w:tcMar>
              <w:top w:w="0.0" w:type="dxa"/>
              <w:left w:w="0.0" w:type="dxa"/>
              <w:bottom w:w="0.0" w:type="dxa"/>
              <w:right w:w="0.0" w:type="dxa"/>
            </w:tcMar>
            <w:vAlign w:val="center"/>
          </w:tcPr>
          <w:p w:rsidR="00000000" w:rsidDel="00000000" w:rsidP="00000000" w:rsidRDefault="00000000" w:rsidRPr="00000000" w14:paraId="000001A2">
            <w:pPr>
              <w:widowControl w:val="0"/>
              <w:spacing w:after="0" w:line="240" w:lineRule="auto"/>
              <w:jc w:val="center"/>
              <w:rPr>
                <w:color w:val="1f1f1f"/>
                <w:sz w:val="24"/>
                <w:szCs w:val="24"/>
              </w:rPr>
            </w:pPr>
            <w:r w:rsidDel="00000000" w:rsidR="00000000" w:rsidRPr="00000000">
              <w:rPr>
                <w:color w:val="1f1f1f"/>
                <w:sz w:val="24"/>
                <w:szCs w:val="24"/>
                <w:rtl w:val="0"/>
              </w:rPr>
              <w:t xml:space="preserve">(0.079)</w:t>
            </w:r>
          </w:p>
        </w:tc>
        <w:tc>
          <w:tcPr>
            <w:tcMar>
              <w:top w:w="0.0" w:type="dxa"/>
              <w:left w:w="0.0" w:type="dxa"/>
              <w:bottom w:w="0.0" w:type="dxa"/>
              <w:right w:w="0.0" w:type="dxa"/>
            </w:tcMar>
            <w:vAlign w:val="center"/>
          </w:tcPr>
          <w:p w:rsidR="00000000" w:rsidDel="00000000" w:rsidP="00000000" w:rsidRDefault="00000000" w:rsidRPr="00000000" w14:paraId="000001A3">
            <w:pPr>
              <w:widowControl w:val="0"/>
              <w:spacing w:after="0" w:line="240" w:lineRule="auto"/>
              <w:jc w:val="center"/>
              <w:rPr>
                <w:color w:val="1f1f1f"/>
                <w:sz w:val="24"/>
                <w:szCs w:val="24"/>
              </w:rPr>
            </w:pPr>
            <w:r w:rsidDel="00000000" w:rsidR="00000000" w:rsidRPr="00000000">
              <w:rPr>
                <w:color w:val="1f1f1f"/>
                <w:sz w:val="24"/>
                <w:szCs w:val="24"/>
                <w:rtl w:val="0"/>
              </w:rPr>
              <w:t xml:space="preserve">(0.081)</w:t>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1A4">
            <w:pPr>
              <w:widowControl w:val="0"/>
              <w:spacing w:after="0" w:line="240" w:lineRule="auto"/>
              <w:jc w:val="both"/>
              <w:rPr>
                <w:color w:val="1f1f1f"/>
                <w:sz w:val="24"/>
                <w:szCs w:val="24"/>
              </w:rPr>
            </w:pPr>
            <w:r w:rsidDel="00000000" w:rsidR="00000000" w:rsidRPr="00000000">
              <w:rPr>
                <w:color w:val="1f1f1f"/>
                <w:sz w:val="24"/>
                <w:szCs w:val="24"/>
                <w:rtl w:val="0"/>
              </w:rPr>
              <w:t xml:space="preserve">    Pública Estadual</w:t>
            </w:r>
          </w:p>
        </w:tc>
        <w:tc>
          <w:tcPr>
            <w:tcMar>
              <w:top w:w="0.0" w:type="dxa"/>
              <w:left w:w="0.0" w:type="dxa"/>
              <w:bottom w:w="0.0" w:type="dxa"/>
              <w:right w:w="0.0" w:type="dxa"/>
            </w:tcMar>
            <w:vAlign w:val="center"/>
          </w:tcPr>
          <w:p w:rsidR="00000000" w:rsidDel="00000000" w:rsidP="00000000" w:rsidRDefault="00000000" w:rsidRPr="00000000" w14:paraId="000001A5">
            <w:pPr>
              <w:widowControl w:val="0"/>
              <w:spacing w:after="0" w:line="240" w:lineRule="auto"/>
              <w:jc w:val="center"/>
              <w:rPr>
                <w:color w:val="1f1f1f"/>
                <w:sz w:val="24"/>
                <w:szCs w:val="24"/>
              </w:rPr>
            </w:pPr>
            <w:r w:rsidDel="00000000" w:rsidR="00000000" w:rsidRPr="00000000">
              <w:rPr>
                <w:color w:val="1f1f1f"/>
                <w:sz w:val="24"/>
                <w:szCs w:val="24"/>
                <w:rtl w:val="0"/>
              </w:rPr>
              <w:t xml:space="preserve">1.080</w:t>
            </w:r>
          </w:p>
        </w:tc>
        <w:tc>
          <w:tcPr>
            <w:tcMar>
              <w:top w:w="0.0" w:type="dxa"/>
              <w:left w:w="0.0" w:type="dxa"/>
              <w:bottom w:w="0.0" w:type="dxa"/>
              <w:right w:w="0.0" w:type="dxa"/>
            </w:tcMar>
            <w:vAlign w:val="center"/>
          </w:tcPr>
          <w:p w:rsidR="00000000" w:rsidDel="00000000" w:rsidP="00000000" w:rsidRDefault="00000000" w:rsidRPr="00000000" w14:paraId="000001A6">
            <w:pPr>
              <w:widowControl w:val="0"/>
              <w:spacing w:after="0" w:line="240" w:lineRule="auto"/>
              <w:jc w:val="center"/>
              <w:rPr>
                <w:color w:val="1f1f1f"/>
                <w:sz w:val="24"/>
                <w:szCs w:val="24"/>
              </w:rPr>
            </w:pPr>
            <w:r w:rsidDel="00000000" w:rsidR="00000000" w:rsidRPr="00000000">
              <w:rPr>
                <w:color w:val="1f1f1f"/>
                <w:sz w:val="24"/>
                <w:szCs w:val="24"/>
                <w:rtl w:val="0"/>
              </w:rPr>
              <w:t xml:space="preserve">1.059</w:t>
            </w:r>
          </w:p>
        </w:tc>
        <w:tc>
          <w:tcPr>
            <w:tcMar>
              <w:top w:w="0.0" w:type="dxa"/>
              <w:left w:w="0.0" w:type="dxa"/>
              <w:bottom w:w="0.0" w:type="dxa"/>
              <w:right w:w="0.0" w:type="dxa"/>
            </w:tcMar>
            <w:vAlign w:val="center"/>
          </w:tcPr>
          <w:p w:rsidR="00000000" w:rsidDel="00000000" w:rsidP="00000000" w:rsidRDefault="00000000" w:rsidRPr="00000000" w14:paraId="000001A7">
            <w:pPr>
              <w:widowControl w:val="0"/>
              <w:spacing w:after="0" w:line="240" w:lineRule="auto"/>
              <w:jc w:val="center"/>
              <w:rPr>
                <w:color w:val="1f1f1f"/>
                <w:sz w:val="24"/>
                <w:szCs w:val="24"/>
              </w:rPr>
            </w:pPr>
            <w:r w:rsidDel="00000000" w:rsidR="00000000" w:rsidRPr="00000000">
              <w:rPr>
                <w:color w:val="1f1f1f"/>
                <w:sz w:val="24"/>
                <w:szCs w:val="24"/>
                <w:rtl w:val="0"/>
              </w:rPr>
              <w:t xml:space="preserve">1.079</w:t>
            </w:r>
          </w:p>
        </w:tc>
        <w:tc>
          <w:tcPr>
            <w:tcMar>
              <w:top w:w="0.0" w:type="dxa"/>
              <w:left w:w="0.0" w:type="dxa"/>
              <w:bottom w:w="0.0" w:type="dxa"/>
              <w:right w:w="0.0" w:type="dxa"/>
            </w:tcMar>
            <w:vAlign w:val="center"/>
          </w:tcPr>
          <w:p w:rsidR="00000000" w:rsidDel="00000000" w:rsidP="00000000" w:rsidRDefault="00000000" w:rsidRPr="00000000" w14:paraId="000001A8">
            <w:pPr>
              <w:widowControl w:val="0"/>
              <w:spacing w:after="0" w:line="240" w:lineRule="auto"/>
              <w:jc w:val="center"/>
              <w:rPr>
                <w:color w:val="1f1f1f"/>
                <w:sz w:val="24"/>
                <w:szCs w:val="24"/>
              </w:rPr>
            </w:pPr>
            <w:r w:rsidDel="00000000" w:rsidR="00000000" w:rsidRPr="00000000">
              <w:rPr>
                <w:color w:val="1f1f1f"/>
                <w:sz w:val="24"/>
                <w:szCs w:val="24"/>
                <w:rtl w:val="0"/>
              </w:rPr>
              <w:t xml:space="preserve">1.082</w:t>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1A9">
            <w:pPr>
              <w:widowControl w:val="0"/>
              <w:spacing w:after="0" w:line="240" w:lineRule="auto"/>
              <w:jc w:val="both"/>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AA">
            <w:pPr>
              <w:widowControl w:val="0"/>
              <w:spacing w:after="0" w:line="240" w:lineRule="auto"/>
              <w:jc w:val="center"/>
              <w:rPr>
                <w:color w:val="1f1f1f"/>
                <w:sz w:val="24"/>
                <w:szCs w:val="24"/>
              </w:rPr>
            </w:pPr>
            <w:r w:rsidDel="00000000" w:rsidR="00000000" w:rsidRPr="00000000">
              <w:rPr>
                <w:color w:val="1f1f1f"/>
                <w:sz w:val="24"/>
                <w:szCs w:val="24"/>
                <w:rtl w:val="0"/>
              </w:rPr>
              <w:t xml:space="preserve">(0.075)</w:t>
            </w:r>
          </w:p>
        </w:tc>
        <w:tc>
          <w:tcPr>
            <w:tcMar>
              <w:top w:w="0.0" w:type="dxa"/>
              <w:left w:w="0.0" w:type="dxa"/>
              <w:bottom w:w="0.0" w:type="dxa"/>
              <w:right w:w="0.0" w:type="dxa"/>
            </w:tcMar>
            <w:vAlign w:val="center"/>
          </w:tcPr>
          <w:p w:rsidR="00000000" w:rsidDel="00000000" w:rsidP="00000000" w:rsidRDefault="00000000" w:rsidRPr="00000000" w14:paraId="000001AB">
            <w:pPr>
              <w:widowControl w:val="0"/>
              <w:spacing w:after="0" w:line="240" w:lineRule="auto"/>
              <w:jc w:val="center"/>
              <w:rPr>
                <w:color w:val="1f1f1f"/>
                <w:sz w:val="24"/>
                <w:szCs w:val="24"/>
              </w:rPr>
            </w:pPr>
            <w:r w:rsidDel="00000000" w:rsidR="00000000" w:rsidRPr="00000000">
              <w:rPr>
                <w:color w:val="1f1f1f"/>
                <w:sz w:val="24"/>
                <w:szCs w:val="24"/>
                <w:rtl w:val="0"/>
              </w:rPr>
              <w:t xml:space="preserve">(0.075)</w:t>
            </w:r>
          </w:p>
        </w:tc>
        <w:tc>
          <w:tcPr>
            <w:tcMar>
              <w:top w:w="0.0" w:type="dxa"/>
              <w:left w:w="0.0" w:type="dxa"/>
              <w:bottom w:w="0.0" w:type="dxa"/>
              <w:right w:w="0.0" w:type="dxa"/>
            </w:tcMar>
            <w:vAlign w:val="center"/>
          </w:tcPr>
          <w:p w:rsidR="00000000" w:rsidDel="00000000" w:rsidP="00000000" w:rsidRDefault="00000000" w:rsidRPr="00000000" w14:paraId="000001AC">
            <w:pPr>
              <w:widowControl w:val="0"/>
              <w:spacing w:after="0" w:line="240" w:lineRule="auto"/>
              <w:jc w:val="center"/>
              <w:rPr>
                <w:color w:val="1f1f1f"/>
                <w:sz w:val="24"/>
                <w:szCs w:val="24"/>
              </w:rPr>
            </w:pPr>
            <w:r w:rsidDel="00000000" w:rsidR="00000000" w:rsidRPr="00000000">
              <w:rPr>
                <w:color w:val="1f1f1f"/>
                <w:sz w:val="24"/>
                <w:szCs w:val="24"/>
                <w:rtl w:val="0"/>
              </w:rPr>
              <w:t xml:space="preserve">(0.078)</w:t>
            </w:r>
          </w:p>
        </w:tc>
        <w:tc>
          <w:tcPr>
            <w:tcMar>
              <w:top w:w="0.0" w:type="dxa"/>
              <w:left w:w="0.0" w:type="dxa"/>
              <w:bottom w:w="0.0" w:type="dxa"/>
              <w:right w:w="0.0" w:type="dxa"/>
            </w:tcMar>
            <w:vAlign w:val="center"/>
          </w:tcPr>
          <w:p w:rsidR="00000000" w:rsidDel="00000000" w:rsidP="00000000" w:rsidRDefault="00000000" w:rsidRPr="00000000" w14:paraId="000001AD">
            <w:pPr>
              <w:widowControl w:val="0"/>
              <w:spacing w:after="0" w:line="240" w:lineRule="auto"/>
              <w:jc w:val="center"/>
              <w:rPr>
                <w:color w:val="1f1f1f"/>
                <w:sz w:val="24"/>
                <w:szCs w:val="24"/>
              </w:rPr>
            </w:pPr>
            <w:r w:rsidDel="00000000" w:rsidR="00000000" w:rsidRPr="00000000">
              <w:rPr>
                <w:color w:val="1f1f1f"/>
                <w:sz w:val="24"/>
                <w:szCs w:val="24"/>
                <w:rtl w:val="0"/>
              </w:rPr>
              <w:t xml:space="preserve">(0.077)</w:t>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1AE">
            <w:pPr>
              <w:widowControl w:val="0"/>
              <w:spacing w:after="0" w:line="240" w:lineRule="auto"/>
              <w:jc w:val="both"/>
              <w:rPr>
                <w:color w:val="1f1f1f"/>
                <w:sz w:val="24"/>
                <w:szCs w:val="24"/>
              </w:rPr>
            </w:pPr>
            <w:r w:rsidDel="00000000" w:rsidR="00000000" w:rsidRPr="00000000">
              <w:rPr>
                <w:b w:val="1"/>
                <w:bCs w:val="1"/>
                <w:color w:val="1f1f1f"/>
                <w:sz w:val="24"/>
                <w:szCs w:val="24"/>
                <w:rtl w:val="0"/>
              </w:rPr>
              <w:t xml:space="preserve">Região Geográfica</w:t>
            </w:r>
            <w:r w:rsidDel="00000000" w:rsidR="00000000" w:rsidRPr="00000000">
              <w:rPr>
                <w:color w:val="1f1f1f"/>
                <w:sz w:val="24"/>
                <w:szCs w:val="24"/>
                <w:rtl w:val="0"/>
              </w:rPr>
              <w:t xml:space="preserve"> </w:t>
            </w:r>
            <w:r w:rsidDel="00000000" w:rsidR="00000000" w:rsidRPr="00000000">
              <w:rPr>
                <w:i w:val="1"/>
                <w:iCs w:val="1"/>
                <w:color w:val="1f1f1f"/>
                <w:sz w:val="24"/>
                <w:szCs w:val="24"/>
                <w:rtl w:val="0"/>
              </w:rPr>
              <w:t xml:space="preserve">(Ref: Sudeste)</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AF">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B0">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B1">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B2">
            <w:pPr>
              <w:widowControl w:val="0"/>
              <w:spacing w:after="0" w:line="240" w:lineRule="auto"/>
              <w:jc w:val="center"/>
              <w:rPr>
                <w:color w:val="1f1f1f"/>
                <w:sz w:val="24"/>
                <w:szCs w:val="24"/>
              </w:rPr>
            </w:pPr>
            <w:r w:rsidDel="00000000" w:rsidR="00000000" w:rsidRPr="00000000">
              <w:rPr>
                <w:rtl w:val="0"/>
              </w:rPr>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1B3">
            <w:pPr>
              <w:widowControl w:val="0"/>
              <w:spacing w:after="0" w:line="240" w:lineRule="auto"/>
              <w:jc w:val="both"/>
              <w:rPr>
                <w:color w:val="1f1f1f"/>
                <w:sz w:val="24"/>
                <w:szCs w:val="24"/>
              </w:rPr>
            </w:pPr>
            <w:r w:rsidDel="00000000" w:rsidR="00000000" w:rsidRPr="00000000">
              <w:rPr>
                <w:color w:val="1f1f1f"/>
                <w:sz w:val="24"/>
                <w:szCs w:val="24"/>
                <w:rtl w:val="0"/>
              </w:rPr>
              <w:t xml:space="preserve">    Centro-Oeste</w:t>
            </w:r>
          </w:p>
        </w:tc>
        <w:tc>
          <w:tcPr>
            <w:tcMar>
              <w:top w:w="0.0" w:type="dxa"/>
              <w:left w:w="0.0" w:type="dxa"/>
              <w:bottom w:w="0.0" w:type="dxa"/>
              <w:right w:w="0.0" w:type="dxa"/>
            </w:tcMar>
            <w:vAlign w:val="center"/>
          </w:tcPr>
          <w:p w:rsidR="00000000" w:rsidDel="00000000" w:rsidP="00000000" w:rsidRDefault="00000000" w:rsidRPr="00000000" w14:paraId="000001B4">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B5">
            <w:pPr>
              <w:widowControl w:val="0"/>
              <w:spacing w:after="0" w:line="240" w:lineRule="auto"/>
              <w:jc w:val="center"/>
              <w:rPr>
                <w:color w:val="1f1f1f"/>
                <w:sz w:val="24"/>
                <w:szCs w:val="24"/>
              </w:rPr>
            </w:pPr>
            <w:r w:rsidDel="00000000" w:rsidR="00000000" w:rsidRPr="00000000">
              <w:rPr>
                <w:color w:val="1f1f1f"/>
                <w:sz w:val="24"/>
                <w:szCs w:val="24"/>
                <w:rtl w:val="0"/>
              </w:rPr>
              <w:t xml:space="preserve">0.866</w:t>
            </w:r>
          </w:p>
        </w:tc>
        <w:tc>
          <w:tcPr>
            <w:tcMar>
              <w:top w:w="0.0" w:type="dxa"/>
              <w:left w:w="0.0" w:type="dxa"/>
              <w:bottom w:w="0.0" w:type="dxa"/>
              <w:right w:w="0.0" w:type="dxa"/>
            </w:tcMar>
            <w:vAlign w:val="center"/>
          </w:tcPr>
          <w:p w:rsidR="00000000" w:rsidDel="00000000" w:rsidP="00000000" w:rsidRDefault="00000000" w:rsidRPr="00000000" w14:paraId="000001B6">
            <w:pPr>
              <w:widowControl w:val="0"/>
              <w:spacing w:after="0" w:line="240" w:lineRule="auto"/>
              <w:jc w:val="center"/>
              <w:rPr>
                <w:color w:val="1f1f1f"/>
                <w:sz w:val="24"/>
                <w:szCs w:val="24"/>
              </w:rPr>
            </w:pPr>
            <w:r w:rsidDel="00000000" w:rsidR="00000000" w:rsidRPr="00000000">
              <w:rPr>
                <w:color w:val="1f1f1f"/>
                <w:sz w:val="24"/>
                <w:szCs w:val="24"/>
                <w:rtl w:val="0"/>
              </w:rPr>
              <w:t xml:space="preserve">0.877</w:t>
            </w:r>
          </w:p>
        </w:tc>
        <w:tc>
          <w:tcPr>
            <w:tcMar>
              <w:top w:w="0.0" w:type="dxa"/>
              <w:left w:w="0.0" w:type="dxa"/>
              <w:bottom w:w="0.0" w:type="dxa"/>
              <w:right w:w="0.0" w:type="dxa"/>
            </w:tcMar>
            <w:vAlign w:val="center"/>
          </w:tcPr>
          <w:p w:rsidR="00000000" w:rsidDel="00000000" w:rsidP="00000000" w:rsidRDefault="00000000" w:rsidRPr="00000000" w14:paraId="000001B7">
            <w:pPr>
              <w:widowControl w:val="0"/>
              <w:spacing w:after="0" w:line="240" w:lineRule="auto"/>
              <w:jc w:val="center"/>
              <w:rPr>
                <w:color w:val="1f1f1f"/>
                <w:sz w:val="24"/>
                <w:szCs w:val="24"/>
              </w:rPr>
            </w:pPr>
            <w:r w:rsidDel="00000000" w:rsidR="00000000" w:rsidRPr="00000000">
              <w:rPr>
                <w:color w:val="1f1f1f"/>
                <w:sz w:val="24"/>
                <w:szCs w:val="24"/>
                <w:rtl w:val="0"/>
              </w:rPr>
              <w:t xml:space="preserve">0.896</w:t>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1B8">
            <w:pPr>
              <w:widowControl w:val="0"/>
              <w:spacing w:after="0" w:line="240" w:lineRule="auto"/>
              <w:jc w:val="both"/>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B9">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BA">
            <w:pPr>
              <w:widowControl w:val="0"/>
              <w:spacing w:after="0" w:line="240" w:lineRule="auto"/>
              <w:jc w:val="center"/>
              <w:rPr>
                <w:color w:val="1f1f1f"/>
                <w:sz w:val="24"/>
                <w:szCs w:val="24"/>
              </w:rPr>
            </w:pPr>
            <w:r w:rsidDel="00000000" w:rsidR="00000000" w:rsidRPr="00000000">
              <w:rPr>
                <w:color w:val="1f1f1f"/>
                <w:sz w:val="24"/>
                <w:szCs w:val="24"/>
                <w:rtl w:val="0"/>
              </w:rPr>
              <w:t xml:space="preserve">(0.097)</w:t>
            </w:r>
          </w:p>
        </w:tc>
        <w:tc>
          <w:tcPr>
            <w:tcMar>
              <w:top w:w="0.0" w:type="dxa"/>
              <w:left w:w="0.0" w:type="dxa"/>
              <w:bottom w:w="0.0" w:type="dxa"/>
              <w:right w:w="0.0" w:type="dxa"/>
            </w:tcMar>
            <w:vAlign w:val="center"/>
          </w:tcPr>
          <w:p w:rsidR="00000000" w:rsidDel="00000000" w:rsidP="00000000" w:rsidRDefault="00000000" w:rsidRPr="00000000" w14:paraId="000001BB">
            <w:pPr>
              <w:widowControl w:val="0"/>
              <w:spacing w:after="0" w:line="240" w:lineRule="auto"/>
              <w:jc w:val="center"/>
              <w:rPr>
                <w:color w:val="1f1f1f"/>
                <w:sz w:val="24"/>
                <w:szCs w:val="24"/>
              </w:rPr>
            </w:pPr>
            <w:r w:rsidDel="00000000" w:rsidR="00000000" w:rsidRPr="00000000">
              <w:rPr>
                <w:color w:val="1f1f1f"/>
                <w:sz w:val="24"/>
                <w:szCs w:val="24"/>
                <w:rtl w:val="0"/>
              </w:rPr>
              <w:t xml:space="preserve">(0.100)</w:t>
            </w:r>
          </w:p>
        </w:tc>
        <w:tc>
          <w:tcPr>
            <w:tcMar>
              <w:top w:w="0.0" w:type="dxa"/>
              <w:left w:w="0.0" w:type="dxa"/>
              <w:bottom w:w="0.0" w:type="dxa"/>
              <w:right w:w="0.0" w:type="dxa"/>
            </w:tcMar>
            <w:vAlign w:val="center"/>
          </w:tcPr>
          <w:p w:rsidR="00000000" w:rsidDel="00000000" w:rsidP="00000000" w:rsidRDefault="00000000" w:rsidRPr="00000000" w14:paraId="000001BC">
            <w:pPr>
              <w:widowControl w:val="0"/>
              <w:spacing w:after="0" w:line="240" w:lineRule="auto"/>
              <w:jc w:val="center"/>
              <w:rPr>
                <w:color w:val="1f1f1f"/>
                <w:sz w:val="24"/>
                <w:szCs w:val="24"/>
              </w:rPr>
            </w:pPr>
            <w:r w:rsidDel="00000000" w:rsidR="00000000" w:rsidRPr="00000000">
              <w:rPr>
                <w:color w:val="1f1f1f"/>
                <w:sz w:val="24"/>
                <w:szCs w:val="24"/>
                <w:rtl w:val="0"/>
              </w:rPr>
              <w:t xml:space="preserve">(0.100)</w:t>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1BD">
            <w:pPr>
              <w:widowControl w:val="0"/>
              <w:spacing w:after="0" w:line="240" w:lineRule="auto"/>
              <w:jc w:val="both"/>
              <w:rPr>
                <w:color w:val="1f1f1f"/>
                <w:sz w:val="24"/>
                <w:szCs w:val="24"/>
              </w:rPr>
            </w:pPr>
            <w:r w:rsidDel="00000000" w:rsidR="00000000" w:rsidRPr="00000000">
              <w:rPr>
                <w:color w:val="1f1f1f"/>
                <w:sz w:val="24"/>
                <w:szCs w:val="24"/>
                <w:rtl w:val="0"/>
              </w:rPr>
              <w:t xml:space="preserve">    Nordeste</w:t>
            </w:r>
          </w:p>
        </w:tc>
        <w:tc>
          <w:tcPr>
            <w:tcMar>
              <w:top w:w="0.0" w:type="dxa"/>
              <w:left w:w="0.0" w:type="dxa"/>
              <w:bottom w:w="0.0" w:type="dxa"/>
              <w:right w:w="0.0" w:type="dxa"/>
            </w:tcMar>
            <w:vAlign w:val="center"/>
          </w:tcPr>
          <w:p w:rsidR="00000000" w:rsidDel="00000000" w:rsidP="00000000" w:rsidRDefault="00000000" w:rsidRPr="00000000" w14:paraId="000001BE">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BF">
            <w:pPr>
              <w:widowControl w:val="0"/>
              <w:spacing w:after="0" w:line="240" w:lineRule="auto"/>
              <w:jc w:val="center"/>
              <w:rPr>
                <w:color w:val="1f1f1f"/>
                <w:sz w:val="24"/>
                <w:szCs w:val="24"/>
              </w:rPr>
            </w:pPr>
            <w:r w:rsidDel="00000000" w:rsidR="00000000" w:rsidRPr="00000000">
              <w:rPr>
                <w:color w:val="1f1f1f"/>
                <w:sz w:val="24"/>
                <w:szCs w:val="24"/>
                <w:rtl w:val="0"/>
              </w:rPr>
              <w:t xml:space="preserve">1.016</w:t>
            </w:r>
          </w:p>
        </w:tc>
        <w:tc>
          <w:tcPr>
            <w:tcMar>
              <w:top w:w="0.0" w:type="dxa"/>
              <w:left w:w="0.0" w:type="dxa"/>
              <w:bottom w:w="0.0" w:type="dxa"/>
              <w:right w:w="0.0" w:type="dxa"/>
            </w:tcMar>
            <w:vAlign w:val="center"/>
          </w:tcPr>
          <w:p w:rsidR="00000000" w:rsidDel="00000000" w:rsidP="00000000" w:rsidRDefault="00000000" w:rsidRPr="00000000" w14:paraId="000001C0">
            <w:pPr>
              <w:widowControl w:val="0"/>
              <w:spacing w:after="0" w:line="240" w:lineRule="auto"/>
              <w:jc w:val="center"/>
              <w:rPr>
                <w:color w:val="1f1f1f"/>
                <w:sz w:val="24"/>
                <w:szCs w:val="24"/>
              </w:rPr>
            </w:pPr>
            <w:r w:rsidDel="00000000" w:rsidR="00000000" w:rsidRPr="00000000">
              <w:rPr>
                <w:color w:val="1f1f1f"/>
                <w:sz w:val="24"/>
                <w:szCs w:val="24"/>
                <w:rtl w:val="0"/>
              </w:rPr>
              <w:t xml:space="preserve">1.020</w:t>
            </w:r>
          </w:p>
        </w:tc>
        <w:tc>
          <w:tcPr>
            <w:tcMar>
              <w:top w:w="0.0" w:type="dxa"/>
              <w:left w:w="0.0" w:type="dxa"/>
              <w:bottom w:w="0.0" w:type="dxa"/>
              <w:right w:w="0.0" w:type="dxa"/>
            </w:tcMar>
            <w:vAlign w:val="center"/>
          </w:tcPr>
          <w:p w:rsidR="00000000" w:rsidDel="00000000" w:rsidP="00000000" w:rsidRDefault="00000000" w:rsidRPr="00000000" w14:paraId="000001C1">
            <w:pPr>
              <w:widowControl w:val="0"/>
              <w:spacing w:after="0" w:line="240" w:lineRule="auto"/>
              <w:jc w:val="center"/>
              <w:rPr>
                <w:color w:val="1f1f1f"/>
                <w:sz w:val="24"/>
                <w:szCs w:val="24"/>
              </w:rPr>
            </w:pPr>
            <w:r w:rsidDel="00000000" w:rsidR="00000000" w:rsidRPr="00000000">
              <w:rPr>
                <w:color w:val="1f1f1f"/>
                <w:sz w:val="24"/>
                <w:szCs w:val="24"/>
                <w:rtl w:val="0"/>
              </w:rPr>
              <w:t xml:space="preserve">1.045</w:t>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1C2">
            <w:pPr>
              <w:widowControl w:val="0"/>
              <w:spacing w:after="0" w:line="240" w:lineRule="auto"/>
              <w:jc w:val="both"/>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C3">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C4">
            <w:pPr>
              <w:widowControl w:val="0"/>
              <w:spacing w:after="0" w:line="240" w:lineRule="auto"/>
              <w:jc w:val="center"/>
              <w:rPr>
                <w:color w:val="1f1f1f"/>
                <w:sz w:val="24"/>
                <w:szCs w:val="24"/>
              </w:rPr>
            </w:pPr>
            <w:r w:rsidDel="00000000" w:rsidR="00000000" w:rsidRPr="00000000">
              <w:rPr>
                <w:color w:val="1f1f1f"/>
                <w:sz w:val="24"/>
                <w:szCs w:val="24"/>
                <w:rtl w:val="0"/>
              </w:rPr>
              <w:t xml:space="preserve">(0.068)</w:t>
            </w:r>
          </w:p>
        </w:tc>
        <w:tc>
          <w:tcPr>
            <w:tcMar>
              <w:top w:w="0.0" w:type="dxa"/>
              <w:left w:w="0.0" w:type="dxa"/>
              <w:bottom w:w="0.0" w:type="dxa"/>
              <w:right w:w="0.0" w:type="dxa"/>
            </w:tcMar>
            <w:vAlign w:val="center"/>
          </w:tcPr>
          <w:p w:rsidR="00000000" w:rsidDel="00000000" w:rsidP="00000000" w:rsidRDefault="00000000" w:rsidRPr="00000000" w14:paraId="000001C5">
            <w:pPr>
              <w:widowControl w:val="0"/>
              <w:spacing w:after="0" w:line="240" w:lineRule="auto"/>
              <w:jc w:val="center"/>
              <w:rPr>
                <w:color w:val="1f1f1f"/>
                <w:sz w:val="24"/>
                <w:szCs w:val="24"/>
              </w:rPr>
            </w:pPr>
            <w:r w:rsidDel="00000000" w:rsidR="00000000" w:rsidRPr="00000000">
              <w:rPr>
                <w:color w:val="1f1f1f"/>
                <w:sz w:val="24"/>
                <w:szCs w:val="24"/>
                <w:rtl w:val="0"/>
              </w:rPr>
              <w:t xml:space="preserve">(0.068)</w:t>
            </w:r>
          </w:p>
        </w:tc>
        <w:tc>
          <w:tcPr>
            <w:tcMar>
              <w:top w:w="0.0" w:type="dxa"/>
              <w:left w:w="0.0" w:type="dxa"/>
              <w:bottom w:w="0.0" w:type="dxa"/>
              <w:right w:w="0.0" w:type="dxa"/>
            </w:tcMar>
            <w:vAlign w:val="center"/>
          </w:tcPr>
          <w:p w:rsidR="00000000" w:rsidDel="00000000" w:rsidP="00000000" w:rsidRDefault="00000000" w:rsidRPr="00000000" w14:paraId="000001C6">
            <w:pPr>
              <w:widowControl w:val="0"/>
              <w:spacing w:after="0" w:line="240" w:lineRule="auto"/>
              <w:jc w:val="center"/>
              <w:rPr>
                <w:color w:val="1f1f1f"/>
                <w:sz w:val="24"/>
                <w:szCs w:val="24"/>
              </w:rPr>
            </w:pPr>
            <w:r w:rsidDel="00000000" w:rsidR="00000000" w:rsidRPr="00000000">
              <w:rPr>
                <w:color w:val="1f1f1f"/>
                <w:sz w:val="24"/>
                <w:szCs w:val="24"/>
                <w:rtl w:val="0"/>
              </w:rPr>
              <w:t xml:space="preserve">(0.069)</w:t>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1C7">
            <w:pPr>
              <w:widowControl w:val="0"/>
              <w:spacing w:after="0" w:line="240" w:lineRule="auto"/>
              <w:jc w:val="both"/>
              <w:rPr>
                <w:color w:val="1f1f1f"/>
                <w:sz w:val="24"/>
                <w:szCs w:val="24"/>
              </w:rPr>
            </w:pPr>
            <w:r w:rsidDel="00000000" w:rsidR="00000000" w:rsidRPr="00000000">
              <w:rPr>
                <w:color w:val="1f1f1f"/>
                <w:sz w:val="24"/>
                <w:szCs w:val="24"/>
                <w:rtl w:val="0"/>
              </w:rPr>
              <w:t xml:space="preserve">    Norte</w:t>
            </w:r>
          </w:p>
        </w:tc>
        <w:tc>
          <w:tcPr>
            <w:tcMar>
              <w:top w:w="0.0" w:type="dxa"/>
              <w:left w:w="0.0" w:type="dxa"/>
              <w:bottom w:w="0.0" w:type="dxa"/>
              <w:right w:w="0.0" w:type="dxa"/>
            </w:tcMar>
            <w:vAlign w:val="center"/>
          </w:tcPr>
          <w:p w:rsidR="00000000" w:rsidDel="00000000" w:rsidP="00000000" w:rsidRDefault="00000000" w:rsidRPr="00000000" w14:paraId="000001C8">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C9">
            <w:pPr>
              <w:widowControl w:val="0"/>
              <w:spacing w:after="0" w:line="240" w:lineRule="auto"/>
              <w:jc w:val="center"/>
              <w:rPr>
                <w:color w:val="1f1f1f"/>
                <w:sz w:val="24"/>
                <w:szCs w:val="24"/>
              </w:rPr>
            </w:pPr>
            <w:r w:rsidDel="00000000" w:rsidR="00000000" w:rsidRPr="00000000">
              <w:rPr>
                <w:color w:val="1f1f1f"/>
                <w:sz w:val="24"/>
                <w:szCs w:val="24"/>
                <w:rtl w:val="0"/>
              </w:rPr>
              <w:t xml:space="preserve">0.893</w:t>
            </w:r>
          </w:p>
        </w:tc>
        <w:tc>
          <w:tcPr>
            <w:tcMar>
              <w:top w:w="0.0" w:type="dxa"/>
              <w:left w:w="0.0" w:type="dxa"/>
              <w:bottom w:w="0.0" w:type="dxa"/>
              <w:right w:w="0.0" w:type="dxa"/>
            </w:tcMar>
            <w:vAlign w:val="center"/>
          </w:tcPr>
          <w:p w:rsidR="00000000" w:rsidDel="00000000" w:rsidP="00000000" w:rsidRDefault="00000000" w:rsidRPr="00000000" w14:paraId="000001CA">
            <w:pPr>
              <w:widowControl w:val="0"/>
              <w:spacing w:after="0" w:line="240" w:lineRule="auto"/>
              <w:jc w:val="center"/>
              <w:rPr>
                <w:color w:val="1f1f1f"/>
                <w:sz w:val="24"/>
                <w:szCs w:val="24"/>
              </w:rPr>
            </w:pPr>
            <w:r w:rsidDel="00000000" w:rsidR="00000000" w:rsidRPr="00000000">
              <w:rPr>
                <w:color w:val="1f1f1f"/>
                <w:sz w:val="24"/>
                <w:szCs w:val="24"/>
                <w:rtl w:val="0"/>
              </w:rPr>
              <w:t xml:space="preserve">0.926</w:t>
            </w:r>
          </w:p>
        </w:tc>
        <w:tc>
          <w:tcPr>
            <w:tcMar>
              <w:top w:w="0.0" w:type="dxa"/>
              <w:left w:w="0.0" w:type="dxa"/>
              <w:bottom w:w="0.0" w:type="dxa"/>
              <w:right w:w="0.0" w:type="dxa"/>
            </w:tcMar>
            <w:vAlign w:val="center"/>
          </w:tcPr>
          <w:p w:rsidR="00000000" w:rsidDel="00000000" w:rsidP="00000000" w:rsidRDefault="00000000" w:rsidRPr="00000000" w14:paraId="000001CB">
            <w:pPr>
              <w:widowControl w:val="0"/>
              <w:spacing w:after="0" w:line="240" w:lineRule="auto"/>
              <w:jc w:val="center"/>
              <w:rPr>
                <w:color w:val="1f1f1f"/>
                <w:sz w:val="24"/>
                <w:szCs w:val="24"/>
              </w:rPr>
            </w:pPr>
            <w:r w:rsidDel="00000000" w:rsidR="00000000" w:rsidRPr="00000000">
              <w:rPr>
                <w:color w:val="1f1f1f"/>
                <w:sz w:val="24"/>
                <w:szCs w:val="24"/>
                <w:rtl w:val="0"/>
              </w:rPr>
              <w:t xml:space="preserve">0.970</w:t>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1CC">
            <w:pPr>
              <w:widowControl w:val="0"/>
              <w:spacing w:after="0" w:line="240" w:lineRule="auto"/>
              <w:jc w:val="both"/>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CD">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CE">
            <w:pPr>
              <w:widowControl w:val="0"/>
              <w:spacing w:after="0" w:line="240" w:lineRule="auto"/>
              <w:jc w:val="center"/>
              <w:rPr>
                <w:color w:val="1f1f1f"/>
                <w:sz w:val="24"/>
                <w:szCs w:val="24"/>
              </w:rPr>
            </w:pPr>
            <w:r w:rsidDel="00000000" w:rsidR="00000000" w:rsidRPr="00000000">
              <w:rPr>
                <w:color w:val="1f1f1f"/>
                <w:sz w:val="24"/>
                <w:szCs w:val="24"/>
                <w:rtl w:val="0"/>
              </w:rPr>
              <w:t xml:space="preserve">(0.093)</w:t>
            </w:r>
          </w:p>
        </w:tc>
        <w:tc>
          <w:tcPr>
            <w:tcMar>
              <w:top w:w="0.0" w:type="dxa"/>
              <w:left w:w="0.0" w:type="dxa"/>
              <w:bottom w:w="0.0" w:type="dxa"/>
              <w:right w:w="0.0" w:type="dxa"/>
            </w:tcMar>
            <w:vAlign w:val="center"/>
          </w:tcPr>
          <w:p w:rsidR="00000000" w:rsidDel="00000000" w:rsidP="00000000" w:rsidRDefault="00000000" w:rsidRPr="00000000" w14:paraId="000001CF">
            <w:pPr>
              <w:widowControl w:val="0"/>
              <w:spacing w:after="0" w:line="240" w:lineRule="auto"/>
              <w:jc w:val="center"/>
              <w:rPr>
                <w:color w:val="1f1f1f"/>
                <w:sz w:val="24"/>
                <w:szCs w:val="24"/>
              </w:rPr>
            </w:pPr>
            <w:r w:rsidDel="00000000" w:rsidR="00000000" w:rsidRPr="00000000">
              <w:rPr>
                <w:color w:val="1f1f1f"/>
                <w:sz w:val="24"/>
                <w:szCs w:val="24"/>
                <w:rtl w:val="0"/>
              </w:rPr>
              <w:t xml:space="preserve">(0.098)</w:t>
            </w:r>
          </w:p>
        </w:tc>
        <w:tc>
          <w:tcPr>
            <w:tcMar>
              <w:top w:w="0.0" w:type="dxa"/>
              <w:left w:w="0.0" w:type="dxa"/>
              <w:bottom w:w="0.0" w:type="dxa"/>
              <w:right w:w="0.0" w:type="dxa"/>
            </w:tcMar>
            <w:vAlign w:val="center"/>
          </w:tcPr>
          <w:p w:rsidR="00000000" w:rsidDel="00000000" w:rsidP="00000000" w:rsidRDefault="00000000" w:rsidRPr="00000000" w14:paraId="000001D0">
            <w:pPr>
              <w:widowControl w:val="0"/>
              <w:spacing w:after="0" w:line="240" w:lineRule="auto"/>
              <w:jc w:val="center"/>
              <w:rPr>
                <w:color w:val="1f1f1f"/>
                <w:sz w:val="24"/>
                <w:szCs w:val="24"/>
              </w:rPr>
            </w:pPr>
            <w:r w:rsidDel="00000000" w:rsidR="00000000" w:rsidRPr="00000000">
              <w:rPr>
                <w:color w:val="1f1f1f"/>
                <w:sz w:val="24"/>
                <w:szCs w:val="24"/>
                <w:rtl w:val="0"/>
              </w:rPr>
              <w:t xml:space="preserve">(0.100)</w:t>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1D1">
            <w:pPr>
              <w:widowControl w:val="0"/>
              <w:spacing w:after="0" w:line="240" w:lineRule="auto"/>
              <w:jc w:val="both"/>
              <w:rPr>
                <w:color w:val="1f1f1f"/>
                <w:sz w:val="24"/>
                <w:szCs w:val="24"/>
              </w:rPr>
            </w:pPr>
            <w:r w:rsidDel="00000000" w:rsidR="00000000" w:rsidRPr="00000000">
              <w:rPr>
                <w:color w:val="1f1f1f"/>
                <w:sz w:val="24"/>
                <w:szCs w:val="24"/>
                <w:rtl w:val="0"/>
              </w:rPr>
              <w:t xml:space="preserve">    Sul</w:t>
            </w:r>
          </w:p>
        </w:tc>
        <w:tc>
          <w:tcPr>
            <w:tcMar>
              <w:top w:w="0.0" w:type="dxa"/>
              <w:left w:w="0.0" w:type="dxa"/>
              <w:bottom w:w="0.0" w:type="dxa"/>
              <w:right w:w="0.0" w:type="dxa"/>
            </w:tcMar>
            <w:vAlign w:val="center"/>
          </w:tcPr>
          <w:p w:rsidR="00000000" w:rsidDel="00000000" w:rsidP="00000000" w:rsidRDefault="00000000" w:rsidRPr="00000000" w14:paraId="000001D2">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D3">
            <w:pPr>
              <w:widowControl w:val="0"/>
              <w:spacing w:after="0" w:line="240" w:lineRule="auto"/>
              <w:jc w:val="center"/>
              <w:rPr>
                <w:color w:val="1f1f1f"/>
                <w:sz w:val="24"/>
                <w:szCs w:val="24"/>
              </w:rPr>
            </w:pPr>
            <w:r w:rsidDel="00000000" w:rsidR="00000000" w:rsidRPr="00000000">
              <w:rPr>
                <w:color w:val="1f1f1f"/>
                <w:sz w:val="24"/>
                <w:szCs w:val="24"/>
                <w:rtl w:val="0"/>
              </w:rPr>
              <w:t xml:space="preserve">1.077</w:t>
            </w:r>
          </w:p>
        </w:tc>
        <w:tc>
          <w:tcPr>
            <w:tcMar>
              <w:top w:w="0.0" w:type="dxa"/>
              <w:left w:w="0.0" w:type="dxa"/>
              <w:bottom w:w="0.0" w:type="dxa"/>
              <w:right w:w="0.0" w:type="dxa"/>
            </w:tcMar>
            <w:vAlign w:val="center"/>
          </w:tcPr>
          <w:p w:rsidR="00000000" w:rsidDel="00000000" w:rsidP="00000000" w:rsidRDefault="00000000" w:rsidRPr="00000000" w14:paraId="000001D4">
            <w:pPr>
              <w:widowControl w:val="0"/>
              <w:spacing w:after="0" w:line="240" w:lineRule="auto"/>
              <w:jc w:val="center"/>
              <w:rPr>
                <w:color w:val="1f1f1f"/>
                <w:sz w:val="24"/>
                <w:szCs w:val="24"/>
              </w:rPr>
            </w:pPr>
            <w:r w:rsidDel="00000000" w:rsidR="00000000" w:rsidRPr="00000000">
              <w:rPr>
                <w:color w:val="1f1f1f"/>
                <w:sz w:val="24"/>
                <w:szCs w:val="24"/>
                <w:rtl w:val="0"/>
              </w:rPr>
              <w:t xml:space="preserve">1.071</w:t>
            </w:r>
          </w:p>
        </w:tc>
        <w:tc>
          <w:tcPr>
            <w:tcMar>
              <w:top w:w="0.0" w:type="dxa"/>
              <w:left w:w="0.0" w:type="dxa"/>
              <w:bottom w:w="0.0" w:type="dxa"/>
              <w:right w:w="0.0" w:type="dxa"/>
            </w:tcMar>
            <w:vAlign w:val="center"/>
          </w:tcPr>
          <w:p w:rsidR="00000000" w:rsidDel="00000000" w:rsidP="00000000" w:rsidRDefault="00000000" w:rsidRPr="00000000" w14:paraId="000001D5">
            <w:pPr>
              <w:widowControl w:val="0"/>
              <w:spacing w:after="0" w:line="240" w:lineRule="auto"/>
              <w:jc w:val="center"/>
              <w:rPr>
                <w:color w:val="1f1f1f"/>
                <w:sz w:val="24"/>
                <w:szCs w:val="24"/>
              </w:rPr>
            </w:pPr>
            <w:r w:rsidDel="00000000" w:rsidR="00000000" w:rsidRPr="00000000">
              <w:rPr>
                <w:color w:val="1f1f1f"/>
                <w:sz w:val="24"/>
                <w:szCs w:val="24"/>
                <w:rtl w:val="0"/>
              </w:rPr>
              <w:t xml:space="preserve">1.079</w:t>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1D6">
            <w:pPr>
              <w:widowControl w:val="0"/>
              <w:spacing w:after="0" w:line="240" w:lineRule="auto"/>
              <w:jc w:val="both"/>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D7">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D8">
            <w:pPr>
              <w:widowControl w:val="0"/>
              <w:spacing w:after="0" w:line="240" w:lineRule="auto"/>
              <w:jc w:val="center"/>
              <w:rPr>
                <w:color w:val="1f1f1f"/>
                <w:sz w:val="24"/>
                <w:szCs w:val="24"/>
              </w:rPr>
            </w:pPr>
            <w:r w:rsidDel="00000000" w:rsidR="00000000" w:rsidRPr="00000000">
              <w:rPr>
                <w:color w:val="1f1f1f"/>
                <w:sz w:val="24"/>
                <w:szCs w:val="24"/>
                <w:rtl w:val="0"/>
              </w:rPr>
              <w:t xml:space="preserve">(0.065)</w:t>
            </w:r>
          </w:p>
        </w:tc>
        <w:tc>
          <w:tcPr>
            <w:tcMar>
              <w:top w:w="0.0" w:type="dxa"/>
              <w:left w:w="0.0" w:type="dxa"/>
              <w:bottom w:w="0.0" w:type="dxa"/>
              <w:right w:w="0.0" w:type="dxa"/>
            </w:tcMar>
            <w:vAlign w:val="center"/>
          </w:tcPr>
          <w:p w:rsidR="00000000" w:rsidDel="00000000" w:rsidP="00000000" w:rsidRDefault="00000000" w:rsidRPr="00000000" w14:paraId="000001D9">
            <w:pPr>
              <w:widowControl w:val="0"/>
              <w:spacing w:after="0" w:line="240" w:lineRule="auto"/>
              <w:jc w:val="center"/>
              <w:rPr>
                <w:color w:val="1f1f1f"/>
                <w:sz w:val="24"/>
                <w:szCs w:val="24"/>
              </w:rPr>
            </w:pPr>
            <w:r w:rsidDel="00000000" w:rsidR="00000000" w:rsidRPr="00000000">
              <w:rPr>
                <w:color w:val="1f1f1f"/>
                <w:sz w:val="24"/>
                <w:szCs w:val="24"/>
                <w:rtl w:val="0"/>
              </w:rPr>
              <w:t xml:space="preserve">(0.066)</w:t>
            </w:r>
          </w:p>
        </w:tc>
        <w:tc>
          <w:tcPr>
            <w:tcMar>
              <w:top w:w="0.0" w:type="dxa"/>
              <w:left w:w="0.0" w:type="dxa"/>
              <w:bottom w:w="0.0" w:type="dxa"/>
              <w:right w:w="0.0" w:type="dxa"/>
            </w:tcMar>
            <w:vAlign w:val="center"/>
          </w:tcPr>
          <w:p w:rsidR="00000000" w:rsidDel="00000000" w:rsidP="00000000" w:rsidRDefault="00000000" w:rsidRPr="00000000" w14:paraId="000001DA">
            <w:pPr>
              <w:widowControl w:val="0"/>
              <w:spacing w:after="0" w:line="240" w:lineRule="auto"/>
              <w:jc w:val="center"/>
              <w:rPr>
                <w:color w:val="1f1f1f"/>
                <w:sz w:val="24"/>
                <w:szCs w:val="24"/>
              </w:rPr>
            </w:pPr>
            <w:r w:rsidDel="00000000" w:rsidR="00000000" w:rsidRPr="00000000">
              <w:rPr>
                <w:color w:val="1f1f1f"/>
                <w:sz w:val="24"/>
                <w:szCs w:val="24"/>
                <w:rtl w:val="0"/>
              </w:rPr>
              <w:t xml:space="preserve">(0.066)</w:t>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1DB">
            <w:pPr>
              <w:widowControl w:val="0"/>
              <w:spacing w:after="0" w:line="240" w:lineRule="auto"/>
              <w:jc w:val="both"/>
              <w:rPr>
                <w:color w:val="1f1f1f"/>
                <w:sz w:val="24"/>
                <w:szCs w:val="24"/>
              </w:rPr>
            </w:pPr>
            <w:r w:rsidDel="00000000" w:rsidR="00000000" w:rsidRPr="00000000">
              <w:rPr>
                <w:b w:val="1"/>
                <w:bCs w:val="1"/>
                <w:color w:val="1f1f1f"/>
                <w:sz w:val="24"/>
                <w:szCs w:val="24"/>
                <w:rtl w:val="0"/>
              </w:rPr>
              <w:t xml:space="preserve">Capacidade Instalada</w:t>
            </w:r>
            <w:r w:rsidDel="00000000" w:rsidR="00000000" w:rsidRPr="00000000">
              <w:rPr>
                <w:color w:val="1f1f1f"/>
                <w:sz w:val="24"/>
                <w:szCs w:val="24"/>
                <w:rtl w:val="0"/>
              </w:rPr>
              <w:t xml:space="preserve"> </w:t>
            </w:r>
            <w:r w:rsidDel="00000000" w:rsidR="00000000" w:rsidRPr="00000000">
              <w:rPr>
                <w:i w:val="1"/>
                <w:iCs w:val="1"/>
                <w:color w:val="1f1f1f"/>
                <w:sz w:val="24"/>
                <w:szCs w:val="24"/>
                <w:rtl w:val="0"/>
              </w:rPr>
              <w:t xml:space="preserve">(Ref: IGC Alto)</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DC">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DD">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DE">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DF">
            <w:pPr>
              <w:widowControl w:val="0"/>
              <w:spacing w:after="0" w:line="240" w:lineRule="auto"/>
              <w:jc w:val="center"/>
              <w:rPr>
                <w:color w:val="1f1f1f"/>
                <w:sz w:val="24"/>
                <w:szCs w:val="24"/>
              </w:rPr>
            </w:pPr>
            <w:r w:rsidDel="00000000" w:rsidR="00000000" w:rsidRPr="00000000">
              <w:rPr>
                <w:rtl w:val="0"/>
              </w:rPr>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1E0">
            <w:pPr>
              <w:widowControl w:val="0"/>
              <w:spacing w:after="0" w:line="240" w:lineRule="auto"/>
              <w:jc w:val="both"/>
              <w:rPr>
                <w:color w:val="1f1f1f"/>
                <w:sz w:val="24"/>
                <w:szCs w:val="24"/>
              </w:rPr>
            </w:pPr>
            <w:r w:rsidDel="00000000" w:rsidR="00000000" w:rsidRPr="00000000">
              <w:rPr>
                <w:color w:val="1f1f1f"/>
                <w:sz w:val="24"/>
                <w:szCs w:val="24"/>
                <w:rtl w:val="0"/>
              </w:rPr>
              <w:t xml:space="preserve">    IGC Médio</w:t>
            </w:r>
          </w:p>
        </w:tc>
        <w:tc>
          <w:tcPr>
            <w:tcMar>
              <w:top w:w="0.0" w:type="dxa"/>
              <w:left w:w="0.0" w:type="dxa"/>
              <w:bottom w:w="0.0" w:type="dxa"/>
              <w:right w:w="0.0" w:type="dxa"/>
            </w:tcMar>
            <w:vAlign w:val="center"/>
          </w:tcPr>
          <w:p w:rsidR="00000000" w:rsidDel="00000000" w:rsidP="00000000" w:rsidRDefault="00000000" w:rsidRPr="00000000" w14:paraId="000001E1">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E2">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E3">
            <w:pPr>
              <w:widowControl w:val="0"/>
              <w:spacing w:after="0" w:line="240" w:lineRule="auto"/>
              <w:jc w:val="center"/>
              <w:rPr>
                <w:color w:val="1f1f1f"/>
                <w:sz w:val="24"/>
                <w:szCs w:val="24"/>
              </w:rPr>
            </w:pPr>
            <w:r w:rsidDel="00000000" w:rsidR="00000000" w:rsidRPr="00000000">
              <w:rPr>
                <w:color w:val="1f1f1f"/>
                <w:sz w:val="24"/>
                <w:szCs w:val="24"/>
                <w:rtl w:val="0"/>
              </w:rPr>
              <w:t xml:space="preserve">0.965</w:t>
            </w:r>
          </w:p>
        </w:tc>
        <w:tc>
          <w:tcPr>
            <w:tcMar>
              <w:top w:w="0.0" w:type="dxa"/>
              <w:left w:w="0.0" w:type="dxa"/>
              <w:bottom w:w="0.0" w:type="dxa"/>
              <w:right w:w="0.0" w:type="dxa"/>
            </w:tcMar>
            <w:vAlign w:val="center"/>
          </w:tcPr>
          <w:p w:rsidR="00000000" w:rsidDel="00000000" w:rsidP="00000000" w:rsidRDefault="00000000" w:rsidRPr="00000000" w14:paraId="000001E4">
            <w:pPr>
              <w:widowControl w:val="0"/>
              <w:spacing w:after="0" w:line="240" w:lineRule="auto"/>
              <w:jc w:val="center"/>
              <w:rPr>
                <w:color w:val="1f1f1f"/>
                <w:sz w:val="24"/>
                <w:szCs w:val="24"/>
              </w:rPr>
            </w:pPr>
            <w:r w:rsidDel="00000000" w:rsidR="00000000" w:rsidRPr="00000000">
              <w:rPr>
                <w:color w:val="1f1f1f"/>
                <w:sz w:val="24"/>
                <w:szCs w:val="24"/>
                <w:rtl w:val="0"/>
              </w:rPr>
              <w:t xml:space="preserve">0.956</w:t>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1E5">
            <w:pPr>
              <w:widowControl w:val="0"/>
              <w:spacing w:after="0" w:line="240" w:lineRule="auto"/>
              <w:jc w:val="both"/>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E6">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E7">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E8">
            <w:pPr>
              <w:widowControl w:val="0"/>
              <w:spacing w:after="0" w:line="240" w:lineRule="auto"/>
              <w:jc w:val="center"/>
              <w:rPr>
                <w:color w:val="1f1f1f"/>
                <w:sz w:val="24"/>
                <w:szCs w:val="24"/>
              </w:rPr>
            </w:pPr>
            <w:r w:rsidDel="00000000" w:rsidR="00000000" w:rsidRPr="00000000">
              <w:rPr>
                <w:color w:val="1f1f1f"/>
                <w:sz w:val="24"/>
                <w:szCs w:val="24"/>
                <w:rtl w:val="0"/>
              </w:rPr>
              <w:t xml:space="preserve">(0.072)</w:t>
            </w:r>
          </w:p>
        </w:tc>
        <w:tc>
          <w:tcPr>
            <w:tcMar>
              <w:top w:w="0.0" w:type="dxa"/>
              <w:left w:w="0.0" w:type="dxa"/>
              <w:bottom w:w="0.0" w:type="dxa"/>
              <w:right w:w="0.0" w:type="dxa"/>
            </w:tcMar>
            <w:vAlign w:val="center"/>
          </w:tcPr>
          <w:p w:rsidR="00000000" w:rsidDel="00000000" w:rsidP="00000000" w:rsidRDefault="00000000" w:rsidRPr="00000000" w14:paraId="000001E9">
            <w:pPr>
              <w:widowControl w:val="0"/>
              <w:spacing w:after="0" w:line="240" w:lineRule="auto"/>
              <w:jc w:val="center"/>
              <w:rPr>
                <w:color w:val="1f1f1f"/>
                <w:sz w:val="24"/>
                <w:szCs w:val="24"/>
              </w:rPr>
            </w:pPr>
            <w:r w:rsidDel="00000000" w:rsidR="00000000" w:rsidRPr="00000000">
              <w:rPr>
                <w:color w:val="1f1f1f"/>
                <w:sz w:val="24"/>
                <w:szCs w:val="24"/>
                <w:rtl w:val="0"/>
              </w:rPr>
              <w:t xml:space="preserve">(0.072)</w:t>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1EA">
            <w:pPr>
              <w:widowControl w:val="0"/>
              <w:spacing w:after="0" w:line="240" w:lineRule="auto"/>
              <w:jc w:val="both"/>
              <w:rPr>
                <w:color w:val="1f1f1f"/>
                <w:sz w:val="24"/>
                <w:szCs w:val="24"/>
              </w:rPr>
            </w:pPr>
            <w:r w:rsidDel="00000000" w:rsidR="00000000" w:rsidRPr="00000000">
              <w:rPr>
                <w:color w:val="1f1f1f"/>
                <w:sz w:val="24"/>
                <w:szCs w:val="24"/>
                <w:rtl w:val="0"/>
              </w:rPr>
              <w:t xml:space="preserve">    Sem IGC</w:t>
            </w:r>
          </w:p>
        </w:tc>
        <w:tc>
          <w:tcPr>
            <w:tcMar>
              <w:top w:w="0.0" w:type="dxa"/>
              <w:left w:w="0.0" w:type="dxa"/>
              <w:bottom w:w="0.0" w:type="dxa"/>
              <w:right w:w="0.0" w:type="dxa"/>
            </w:tcMar>
            <w:vAlign w:val="center"/>
          </w:tcPr>
          <w:p w:rsidR="00000000" w:rsidDel="00000000" w:rsidP="00000000" w:rsidRDefault="00000000" w:rsidRPr="00000000" w14:paraId="000001EB">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EC">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ED">
            <w:pPr>
              <w:widowControl w:val="0"/>
              <w:spacing w:after="0" w:line="240" w:lineRule="auto"/>
              <w:jc w:val="center"/>
              <w:rPr>
                <w:color w:val="1f1f1f"/>
                <w:sz w:val="24"/>
                <w:szCs w:val="24"/>
              </w:rPr>
            </w:pPr>
            <w:r w:rsidDel="00000000" w:rsidR="00000000" w:rsidRPr="00000000">
              <w:rPr>
                <w:color w:val="1f1f1f"/>
                <w:sz w:val="24"/>
                <w:szCs w:val="24"/>
                <w:rtl w:val="0"/>
              </w:rPr>
              <w:t xml:space="preserve">0.596</w:t>
            </w:r>
          </w:p>
        </w:tc>
        <w:tc>
          <w:tcPr>
            <w:tcMar>
              <w:top w:w="0.0" w:type="dxa"/>
              <w:left w:w="0.0" w:type="dxa"/>
              <w:bottom w:w="0.0" w:type="dxa"/>
              <w:right w:w="0.0" w:type="dxa"/>
            </w:tcMar>
            <w:vAlign w:val="center"/>
          </w:tcPr>
          <w:p w:rsidR="00000000" w:rsidDel="00000000" w:rsidP="00000000" w:rsidRDefault="00000000" w:rsidRPr="00000000" w14:paraId="000001EE">
            <w:pPr>
              <w:widowControl w:val="0"/>
              <w:spacing w:after="0" w:line="240" w:lineRule="auto"/>
              <w:jc w:val="center"/>
              <w:rPr>
                <w:color w:val="1f1f1f"/>
                <w:sz w:val="24"/>
                <w:szCs w:val="24"/>
              </w:rPr>
            </w:pPr>
            <w:r w:rsidDel="00000000" w:rsidR="00000000" w:rsidRPr="00000000">
              <w:rPr>
                <w:color w:val="1f1f1f"/>
                <w:sz w:val="24"/>
                <w:szCs w:val="24"/>
                <w:rtl w:val="0"/>
              </w:rPr>
              <w:t xml:space="preserve">0.593</w:t>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1EF">
            <w:pPr>
              <w:widowControl w:val="0"/>
              <w:spacing w:after="0" w:line="240" w:lineRule="auto"/>
              <w:jc w:val="both"/>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F0">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F1">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F2">
            <w:pPr>
              <w:widowControl w:val="0"/>
              <w:spacing w:after="0" w:line="240" w:lineRule="auto"/>
              <w:jc w:val="center"/>
              <w:rPr>
                <w:color w:val="1f1f1f"/>
                <w:sz w:val="24"/>
                <w:szCs w:val="24"/>
              </w:rPr>
            </w:pPr>
            <w:r w:rsidDel="00000000" w:rsidR="00000000" w:rsidRPr="00000000">
              <w:rPr>
                <w:color w:val="1f1f1f"/>
                <w:sz w:val="24"/>
                <w:szCs w:val="24"/>
                <w:rtl w:val="0"/>
              </w:rPr>
              <w:t xml:space="preserve">(0.439)</w:t>
            </w:r>
          </w:p>
        </w:tc>
        <w:tc>
          <w:tcPr>
            <w:tcMar>
              <w:top w:w="0.0" w:type="dxa"/>
              <w:left w:w="0.0" w:type="dxa"/>
              <w:bottom w:w="0.0" w:type="dxa"/>
              <w:right w:w="0.0" w:type="dxa"/>
            </w:tcMar>
            <w:vAlign w:val="center"/>
          </w:tcPr>
          <w:p w:rsidR="00000000" w:rsidDel="00000000" w:rsidP="00000000" w:rsidRDefault="00000000" w:rsidRPr="00000000" w14:paraId="000001F3">
            <w:pPr>
              <w:widowControl w:val="0"/>
              <w:spacing w:after="0" w:line="240" w:lineRule="auto"/>
              <w:jc w:val="center"/>
              <w:rPr>
                <w:color w:val="1f1f1f"/>
                <w:sz w:val="24"/>
                <w:szCs w:val="24"/>
              </w:rPr>
            </w:pPr>
            <w:r w:rsidDel="00000000" w:rsidR="00000000" w:rsidRPr="00000000">
              <w:rPr>
                <w:color w:val="1f1f1f"/>
                <w:sz w:val="24"/>
                <w:szCs w:val="24"/>
                <w:rtl w:val="0"/>
              </w:rPr>
              <w:t xml:space="preserve">(0.437)</w:t>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1F4">
            <w:pPr>
              <w:widowControl w:val="0"/>
              <w:spacing w:after="0" w:line="240" w:lineRule="auto"/>
              <w:jc w:val="both"/>
              <w:rPr>
                <w:color w:val="1f1f1f"/>
                <w:sz w:val="24"/>
                <w:szCs w:val="24"/>
              </w:rPr>
            </w:pPr>
            <w:r w:rsidDel="00000000" w:rsidR="00000000" w:rsidRPr="00000000">
              <w:rPr>
                <w:b w:val="1"/>
                <w:bCs w:val="1"/>
                <w:color w:val="1f1f1f"/>
                <w:sz w:val="24"/>
                <w:szCs w:val="24"/>
                <w:rtl w:val="0"/>
              </w:rPr>
              <w:t xml:space="preserve">Capital Científico</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F5">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F6">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F7">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F8">
            <w:pPr>
              <w:widowControl w:val="0"/>
              <w:spacing w:after="0" w:line="240" w:lineRule="auto"/>
              <w:jc w:val="center"/>
              <w:rPr>
                <w:color w:val="1f1f1f"/>
                <w:sz w:val="24"/>
                <w:szCs w:val="24"/>
              </w:rPr>
            </w:pPr>
            <w:r w:rsidDel="00000000" w:rsidR="00000000" w:rsidRPr="00000000">
              <w:rPr>
                <w:rtl w:val="0"/>
              </w:rPr>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1F9">
            <w:pPr>
              <w:widowControl w:val="0"/>
              <w:spacing w:after="0" w:line="240" w:lineRule="auto"/>
              <w:jc w:val="both"/>
              <w:rPr>
                <w:color w:val="1f1f1f"/>
                <w:sz w:val="24"/>
                <w:szCs w:val="24"/>
              </w:rPr>
            </w:pPr>
            <w:r w:rsidDel="00000000" w:rsidR="00000000" w:rsidRPr="00000000">
              <w:rPr>
                <w:color w:val="1f1f1f"/>
                <w:sz w:val="24"/>
                <w:szCs w:val="24"/>
                <w:rtl w:val="0"/>
              </w:rPr>
              <w:t xml:space="preserve">    Índice H do Pesquisador</w:t>
            </w:r>
          </w:p>
        </w:tc>
        <w:tc>
          <w:tcPr>
            <w:tcMar>
              <w:top w:w="0.0" w:type="dxa"/>
              <w:left w:w="0.0" w:type="dxa"/>
              <w:bottom w:w="0.0" w:type="dxa"/>
              <w:right w:w="0.0" w:type="dxa"/>
            </w:tcMar>
            <w:vAlign w:val="center"/>
          </w:tcPr>
          <w:p w:rsidR="00000000" w:rsidDel="00000000" w:rsidP="00000000" w:rsidRDefault="00000000" w:rsidRPr="00000000" w14:paraId="000001FA">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FB">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FC">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FD">
            <w:pPr>
              <w:widowControl w:val="0"/>
              <w:spacing w:after="0" w:line="240" w:lineRule="auto"/>
              <w:jc w:val="center"/>
              <w:rPr>
                <w:color w:val="1f1f1f"/>
                <w:sz w:val="24"/>
                <w:szCs w:val="24"/>
              </w:rPr>
            </w:pPr>
            <w:r w:rsidDel="00000000" w:rsidR="00000000" w:rsidRPr="00000000">
              <w:rPr>
                <w:color w:val="1f1f1f"/>
                <w:sz w:val="24"/>
                <w:szCs w:val="24"/>
                <w:rtl w:val="0"/>
              </w:rPr>
              <w:t xml:space="preserve">1.004*</w:t>
            </w:r>
          </w:p>
        </w:tc>
      </w:tr>
      <w:tr>
        <w:trPr>
          <w:cantSplit w:val="0"/>
          <w:trHeight w:val="144" w:hRule="atLeast"/>
          <w:tblHeader w:val="0"/>
        </w:trPr>
        <w:tc>
          <w:tcPr>
            <w:tcBorders>
              <w:bottom w:color="1f1f1f" w:space="0" w:sz="8" w:val="single"/>
            </w:tcBorders>
            <w:tcMar>
              <w:top w:w="0.0" w:type="dxa"/>
              <w:left w:w="0.0" w:type="dxa"/>
              <w:bottom w:w="0.0" w:type="dxa"/>
              <w:right w:w="0.0" w:type="dxa"/>
            </w:tcMar>
            <w:vAlign w:val="center"/>
          </w:tcPr>
          <w:p w:rsidR="00000000" w:rsidDel="00000000" w:rsidP="00000000" w:rsidRDefault="00000000" w:rsidRPr="00000000" w14:paraId="000001FE">
            <w:pPr>
              <w:widowControl w:val="0"/>
              <w:spacing w:after="0" w:line="240" w:lineRule="auto"/>
              <w:jc w:val="both"/>
              <w:rPr>
                <w:color w:val="1f1f1f"/>
                <w:sz w:val="24"/>
                <w:szCs w:val="24"/>
              </w:rPr>
            </w:pPr>
            <w:r w:rsidDel="00000000" w:rsidR="00000000" w:rsidRPr="00000000">
              <w:rPr>
                <w:rtl w:val="0"/>
              </w:rPr>
            </w:r>
          </w:p>
        </w:tc>
        <w:tc>
          <w:tcPr>
            <w:tcBorders>
              <w:bottom w:color="1f1f1f" w:space="0" w:sz="8" w:val="single"/>
            </w:tcBorders>
            <w:tcMar>
              <w:top w:w="0.0" w:type="dxa"/>
              <w:left w:w="0.0" w:type="dxa"/>
              <w:bottom w:w="0.0" w:type="dxa"/>
              <w:right w:w="0.0" w:type="dxa"/>
            </w:tcMar>
            <w:vAlign w:val="center"/>
          </w:tcPr>
          <w:p w:rsidR="00000000" w:rsidDel="00000000" w:rsidP="00000000" w:rsidRDefault="00000000" w:rsidRPr="00000000" w14:paraId="000001FF">
            <w:pPr>
              <w:widowControl w:val="0"/>
              <w:spacing w:after="0" w:line="240" w:lineRule="auto"/>
              <w:jc w:val="center"/>
              <w:rPr>
                <w:color w:val="1f1f1f"/>
                <w:sz w:val="24"/>
                <w:szCs w:val="24"/>
              </w:rPr>
            </w:pPr>
            <w:r w:rsidDel="00000000" w:rsidR="00000000" w:rsidRPr="00000000">
              <w:rPr>
                <w:rtl w:val="0"/>
              </w:rPr>
            </w:r>
          </w:p>
        </w:tc>
        <w:tc>
          <w:tcPr>
            <w:tcBorders>
              <w:bottom w:color="1f1f1f" w:space="0" w:sz="8" w:val="single"/>
            </w:tcBorders>
            <w:tcMar>
              <w:top w:w="0.0" w:type="dxa"/>
              <w:left w:w="0.0" w:type="dxa"/>
              <w:bottom w:w="0.0" w:type="dxa"/>
              <w:right w:w="0.0" w:type="dxa"/>
            </w:tcMar>
            <w:vAlign w:val="center"/>
          </w:tcPr>
          <w:p w:rsidR="00000000" w:rsidDel="00000000" w:rsidP="00000000" w:rsidRDefault="00000000" w:rsidRPr="00000000" w14:paraId="00000200">
            <w:pPr>
              <w:widowControl w:val="0"/>
              <w:spacing w:after="0" w:line="240" w:lineRule="auto"/>
              <w:jc w:val="center"/>
              <w:rPr>
                <w:color w:val="1f1f1f"/>
                <w:sz w:val="24"/>
                <w:szCs w:val="24"/>
              </w:rPr>
            </w:pPr>
            <w:r w:rsidDel="00000000" w:rsidR="00000000" w:rsidRPr="00000000">
              <w:rPr>
                <w:rtl w:val="0"/>
              </w:rPr>
            </w:r>
          </w:p>
        </w:tc>
        <w:tc>
          <w:tcPr>
            <w:tcBorders>
              <w:bottom w:color="1f1f1f" w:space="0" w:sz="8" w:val="single"/>
            </w:tcBorders>
            <w:tcMar>
              <w:top w:w="0.0" w:type="dxa"/>
              <w:left w:w="0.0" w:type="dxa"/>
              <w:bottom w:w="0.0" w:type="dxa"/>
              <w:right w:w="0.0" w:type="dxa"/>
            </w:tcMar>
            <w:vAlign w:val="center"/>
          </w:tcPr>
          <w:p w:rsidR="00000000" w:rsidDel="00000000" w:rsidP="00000000" w:rsidRDefault="00000000" w:rsidRPr="00000000" w14:paraId="00000201">
            <w:pPr>
              <w:widowControl w:val="0"/>
              <w:spacing w:after="0" w:line="240" w:lineRule="auto"/>
              <w:jc w:val="center"/>
              <w:rPr>
                <w:color w:val="1f1f1f"/>
                <w:sz w:val="24"/>
                <w:szCs w:val="24"/>
              </w:rPr>
            </w:pPr>
            <w:r w:rsidDel="00000000" w:rsidR="00000000" w:rsidRPr="00000000">
              <w:rPr>
                <w:rtl w:val="0"/>
              </w:rPr>
            </w:r>
          </w:p>
        </w:tc>
        <w:tc>
          <w:tcPr>
            <w:tcBorders>
              <w:bottom w:color="1f1f1f" w:space="0" w:sz="8" w:val="single"/>
            </w:tcBorders>
            <w:tcMar>
              <w:top w:w="0.0" w:type="dxa"/>
              <w:left w:w="0.0" w:type="dxa"/>
              <w:bottom w:w="0.0" w:type="dxa"/>
              <w:right w:w="0.0" w:type="dxa"/>
            </w:tcMar>
            <w:vAlign w:val="center"/>
          </w:tcPr>
          <w:p w:rsidR="00000000" w:rsidDel="00000000" w:rsidP="00000000" w:rsidRDefault="00000000" w:rsidRPr="00000000" w14:paraId="00000202">
            <w:pPr>
              <w:widowControl w:val="0"/>
              <w:spacing w:after="0" w:line="240" w:lineRule="auto"/>
              <w:jc w:val="center"/>
              <w:rPr>
                <w:color w:val="1f1f1f"/>
                <w:sz w:val="24"/>
                <w:szCs w:val="24"/>
              </w:rPr>
            </w:pPr>
            <w:r w:rsidDel="00000000" w:rsidR="00000000" w:rsidRPr="00000000">
              <w:rPr>
                <w:color w:val="1f1f1f"/>
                <w:sz w:val="24"/>
                <w:szCs w:val="24"/>
                <w:rtl w:val="0"/>
              </w:rPr>
              <w:t xml:space="preserve">(0.002)</w:t>
            </w:r>
          </w:p>
        </w:tc>
      </w:tr>
      <w:tr>
        <w:trPr>
          <w:cantSplit w:val="0"/>
          <w:trHeight w:val="144" w:hRule="atLeast"/>
          <w:tblHeader w:val="0"/>
        </w:trPr>
        <w:tc>
          <w:tcPr>
            <w:tcBorders>
              <w:top w:color="1f1f1f" w:space="0" w:sz="8" w:val="single"/>
            </w:tcBorders>
            <w:tcMar>
              <w:top w:w="0.0" w:type="dxa"/>
              <w:left w:w="0.0" w:type="dxa"/>
              <w:bottom w:w="0.0" w:type="dxa"/>
              <w:right w:w="0.0" w:type="dxa"/>
            </w:tcMar>
            <w:vAlign w:val="center"/>
          </w:tcPr>
          <w:p w:rsidR="00000000" w:rsidDel="00000000" w:rsidP="00000000" w:rsidRDefault="00000000" w:rsidRPr="00000000" w14:paraId="00000203">
            <w:pPr>
              <w:widowControl w:val="0"/>
              <w:spacing w:after="0" w:line="240" w:lineRule="auto"/>
              <w:jc w:val="both"/>
              <w:rPr>
                <w:color w:val="1f1f1f"/>
                <w:sz w:val="24"/>
                <w:szCs w:val="24"/>
              </w:rPr>
            </w:pPr>
            <w:r w:rsidDel="00000000" w:rsidR="00000000" w:rsidRPr="00000000">
              <w:rPr>
                <w:b w:val="1"/>
                <w:bCs w:val="1"/>
                <w:color w:val="1f1f1f"/>
                <w:sz w:val="24"/>
                <w:szCs w:val="24"/>
                <w:rtl w:val="0"/>
              </w:rPr>
              <w:t xml:space="preserve">Estatísticas de Ajuste</w:t>
            </w:r>
            <w:r w:rsidDel="00000000" w:rsidR="00000000" w:rsidRPr="00000000">
              <w:rPr>
                <w:rtl w:val="0"/>
              </w:rPr>
            </w:r>
          </w:p>
        </w:tc>
        <w:tc>
          <w:tcPr>
            <w:tcBorders>
              <w:top w:color="1f1f1f" w:space="0" w:sz="8" w:val="single"/>
            </w:tcBorders>
            <w:tcMar>
              <w:top w:w="0.0" w:type="dxa"/>
              <w:left w:w="0.0" w:type="dxa"/>
              <w:bottom w:w="0.0" w:type="dxa"/>
              <w:right w:w="0.0" w:type="dxa"/>
            </w:tcMar>
            <w:vAlign w:val="center"/>
          </w:tcPr>
          <w:p w:rsidR="00000000" w:rsidDel="00000000" w:rsidP="00000000" w:rsidRDefault="00000000" w:rsidRPr="00000000" w14:paraId="00000204">
            <w:pPr>
              <w:widowControl w:val="0"/>
              <w:spacing w:after="0" w:line="240" w:lineRule="auto"/>
              <w:jc w:val="both"/>
              <w:rPr>
                <w:color w:val="1f1f1f"/>
                <w:sz w:val="24"/>
                <w:szCs w:val="24"/>
              </w:rPr>
            </w:pPr>
            <w:r w:rsidDel="00000000" w:rsidR="00000000" w:rsidRPr="00000000">
              <w:rPr>
                <w:rtl w:val="0"/>
              </w:rPr>
            </w:r>
          </w:p>
        </w:tc>
        <w:tc>
          <w:tcPr>
            <w:tcBorders>
              <w:top w:color="1f1f1f" w:space="0" w:sz="8" w:val="single"/>
            </w:tcBorders>
            <w:tcMar>
              <w:top w:w="0.0" w:type="dxa"/>
              <w:left w:w="0.0" w:type="dxa"/>
              <w:bottom w:w="0.0" w:type="dxa"/>
              <w:right w:w="0.0" w:type="dxa"/>
            </w:tcMar>
            <w:vAlign w:val="center"/>
          </w:tcPr>
          <w:p w:rsidR="00000000" w:rsidDel="00000000" w:rsidP="00000000" w:rsidRDefault="00000000" w:rsidRPr="00000000" w14:paraId="00000205">
            <w:pPr>
              <w:widowControl w:val="0"/>
              <w:spacing w:after="0" w:line="240" w:lineRule="auto"/>
              <w:jc w:val="both"/>
              <w:rPr>
                <w:color w:val="1f1f1f"/>
                <w:sz w:val="24"/>
                <w:szCs w:val="24"/>
              </w:rPr>
            </w:pPr>
            <w:r w:rsidDel="00000000" w:rsidR="00000000" w:rsidRPr="00000000">
              <w:rPr>
                <w:rtl w:val="0"/>
              </w:rPr>
            </w:r>
          </w:p>
        </w:tc>
        <w:tc>
          <w:tcPr>
            <w:tcBorders>
              <w:top w:color="1f1f1f" w:space="0" w:sz="8" w:val="single"/>
            </w:tcBorders>
            <w:tcMar>
              <w:top w:w="0.0" w:type="dxa"/>
              <w:left w:w="0.0" w:type="dxa"/>
              <w:bottom w:w="0.0" w:type="dxa"/>
              <w:right w:w="0.0" w:type="dxa"/>
            </w:tcMar>
            <w:vAlign w:val="center"/>
          </w:tcPr>
          <w:p w:rsidR="00000000" w:rsidDel="00000000" w:rsidP="00000000" w:rsidRDefault="00000000" w:rsidRPr="00000000" w14:paraId="00000206">
            <w:pPr>
              <w:widowControl w:val="0"/>
              <w:spacing w:after="0" w:line="240" w:lineRule="auto"/>
              <w:jc w:val="both"/>
              <w:rPr>
                <w:color w:val="1f1f1f"/>
                <w:sz w:val="24"/>
                <w:szCs w:val="24"/>
              </w:rPr>
            </w:pPr>
            <w:r w:rsidDel="00000000" w:rsidR="00000000" w:rsidRPr="00000000">
              <w:rPr>
                <w:rtl w:val="0"/>
              </w:rPr>
            </w:r>
          </w:p>
        </w:tc>
        <w:tc>
          <w:tcPr>
            <w:tcBorders>
              <w:top w:color="1f1f1f" w:space="0" w:sz="8" w:val="single"/>
            </w:tcBorders>
            <w:tcMar>
              <w:top w:w="0.0" w:type="dxa"/>
              <w:left w:w="0.0" w:type="dxa"/>
              <w:bottom w:w="0.0" w:type="dxa"/>
              <w:right w:w="0.0" w:type="dxa"/>
            </w:tcMar>
            <w:vAlign w:val="center"/>
          </w:tcPr>
          <w:p w:rsidR="00000000" w:rsidDel="00000000" w:rsidP="00000000" w:rsidRDefault="00000000" w:rsidRPr="00000000" w14:paraId="00000207">
            <w:pPr>
              <w:widowControl w:val="0"/>
              <w:spacing w:after="0" w:line="240" w:lineRule="auto"/>
              <w:jc w:val="both"/>
              <w:rPr>
                <w:color w:val="1f1f1f"/>
                <w:sz w:val="24"/>
                <w:szCs w:val="24"/>
              </w:rPr>
            </w:pPr>
            <w:r w:rsidDel="00000000" w:rsidR="00000000" w:rsidRPr="00000000">
              <w:rPr>
                <w:rtl w:val="0"/>
              </w:rPr>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208">
            <w:pPr>
              <w:widowControl w:val="0"/>
              <w:spacing w:after="0" w:line="240" w:lineRule="auto"/>
              <w:jc w:val="both"/>
              <w:rPr>
                <w:color w:val="1f1f1f"/>
                <w:sz w:val="24"/>
                <w:szCs w:val="24"/>
              </w:rPr>
            </w:pPr>
            <w:r w:rsidDel="00000000" w:rsidR="00000000" w:rsidRPr="00000000">
              <w:rPr>
                <w:color w:val="1f1f1f"/>
                <w:sz w:val="24"/>
                <w:szCs w:val="24"/>
                <w:rtl w:val="0"/>
              </w:rPr>
              <w:t xml:space="preserve">    Tamanho da Amostra (</w:t>
            </w:r>
            <w:r w:rsidDel="00000000" w:rsidR="00000000" w:rsidRPr="00000000">
              <w:rPr>
                <w:i w:val="1"/>
                <w:iCs w:val="1"/>
                <w:color w:val="1f1f1f"/>
                <w:sz w:val="24"/>
                <w:szCs w:val="24"/>
                <w:rtl w:val="0"/>
              </w:rPr>
              <w:t xml:space="preserve">N</w:t>
            </w:r>
            <w:r w:rsidDel="00000000" w:rsidR="00000000" w:rsidRPr="00000000">
              <w:rPr>
                <w:color w:val="1f1f1f"/>
                <w:sz w:val="24"/>
                <w:szCs w:val="24"/>
                <w:rtl w:val="0"/>
              </w:rPr>
              <w:t xml:space="preserve">)</w:t>
            </w:r>
          </w:p>
        </w:tc>
        <w:tc>
          <w:tcPr>
            <w:tcMar>
              <w:top w:w="0.0" w:type="dxa"/>
              <w:left w:w="0.0" w:type="dxa"/>
              <w:bottom w:w="0.0" w:type="dxa"/>
              <w:right w:w="0.0" w:type="dxa"/>
            </w:tcMar>
            <w:vAlign w:val="center"/>
          </w:tcPr>
          <w:p w:rsidR="00000000" w:rsidDel="00000000" w:rsidP="00000000" w:rsidRDefault="00000000" w:rsidRPr="00000000" w14:paraId="00000209">
            <w:pPr>
              <w:widowControl w:val="0"/>
              <w:spacing w:after="0" w:line="240" w:lineRule="auto"/>
              <w:jc w:val="center"/>
              <w:rPr>
                <w:color w:val="1f1f1f"/>
                <w:sz w:val="24"/>
                <w:szCs w:val="24"/>
              </w:rPr>
            </w:pPr>
            <w:r w:rsidDel="00000000" w:rsidR="00000000" w:rsidRPr="00000000">
              <w:rPr>
                <w:color w:val="1f1f1f"/>
                <w:sz w:val="24"/>
                <w:szCs w:val="24"/>
                <w:rtl w:val="0"/>
              </w:rPr>
              <w:t xml:space="preserve">496</w:t>
            </w:r>
          </w:p>
        </w:tc>
        <w:tc>
          <w:tcPr>
            <w:tcMar>
              <w:top w:w="0.0" w:type="dxa"/>
              <w:left w:w="0.0" w:type="dxa"/>
              <w:bottom w:w="0.0" w:type="dxa"/>
              <w:right w:w="0.0" w:type="dxa"/>
            </w:tcMar>
            <w:vAlign w:val="center"/>
          </w:tcPr>
          <w:p w:rsidR="00000000" w:rsidDel="00000000" w:rsidP="00000000" w:rsidRDefault="00000000" w:rsidRPr="00000000" w14:paraId="0000020A">
            <w:pPr>
              <w:widowControl w:val="0"/>
              <w:spacing w:after="0" w:line="240" w:lineRule="auto"/>
              <w:jc w:val="center"/>
              <w:rPr>
                <w:color w:val="1f1f1f"/>
                <w:sz w:val="24"/>
                <w:szCs w:val="24"/>
              </w:rPr>
            </w:pPr>
            <w:r w:rsidDel="00000000" w:rsidR="00000000" w:rsidRPr="00000000">
              <w:rPr>
                <w:color w:val="1f1f1f"/>
                <w:sz w:val="24"/>
                <w:szCs w:val="24"/>
                <w:rtl w:val="0"/>
              </w:rPr>
              <w:t xml:space="preserve">496</w:t>
            </w:r>
          </w:p>
        </w:tc>
        <w:tc>
          <w:tcPr>
            <w:tcMar>
              <w:top w:w="0.0" w:type="dxa"/>
              <w:left w:w="0.0" w:type="dxa"/>
              <w:bottom w:w="0.0" w:type="dxa"/>
              <w:right w:w="0.0" w:type="dxa"/>
            </w:tcMar>
            <w:vAlign w:val="center"/>
          </w:tcPr>
          <w:p w:rsidR="00000000" w:rsidDel="00000000" w:rsidP="00000000" w:rsidRDefault="00000000" w:rsidRPr="00000000" w14:paraId="0000020B">
            <w:pPr>
              <w:widowControl w:val="0"/>
              <w:spacing w:after="0" w:line="240" w:lineRule="auto"/>
              <w:jc w:val="center"/>
              <w:rPr>
                <w:color w:val="1f1f1f"/>
                <w:sz w:val="24"/>
                <w:szCs w:val="24"/>
              </w:rPr>
            </w:pPr>
            <w:r w:rsidDel="00000000" w:rsidR="00000000" w:rsidRPr="00000000">
              <w:rPr>
                <w:color w:val="1f1f1f"/>
                <w:sz w:val="24"/>
                <w:szCs w:val="24"/>
                <w:rtl w:val="0"/>
              </w:rPr>
              <w:t xml:space="preserve">496</w:t>
            </w:r>
          </w:p>
        </w:tc>
        <w:tc>
          <w:tcPr>
            <w:tcMar>
              <w:top w:w="0.0" w:type="dxa"/>
              <w:left w:w="0.0" w:type="dxa"/>
              <w:bottom w:w="0.0" w:type="dxa"/>
              <w:right w:w="0.0" w:type="dxa"/>
            </w:tcMar>
            <w:vAlign w:val="center"/>
          </w:tcPr>
          <w:p w:rsidR="00000000" w:rsidDel="00000000" w:rsidP="00000000" w:rsidRDefault="00000000" w:rsidRPr="00000000" w14:paraId="0000020C">
            <w:pPr>
              <w:widowControl w:val="0"/>
              <w:spacing w:after="0" w:line="240" w:lineRule="auto"/>
              <w:jc w:val="center"/>
              <w:rPr>
                <w:color w:val="1f1f1f"/>
                <w:sz w:val="24"/>
                <w:szCs w:val="24"/>
              </w:rPr>
            </w:pPr>
            <w:r w:rsidDel="00000000" w:rsidR="00000000" w:rsidRPr="00000000">
              <w:rPr>
                <w:color w:val="1f1f1f"/>
                <w:sz w:val="24"/>
                <w:szCs w:val="24"/>
                <w:rtl w:val="0"/>
              </w:rPr>
              <w:t xml:space="preserve">496</w:t>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20D">
            <w:pPr>
              <w:widowControl w:val="0"/>
              <w:spacing w:after="0" w:line="240" w:lineRule="auto"/>
              <w:jc w:val="both"/>
              <w:rPr>
                <w:color w:val="1f1f1f"/>
                <w:sz w:val="24"/>
                <w:szCs w:val="24"/>
              </w:rPr>
            </w:pPr>
            <w:r w:rsidDel="00000000" w:rsidR="00000000" w:rsidRPr="00000000">
              <w:rPr>
                <w:color w:val="1f1f1f"/>
                <w:sz w:val="24"/>
                <w:szCs w:val="24"/>
                <w:rtl w:val="0"/>
              </w:rPr>
              <w:t xml:space="preserve">    Deviance</w:t>
            </w:r>
          </w:p>
        </w:tc>
        <w:tc>
          <w:tcPr>
            <w:tcMar>
              <w:top w:w="0.0" w:type="dxa"/>
              <w:left w:w="0.0" w:type="dxa"/>
              <w:bottom w:w="0.0" w:type="dxa"/>
              <w:right w:w="0.0" w:type="dxa"/>
            </w:tcMar>
            <w:vAlign w:val="center"/>
          </w:tcPr>
          <w:p w:rsidR="00000000" w:rsidDel="00000000" w:rsidP="00000000" w:rsidRDefault="00000000" w:rsidRPr="00000000" w14:paraId="0000020E">
            <w:pPr>
              <w:widowControl w:val="0"/>
              <w:spacing w:after="0" w:line="240" w:lineRule="auto"/>
              <w:jc w:val="center"/>
              <w:rPr>
                <w:color w:val="1f1f1f"/>
                <w:sz w:val="24"/>
                <w:szCs w:val="24"/>
              </w:rPr>
            </w:pPr>
            <w:r w:rsidDel="00000000" w:rsidR="00000000" w:rsidRPr="00000000">
              <w:rPr>
                <w:color w:val="1f1f1f"/>
                <w:sz w:val="24"/>
                <w:szCs w:val="24"/>
                <w:rtl w:val="0"/>
              </w:rPr>
              <w:t xml:space="preserve">239.143</w:t>
            </w:r>
          </w:p>
        </w:tc>
        <w:tc>
          <w:tcPr>
            <w:tcMar>
              <w:top w:w="0.0" w:type="dxa"/>
              <w:left w:w="0.0" w:type="dxa"/>
              <w:bottom w:w="0.0" w:type="dxa"/>
              <w:right w:w="0.0" w:type="dxa"/>
            </w:tcMar>
            <w:vAlign w:val="center"/>
          </w:tcPr>
          <w:p w:rsidR="00000000" w:rsidDel="00000000" w:rsidP="00000000" w:rsidRDefault="00000000" w:rsidRPr="00000000" w14:paraId="0000020F">
            <w:pPr>
              <w:widowControl w:val="0"/>
              <w:spacing w:after="0" w:line="240" w:lineRule="auto"/>
              <w:jc w:val="center"/>
              <w:rPr>
                <w:color w:val="1f1f1f"/>
                <w:sz w:val="24"/>
                <w:szCs w:val="24"/>
              </w:rPr>
            </w:pPr>
            <w:r w:rsidDel="00000000" w:rsidR="00000000" w:rsidRPr="00000000">
              <w:rPr>
                <w:color w:val="1f1f1f"/>
                <w:sz w:val="24"/>
                <w:szCs w:val="24"/>
                <w:rtl w:val="0"/>
              </w:rPr>
              <w:t xml:space="preserve">235.383</w:t>
            </w:r>
          </w:p>
        </w:tc>
        <w:tc>
          <w:tcPr>
            <w:tcMar>
              <w:top w:w="0.0" w:type="dxa"/>
              <w:left w:w="0.0" w:type="dxa"/>
              <w:bottom w:w="0.0" w:type="dxa"/>
              <w:right w:w="0.0" w:type="dxa"/>
            </w:tcMar>
            <w:vAlign w:val="center"/>
          </w:tcPr>
          <w:p w:rsidR="00000000" w:rsidDel="00000000" w:rsidP="00000000" w:rsidRDefault="00000000" w:rsidRPr="00000000" w14:paraId="00000210">
            <w:pPr>
              <w:widowControl w:val="0"/>
              <w:spacing w:after="0" w:line="240" w:lineRule="auto"/>
              <w:jc w:val="center"/>
              <w:rPr>
                <w:color w:val="1f1f1f"/>
                <w:sz w:val="24"/>
                <w:szCs w:val="24"/>
              </w:rPr>
            </w:pPr>
            <w:r w:rsidDel="00000000" w:rsidR="00000000" w:rsidRPr="00000000">
              <w:rPr>
                <w:color w:val="1f1f1f"/>
                <w:sz w:val="24"/>
                <w:szCs w:val="24"/>
                <w:rtl w:val="0"/>
              </w:rPr>
              <w:t xml:space="preserve">234.409</w:t>
            </w:r>
          </w:p>
        </w:tc>
        <w:tc>
          <w:tcPr>
            <w:tcMar>
              <w:top w:w="0.0" w:type="dxa"/>
              <w:left w:w="0.0" w:type="dxa"/>
              <w:bottom w:w="0.0" w:type="dxa"/>
              <w:right w:w="0.0" w:type="dxa"/>
            </w:tcMar>
            <w:vAlign w:val="center"/>
          </w:tcPr>
          <w:p w:rsidR="00000000" w:rsidDel="00000000" w:rsidP="00000000" w:rsidRDefault="00000000" w:rsidRPr="00000000" w14:paraId="00000211">
            <w:pPr>
              <w:widowControl w:val="0"/>
              <w:spacing w:after="0" w:line="240" w:lineRule="auto"/>
              <w:jc w:val="center"/>
              <w:rPr>
                <w:color w:val="1f1f1f"/>
                <w:sz w:val="24"/>
                <w:szCs w:val="24"/>
              </w:rPr>
            </w:pPr>
            <w:r w:rsidDel="00000000" w:rsidR="00000000" w:rsidRPr="00000000">
              <w:rPr>
                <w:color w:val="1f1f1f"/>
                <w:sz w:val="24"/>
                <w:szCs w:val="24"/>
                <w:rtl w:val="0"/>
              </w:rPr>
              <w:t xml:space="preserve">232.068</w:t>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212">
            <w:pPr>
              <w:widowControl w:val="0"/>
              <w:spacing w:after="0" w:line="240" w:lineRule="auto"/>
              <w:jc w:val="both"/>
              <w:rPr>
                <w:color w:val="1f1f1f"/>
                <w:sz w:val="24"/>
                <w:szCs w:val="24"/>
              </w:rPr>
            </w:pPr>
            <w:r w:rsidDel="00000000" w:rsidR="00000000" w:rsidRPr="00000000">
              <w:rPr>
                <w:color w:val="1f1f1f"/>
                <w:sz w:val="24"/>
                <w:szCs w:val="24"/>
                <w:rtl w:val="0"/>
              </w:rPr>
              <w:t xml:space="preserve">    Pseudo-</w:t>
            </w:r>
            <w:r w:rsidDel="00000000" w:rsidR="00000000" w:rsidRPr="00000000">
              <w:rPr>
                <w:i w:val="1"/>
                <w:iCs w:val="1"/>
                <w:color w:val="1f1f1f"/>
                <w:sz w:val="24"/>
                <w:szCs w:val="24"/>
                <w:rtl w:val="0"/>
              </w:rPr>
              <w:t xml:space="preserve">R</w:t>
            </w:r>
            <w:r w:rsidDel="00000000" w:rsidR="00000000" w:rsidRPr="00000000">
              <w:rPr>
                <w:color w:val="1f1f1f"/>
                <w:sz w:val="24"/>
                <w:szCs w:val="24"/>
                <w:rtl w:val="0"/>
              </w:rPr>
              <w:t xml:space="preserve">²</w:t>
            </w:r>
          </w:p>
        </w:tc>
        <w:tc>
          <w:tcPr>
            <w:tcMar>
              <w:top w:w="0.0" w:type="dxa"/>
              <w:left w:w="0.0" w:type="dxa"/>
              <w:bottom w:w="0.0" w:type="dxa"/>
              <w:right w:w="0.0" w:type="dxa"/>
            </w:tcMar>
            <w:vAlign w:val="center"/>
          </w:tcPr>
          <w:p w:rsidR="00000000" w:rsidDel="00000000" w:rsidP="00000000" w:rsidRDefault="00000000" w:rsidRPr="00000000" w14:paraId="00000213">
            <w:pPr>
              <w:widowControl w:val="0"/>
              <w:spacing w:after="0" w:line="240" w:lineRule="auto"/>
              <w:jc w:val="center"/>
              <w:rPr>
                <w:color w:val="1f1f1f"/>
                <w:sz w:val="24"/>
                <w:szCs w:val="24"/>
              </w:rPr>
            </w:pPr>
            <w:r w:rsidDel="00000000" w:rsidR="00000000" w:rsidRPr="00000000">
              <w:rPr>
                <w:color w:val="1f1f1f"/>
                <w:sz w:val="24"/>
                <w:szCs w:val="24"/>
                <w:rtl w:val="0"/>
              </w:rPr>
              <w:t xml:space="preserve">.032</w:t>
            </w:r>
          </w:p>
        </w:tc>
        <w:tc>
          <w:tcPr>
            <w:tcMar>
              <w:top w:w="0.0" w:type="dxa"/>
              <w:left w:w="0.0" w:type="dxa"/>
              <w:bottom w:w="0.0" w:type="dxa"/>
              <w:right w:w="0.0" w:type="dxa"/>
            </w:tcMar>
            <w:vAlign w:val="center"/>
          </w:tcPr>
          <w:p w:rsidR="00000000" w:rsidDel="00000000" w:rsidP="00000000" w:rsidRDefault="00000000" w:rsidRPr="00000000" w14:paraId="00000214">
            <w:pPr>
              <w:widowControl w:val="0"/>
              <w:spacing w:after="0" w:line="240" w:lineRule="auto"/>
              <w:jc w:val="center"/>
              <w:rPr>
                <w:color w:val="1f1f1f"/>
                <w:sz w:val="24"/>
                <w:szCs w:val="24"/>
              </w:rPr>
            </w:pPr>
            <w:r w:rsidDel="00000000" w:rsidR="00000000" w:rsidRPr="00000000">
              <w:rPr>
                <w:color w:val="1f1f1f"/>
                <w:sz w:val="24"/>
                <w:szCs w:val="24"/>
                <w:rtl w:val="0"/>
              </w:rPr>
              <w:t xml:space="preserve">.048</w:t>
            </w:r>
          </w:p>
        </w:tc>
        <w:tc>
          <w:tcPr>
            <w:tcMar>
              <w:top w:w="0.0" w:type="dxa"/>
              <w:left w:w="0.0" w:type="dxa"/>
              <w:bottom w:w="0.0" w:type="dxa"/>
              <w:right w:w="0.0" w:type="dxa"/>
            </w:tcMar>
            <w:vAlign w:val="center"/>
          </w:tcPr>
          <w:p w:rsidR="00000000" w:rsidDel="00000000" w:rsidP="00000000" w:rsidRDefault="00000000" w:rsidRPr="00000000" w14:paraId="00000215">
            <w:pPr>
              <w:widowControl w:val="0"/>
              <w:spacing w:after="0" w:line="240" w:lineRule="auto"/>
              <w:jc w:val="center"/>
              <w:rPr>
                <w:color w:val="1f1f1f"/>
                <w:sz w:val="24"/>
                <w:szCs w:val="24"/>
              </w:rPr>
            </w:pPr>
            <w:r w:rsidDel="00000000" w:rsidR="00000000" w:rsidRPr="00000000">
              <w:rPr>
                <w:color w:val="1f1f1f"/>
                <w:sz w:val="24"/>
                <w:szCs w:val="24"/>
                <w:rtl w:val="0"/>
              </w:rPr>
              <w:t xml:space="preserve">.052</w:t>
            </w:r>
          </w:p>
        </w:tc>
        <w:tc>
          <w:tcPr>
            <w:tcMar>
              <w:top w:w="0.0" w:type="dxa"/>
              <w:left w:w="0.0" w:type="dxa"/>
              <w:bottom w:w="0.0" w:type="dxa"/>
              <w:right w:w="0.0" w:type="dxa"/>
            </w:tcMar>
            <w:vAlign w:val="center"/>
          </w:tcPr>
          <w:p w:rsidR="00000000" w:rsidDel="00000000" w:rsidP="00000000" w:rsidRDefault="00000000" w:rsidRPr="00000000" w14:paraId="00000216">
            <w:pPr>
              <w:widowControl w:val="0"/>
              <w:spacing w:after="0" w:line="240" w:lineRule="auto"/>
              <w:jc w:val="center"/>
              <w:rPr>
                <w:color w:val="1f1f1f"/>
                <w:sz w:val="24"/>
                <w:szCs w:val="24"/>
              </w:rPr>
            </w:pPr>
            <w:r w:rsidDel="00000000" w:rsidR="00000000" w:rsidRPr="00000000">
              <w:rPr>
                <w:color w:val="1f1f1f"/>
                <w:sz w:val="24"/>
                <w:szCs w:val="24"/>
                <w:rtl w:val="0"/>
              </w:rPr>
              <w:t xml:space="preserve">.061</w:t>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217">
            <w:pPr>
              <w:widowControl w:val="0"/>
              <w:spacing w:after="0" w:line="240" w:lineRule="auto"/>
              <w:jc w:val="both"/>
              <w:rPr>
                <w:color w:val="1f1f1f"/>
                <w:sz w:val="24"/>
                <w:szCs w:val="24"/>
              </w:rPr>
            </w:pPr>
            <w:r w:rsidDel="00000000" w:rsidR="00000000" w:rsidRPr="00000000">
              <w:rPr>
                <w:color w:val="1f1f1f"/>
                <w:sz w:val="24"/>
                <w:szCs w:val="24"/>
                <w:rtl w:val="0"/>
              </w:rPr>
              <w:t xml:space="preserve">    Pseudo-</w:t>
            </w:r>
            <w:r w:rsidDel="00000000" w:rsidR="00000000" w:rsidRPr="00000000">
              <w:rPr>
                <w:i w:val="1"/>
                <w:iCs w:val="1"/>
                <w:color w:val="1f1f1f"/>
                <w:sz w:val="24"/>
                <w:szCs w:val="24"/>
                <w:rtl w:val="0"/>
              </w:rPr>
              <w:t xml:space="preserve">R</w:t>
            </w:r>
            <w:r w:rsidDel="00000000" w:rsidR="00000000" w:rsidRPr="00000000">
              <w:rPr>
                <w:color w:val="1f1f1f"/>
                <w:sz w:val="24"/>
                <w:szCs w:val="24"/>
                <w:rtl w:val="0"/>
              </w:rPr>
              <w:t xml:space="preserve">² Ajustado</w:t>
            </w:r>
          </w:p>
        </w:tc>
        <w:tc>
          <w:tcPr>
            <w:tcMar>
              <w:top w:w="0.0" w:type="dxa"/>
              <w:left w:w="0.0" w:type="dxa"/>
              <w:bottom w:w="0.0" w:type="dxa"/>
              <w:right w:w="0.0" w:type="dxa"/>
            </w:tcMar>
            <w:vAlign w:val="center"/>
          </w:tcPr>
          <w:p w:rsidR="00000000" w:rsidDel="00000000" w:rsidP="00000000" w:rsidRDefault="00000000" w:rsidRPr="00000000" w14:paraId="00000218">
            <w:pPr>
              <w:widowControl w:val="0"/>
              <w:spacing w:after="0" w:line="240" w:lineRule="auto"/>
              <w:jc w:val="center"/>
              <w:rPr>
                <w:color w:val="1f1f1f"/>
                <w:sz w:val="24"/>
                <w:szCs w:val="24"/>
              </w:rPr>
            </w:pPr>
            <w:r w:rsidDel="00000000" w:rsidR="00000000" w:rsidRPr="00000000">
              <w:rPr>
                <w:color w:val="1f1f1f"/>
                <w:sz w:val="24"/>
                <w:szCs w:val="24"/>
                <w:rtl w:val="0"/>
              </w:rPr>
              <w:t xml:space="preserve">.012</w:t>
            </w:r>
          </w:p>
        </w:tc>
        <w:tc>
          <w:tcPr>
            <w:tcMar>
              <w:top w:w="0.0" w:type="dxa"/>
              <w:left w:w="0.0" w:type="dxa"/>
              <w:bottom w:w="0.0" w:type="dxa"/>
              <w:right w:w="0.0" w:type="dxa"/>
            </w:tcMar>
            <w:vAlign w:val="center"/>
          </w:tcPr>
          <w:p w:rsidR="00000000" w:rsidDel="00000000" w:rsidP="00000000" w:rsidRDefault="00000000" w:rsidRPr="00000000" w14:paraId="00000219">
            <w:pPr>
              <w:widowControl w:val="0"/>
              <w:spacing w:after="0" w:line="240" w:lineRule="auto"/>
              <w:jc w:val="center"/>
              <w:rPr>
                <w:color w:val="1f1f1f"/>
                <w:sz w:val="24"/>
                <w:szCs w:val="24"/>
              </w:rPr>
            </w:pPr>
            <w:r w:rsidDel="00000000" w:rsidR="00000000" w:rsidRPr="00000000">
              <w:rPr>
                <w:color w:val="1f1f1f"/>
                <w:sz w:val="24"/>
                <w:szCs w:val="24"/>
                <w:rtl w:val="0"/>
              </w:rPr>
              <w:t xml:space="preserve">.011</w:t>
            </w:r>
          </w:p>
        </w:tc>
        <w:tc>
          <w:tcPr>
            <w:tcMar>
              <w:top w:w="0.0" w:type="dxa"/>
              <w:left w:w="0.0" w:type="dxa"/>
              <w:bottom w:w="0.0" w:type="dxa"/>
              <w:right w:w="0.0" w:type="dxa"/>
            </w:tcMar>
            <w:vAlign w:val="center"/>
          </w:tcPr>
          <w:p w:rsidR="00000000" w:rsidDel="00000000" w:rsidP="00000000" w:rsidRDefault="00000000" w:rsidRPr="00000000" w14:paraId="0000021A">
            <w:pPr>
              <w:widowControl w:val="0"/>
              <w:spacing w:after="0" w:line="240" w:lineRule="auto"/>
              <w:jc w:val="center"/>
              <w:rPr>
                <w:color w:val="1f1f1f"/>
                <w:sz w:val="24"/>
                <w:szCs w:val="24"/>
              </w:rPr>
            </w:pPr>
            <w:r w:rsidDel="00000000" w:rsidR="00000000" w:rsidRPr="00000000">
              <w:rPr>
                <w:color w:val="1f1f1f"/>
                <w:sz w:val="24"/>
                <w:szCs w:val="24"/>
                <w:rtl w:val="0"/>
              </w:rPr>
              <w:t xml:space="preserve">.007</w:t>
            </w:r>
          </w:p>
        </w:tc>
        <w:tc>
          <w:tcPr>
            <w:tcMar>
              <w:top w:w="0.0" w:type="dxa"/>
              <w:left w:w="0.0" w:type="dxa"/>
              <w:bottom w:w="0.0" w:type="dxa"/>
              <w:right w:w="0.0" w:type="dxa"/>
            </w:tcMar>
            <w:vAlign w:val="center"/>
          </w:tcPr>
          <w:p w:rsidR="00000000" w:rsidDel="00000000" w:rsidP="00000000" w:rsidRDefault="00000000" w:rsidRPr="00000000" w14:paraId="0000021B">
            <w:pPr>
              <w:widowControl w:val="0"/>
              <w:spacing w:after="0" w:line="240" w:lineRule="auto"/>
              <w:jc w:val="center"/>
              <w:rPr>
                <w:color w:val="1f1f1f"/>
                <w:sz w:val="24"/>
                <w:szCs w:val="24"/>
              </w:rPr>
            </w:pPr>
            <w:r w:rsidDel="00000000" w:rsidR="00000000" w:rsidRPr="00000000">
              <w:rPr>
                <w:color w:val="1f1f1f"/>
                <w:sz w:val="24"/>
                <w:szCs w:val="24"/>
                <w:rtl w:val="0"/>
              </w:rPr>
              <w:t xml:space="preserve">.012</w:t>
            </w:r>
          </w:p>
        </w:tc>
      </w:tr>
      <w:tr>
        <w:trPr>
          <w:cantSplit w:val="0"/>
          <w:trHeight w:val="144" w:hRule="atLeast"/>
          <w:tblHeader w:val="0"/>
        </w:trPr>
        <w:tc>
          <w:tcPr>
            <w:tcBorders>
              <w:bottom w:color="1f1f1f" w:space="0" w:sz="8" w:val="single"/>
            </w:tcBorders>
            <w:tcMar>
              <w:top w:w="0.0" w:type="dxa"/>
              <w:left w:w="0.0" w:type="dxa"/>
              <w:bottom w:w="0.0" w:type="dxa"/>
              <w:right w:w="0.0" w:type="dxa"/>
            </w:tcMar>
            <w:vAlign w:val="center"/>
          </w:tcPr>
          <w:p w:rsidR="00000000" w:rsidDel="00000000" w:rsidP="00000000" w:rsidRDefault="00000000" w:rsidRPr="00000000" w14:paraId="0000021C">
            <w:pPr>
              <w:widowControl w:val="0"/>
              <w:spacing w:after="0" w:line="240" w:lineRule="auto"/>
              <w:jc w:val="both"/>
              <w:rPr>
                <w:color w:val="1f1f1f"/>
                <w:sz w:val="24"/>
                <w:szCs w:val="24"/>
              </w:rPr>
            </w:pPr>
            <w:r w:rsidDel="00000000" w:rsidR="00000000" w:rsidRPr="00000000">
              <w:rPr>
                <w:color w:val="1f1f1f"/>
                <w:sz w:val="24"/>
                <w:szCs w:val="24"/>
                <w:rtl w:val="0"/>
              </w:rPr>
              <w:t xml:space="preserve">    Graus de Liberdade Residuais</w:t>
            </w:r>
          </w:p>
        </w:tc>
        <w:tc>
          <w:tcPr>
            <w:tcBorders>
              <w:bottom w:color="1f1f1f" w:space="0" w:sz="8" w:val="single"/>
            </w:tcBorders>
            <w:tcMar>
              <w:top w:w="0.0" w:type="dxa"/>
              <w:left w:w="0.0" w:type="dxa"/>
              <w:bottom w:w="0.0" w:type="dxa"/>
              <w:right w:w="0.0" w:type="dxa"/>
            </w:tcMar>
            <w:vAlign w:val="center"/>
          </w:tcPr>
          <w:p w:rsidR="00000000" w:rsidDel="00000000" w:rsidP="00000000" w:rsidRDefault="00000000" w:rsidRPr="00000000" w14:paraId="0000021D">
            <w:pPr>
              <w:widowControl w:val="0"/>
              <w:spacing w:after="0" w:line="240" w:lineRule="auto"/>
              <w:jc w:val="center"/>
              <w:rPr>
                <w:color w:val="1f1f1f"/>
                <w:sz w:val="24"/>
                <w:szCs w:val="24"/>
              </w:rPr>
            </w:pPr>
            <w:r w:rsidDel="00000000" w:rsidR="00000000" w:rsidRPr="00000000">
              <w:rPr>
                <w:color w:val="1f1f1f"/>
                <w:sz w:val="24"/>
                <w:szCs w:val="24"/>
                <w:rtl w:val="0"/>
              </w:rPr>
              <w:t xml:space="preserve">490</w:t>
            </w:r>
          </w:p>
        </w:tc>
        <w:tc>
          <w:tcPr>
            <w:tcBorders>
              <w:bottom w:color="1f1f1f" w:space="0" w:sz="8" w:val="single"/>
            </w:tcBorders>
            <w:tcMar>
              <w:top w:w="0.0" w:type="dxa"/>
              <w:left w:w="0.0" w:type="dxa"/>
              <w:bottom w:w="0.0" w:type="dxa"/>
              <w:right w:w="0.0" w:type="dxa"/>
            </w:tcMar>
            <w:vAlign w:val="center"/>
          </w:tcPr>
          <w:p w:rsidR="00000000" w:rsidDel="00000000" w:rsidP="00000000" w:rsidRDefault="00000000" w:rsidRPr="00000000" w14:paraId="0000021E">
            <w:pPr>
              <w:widowControl w:val="0"/>
              <w:spacing w:after="0" w:line="240" w:lineRule="auto"/>
              <w:jc w:val="center"/>
              <w:rPr>
                <w:color w:val="1f1f1f"/>
                <w:sz w:val="24"/>
                <w:szCs w:val="24"/>
              </w:rPr>
            </w:pPr>
            <w:r w:rsidDel="00000000" w:rsidR="00000000" w:rsidRPr="00000000">
              <w:rPr>
                <w:color w:val="1f1f1f"/>
                <w:sz w:val="24"/>
                <w:szCs w:val="24"/>
                <w:rtl w:val="0"/>
              </w:rPr>
              <w:t xml:space="preserve">486</w:t>
            </w:r>
          </w:p>
        </w:tc>
        <w:tc>
          <w:tcPr>
            <w:tcBorders>
              <w:bottom w:color="1f1f1f" w:space="0" w:sz="8" w:val="single"/>
            </w:tcBorders>
            <w:tcMar>
              <w:top w:w="0.0" w:type="dxa"/>
              <w:left w:w="0.0" w:type="dxa"/>
              <w:bottom w:w="0.0" w:type="dxa"/>
              <w:right w:w="0.0" w:type="dxa"/>
            </w:tcMar>
            <w:vAlign w:val="center"/>
          </w:tcPr>
          <w:p w:rsidR="00000000" w:rsidDel="00000000" w:rsidP="00000000" w:rsidRDefault="00000000" w:rsidRPr="00000000" w14:paraId="0000021F">
            <w:pPr>
              <w:widowControl w:val="0"/>
              <w:spacing w:after="0" w:line="240" w:lineRule="auto"/>
              <w:jc w:val="center"/>
              <w:rPr>
                <w:color w:val="1f1f1f"/>
                <w:sz w:val="24"/>
                <w:szCs w:val="24"/>
              </w:rPr>
            </w:pPr>
            <w:r w:rsidDel="00000000" w:rsidR="00000000" w:rsidRPr="00000000">
              <w:rPr>
                <w:color w:val="1f1f1f"/>
                <w:sz w:val="24"/>
                <w:szCs w:val="24"/>
                <w:rtl w:val="0"/>
              </w:rPr>
              <w:t xml:space="preserve">484</w:t>
            </w:r>
          </w:p>
        </w:tc>
        <w:tc>
          <w:tcPr>
            <w:tcBorders>
              <w:bottom w:color="1f1f1f" w:space="0" w:sz="8" w:val="single"/>
            </w:tcBorders>
            <w:tcMar>
              <w:top w:w="0.0" w:type="dxa"/>
              <w:left w:w="0.0" w:type="dxa"/>
              <w:bottom w:w="0.0" w:type="dxa"/>
              <w:right w:w="0.0" w:type="dxa"/>
            </w:tcMar>
            <w:vAlign w:val="center"/>
          </w:tcPr>
          <w:p w:rsidR="00000000" w:rsidDel="00000000" w:rsidP="00000000" w:rsidRDefault="00000000" w:rsidRPr="00000000" w14:paraId="00000220">
            <w:pPr>
              <w:widowControl w:val="0"/>
              <w:spacing w:after="0" w:line="240" w:lineRule="auto"/>
              <w:jc w:val="center"/>
              <w:rPr>
                <w:color w:val="1f1f1f"/>
                <w:sz w:val="24"/>
                <w:szCs w:val="24"/>
              </w:rPr>
            </w:pPr>
            <w:r w:rsidDel="00000000" w:rsidR="00000000" w:rsidRPr="00000000">
              <w:rPr>
                <w:color w:val="1f1f1f"/>
                <w:sz w:val="24"/>
                <w:szCs w:val="24"/>
                <w:rtl w:val="0"/>
              </w:rPr>
              <w:t xml:space="preserve">483</w:t>
            </w:r>
          </w:p>
        </w:tc>
      </w:tr>
      <w:tr>
        <w:trPr>
          <w:cantSplit w:val="0"/>
          <w:trHeight w:val="240" w:hRule="atLeast"/>
          <w:tblHeader w:val="0"/>
        </w:trPr>
        <w:tc>
          <w:tcPr>
            <w:gridSpan w:val="5"/>
            <w:tcMar>
              <w:top w:w="0.0" w:type="dxa"/>
              <w:left w:w="0.0" w:type="dxa"/>
              <w:bottom w:w="0.0" w:type="dxa"/>
              <w:right w:w="0.0" w:type="dxa"/>
            </w:tcMar>
            <w:vAlign w:val="center"/>
          </w:tcPr>
          <w:p w:rsidR="00000000" w:rsidDel="00000000" w:rsidP="00000000" w:rsidRDefault="00000000" w:rsidRPr="00000000" w14:paraId="00000221">
            <w:pPr>
              <w:widowControl w:val="0"/>
              <w:spacing w:after="0" w:line="240" w:lineRule="auto"/>
              <w:jc w:val="both"/>
              <w:rPr>
                <w:color w:val="1f1f1f"/>
              </w:rPr>
            </w:pPr>
            <w:r w:rsidDel="00000000" w:rsidR="00000000" w:rsidRPr="00000000">
              <w:rPr>
                <w:color w:val="1f1f1f"/>
                <w:rtl w:val="0"/>
              </w:rPr>
              <w:t xml:space="preserve">Nota. Os valores representam as Razões de Taxa de Recorrência (</w:t>
            </w:r>
            <w:r w:rsidDel="00000000" w:rsidR="00000000" w:rsidRPr="00000000">
              <w:rPr>
                <w:i w:val="1"/>
                <w:iCs w:val="1"/>
                <w:color w:val="1f1f1f"/>
                <w:rtl w:val="0"/>
              </w:rPr>
              <w:t xml:space="preserve">Incidence Rate Ratios</w:t>
            </w:r>
            <w:r w:rsidDel="00000000" w:rsidR="00000000" w:rsidRPr="00000000">
              <w:rPr>
                <w:color w:val="1f1f1f"/>
                <w:rtl w:val="0"/>
              </w:rPr>
              <w:t xml:space="preserve">)</w:t>
            </w:r>
            <w:r w:rsidDel="00000000" w:rsidR="00000000" w:rsidRPr="00000000">
              <w:rPr>
                <w:color w:val="1f1f1f"/>
                <w:rtl w:val="0"/>
              </w:rPr>
              <w:t xml:space="preserve"> - IRR), indicando o efeito multiplicativo sobre a frequência esperada de participação em chamadas. Erros padrão das estimativas logarítmicas (</w:t>
            </w:r>
            <w:r w:rsidDel="00000000" w:rsidR="00000000" w:rsidRPr="00000000">
              <w:rPr>
                <w:i w:val="1"/>
                <w:iCs w:val="1"/>
                <w:color w:val="1f1f1f"/>
                <w:rtl w:val="0"/>
              </w:rPr>
              <w:t xml:space="preserve">B</w:t>
            </w:r>
            <w:r w:rsidDel="00000000" w:rsidR="00000000" w:rsidRPr="00000000">
              <w:rPr>
                <w:color w:val="1f1f1f"/>
                <w:rtl w:val="0"/>
              </w:rPr>
              <w:t xml:space="preserve">) estão apresentados entre parênteses abaixo dos coeficientes. </w:t>
            </w:r>
          </w:p>
          <w:p w:rsidR="00000000" w:rsidDel="00000000" w:rsidP="00000000" w:rsidRDefault="00000000" w:rsidRPr="00000000" w14:paraId="00000222">
            <w:pPr>
              <w:widowControl w:val="0"/>
              <w:spacing w:after="0" w:line="240" w:lineRule="auto"/>
              <w:jc w:val="both"/>
              <w:rPr>
                <w:color w:val="1f1f1f"/>
              </w:rPr>
            </w:pPr>
            <w:r w:rsidDel="00000000" w:rsidR="00000000" w:rsidRPr="00000000">
              <w:rPr>
                <w:color w:val="1f1f1f"/>
                <w:rtl w:val="0"/>
              </w:rPr>
              <w:t xml:space="preserve">*</w:t>
            </w:r>
            <w:r w:rsidDel="00000000" w:rsidR="00000000" w:rsidRPr="00000000">
              <w:rPr>
                <w:i w:val="1"/>
                <w:iCs w:val="1"/>
                <w:color w:val="1f1f1f"/>
                <w:rtl w:val="0"/>
              </w:rPr>
              <w:t xml:space="preserve">p</w:t>
            </w:r>
            <w:r w:rsidDel="00000000" w:rsidR="00000000" w:rsidRPr="00000000">
              <w:rPr>
                <w:color w:val="1f1f1f"/>
                <w:rtl w:val="0"/>
              </w:rPr>
              <w:t xml:space="preserve"> &lt; .05. **</w:t>
            </w:r>
            <w:r w:rsidDel="00000000" w:rsidR="00000000" w:rsidRPr="00000000">
              <w:rPr>
                <w:i w:val="1"/>
                <w:iCs w:val="1"/>
                <w:color w:val="1f1f1f"/>
                <w:rtl w:val="0"/>
              </w:rPr>
              <w:t xml:space="preserve">p</w:t>
            </w:r>
            <w:r w:rsidDel="00000000" w:rsidR="00000000" w:rsidRPr="00000000">
              <w:rPr>
                <w:color w:val="1f1f1f"/>
                <w:rtl w:val="0"/>
              </w:rPr>
              <w:t xml:space="preserve"> &lt; .01. *** </w:t>
            </w:r>
            <w:r w:rsidDel="00000000" w:rsidR="00000000" w:rsidRPr="00000000">
              <w:rPr>
                <w:i w:val="1"/>
                <w:iCs w:val="1"/>
                <w:color w:val="1f1f1f"/>
                <w:rtl w:val="0"/>
              </w:rPr>
              <w:t xml:space="preserve">p</w:t>
            </w:r>
            <w:r w:rsidDel="00000000" w:rsidR="00000000" w:rsidRPr="00000000">
              <w:rPr>
                <w:color w:val="1f1f1f"/>
                <w:rtl w:val="0"/>
              </w:rPr>
              <w:t xml:space="preserve"> &lt; .001.</w:t>
            </w:r>
          </w:p>
        </w:tc>
      </w:tr>
    </w:tbl>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79345703125" w:line="237.16691493988037" w:lineRule="auto"/>
        <w:ind w:left="0" w:right="42.764892578125"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que os dados mostram, o IGC, proxy frequentemente utilizada para mensurar excelência e prestígio institucional, não apresentou associação estatisticamente significativa com a retenção do pesquisador no PIBIC-EM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94,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gl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0</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379). Em termos estatísticos, pesquisadores vinculados a instituições de IGC alto não exibiram recorrência superior à observada em IES de estrato médio ou sem conceito.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326416015625" w:line="248.30174446105957" w:lineRule="auto"/>
        <w:ind w:left="14.618377685546875" w:right="18.98193359375" w:firstLine="705.381622314453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plano interpretativo, esse distanciamento entre prestígio institucional agregado e fidelização ao programa é compatível </w:t>
      </w:r>
      <w:r w:rsidDel="00000000" w:rsidR="00000000" w:rsidRPr="00000000">
        <w:rPr>
          <w:sz w:val="24"/>
          <w:szCs w:val="24"/>
          <w:rtl w:val="0"/>
        </w:rPr>
        <w:t xml:space="preserve">com as discussões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 Oliveira e Bianchetti (2018) sobre o produtivismo acadêmico. Como hipótese explicativa, pode-se considerar que ambientes com forte ancoragem na pós-graduação impõem metas e pressões de tempo que potencialmente reduzem a disponibilidade docente para projetos de longo prazo no ensino médio. </w:t>
      </w:r>
      <w:r w:rsidDel="00000000" w:rsidR="00000000" w:rsidRPr="00000000">
        <w:rPr>
          <w:sz w:val="24"/>
          <w:szCs w:val="24"/>
          <w:rtl w:val="0"/>
        </w:rPr>
        <w:t xml:space="preserve">Neste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enquadramento, os resultados </w:t>
      </w:r>
      <w:r w:rsidDel="00000000" w:rsidR="00000000" w:rsidRPr="00000000">
        <w:rPr>
          <w:sz w:val="24"/>
          <w:szCs w:val="24"/>
          <w:rtl w:val="0"/>
        </w:rPr>
        <w:t xml:space="preserve">aparecem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como mais compatíveis com a literatura que enfatiza o engajamento do orientador do que com uma leitura centrada exclusivamente no IGC institucional.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4453125" w:line="248.30371856689453" w:lineRule="auto"/>
        <w:ind w:left="15.49102783203125" w:right="18.9892578125" w:firstLine="704.5089721679688"/>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Ao analisar concentração de pesquisadores no eixo Sul-Sudeste (Tabela 3) pode ser lida como </w:t>
      </w:r>
      <w:r w:rsidDel="00000000" w:rsidR="00000000" w:rsidRPr="00000000">
        <w:rPr>
          <w:sz w:val="24"/>
          <w:szCs w:val="24"/>
          <w:rtl w:val="0"/>
        </w:rPr>
        <w:t xml:space="preserve">possível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indício de barreiras de entrada, embora essa dimensão não tenha sido testada diretamente neste desenho. Como hipótese explicativa para a recorrência, os resultados sugerem maior sensibilidade a características do perfil do pesquisador e da arquitetura administrativa do vínculo institucional do que à localização regional.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930908203125" w:line="248.30371856689453" w:lineRule="auto"/>
        <w:ind w:left="1.74560546875" w:right="12.4365234375" w:firstLine="718.2543945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Os dados mostram a </w:t>
      </w:r>
      <w:r w:rsidDel="00000000" w:rsidR="00000000" w:rsidRPr="00000000">
        <w:rPr>
          <w:sz w:val="24"/>
          <w:szCs w:val="24"/>
          <w:rtl w:val="0"/>
        </w:rPr>
        <w:t xml:space="preserve">existência de um contraste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relevante em relação às Universidades Federais ao analisar a Tabela 1 em conjunto com o Modelo 4 da tabela Tabela 4. Embora concentrem o maior volume histórico de projetos (34,6% da participação total), as Universidades Federais apresentam menor retenção proporcional (52,9% de participação recorrente e 3,7% de alta recorrência). No modelo inferencial, tomando essa categoria como referência, pesquisadores vinculados a instituições privadas com fins lucrativos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IRR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411,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 &lt;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01), privadas sem fins lucrativos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IRR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279,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 &lt;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01) e IF/CEFET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IRR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182,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 &lt;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05) exibem recorrência esperada mais alta. Em termos interpretativos, esse padrão é compatível com a ideia de que diferenças organizacionais entre ecossistemas institucionais podem estar associadas à continuidade das submissões.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9248046875" w:line="248.30177307128906" w:lineRule="auto"/>
        <w:ind w:left="6.97479248046875" w:right="0.21728515625" w:firstLine="713.025207519531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Como hipótese explicativa, pode-se considerar que a concorrência interna pelo tempo do pesquisador varia entre os diferentes ecossistemas institucionais. Na universidade pública clássica, a orientação de estudantes do ensino médio pode disputar tempo com demandas da pós-graduação stricto sensu. Nas IES privadas, a recorrência observada (62,1%) pode estar associada, entre outros fatores, a </w:t>
      </w:r>
      <w:r w:rsidDel="00000000" w:rsidR="00000000" w:rsidRPr="00000000">
        <w:rPr>
          <w:sz w:val="24"/>
          <w:szCs w:val="24"/>
          <w:rtl w:val="0"/>
        </w:rPr>
        <w:t xml:space="preserve">estratégias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institucionais de recrutamento discente. Já nos Institutos Federais (58,9% de recorrência), os resultados permanecem compatíveis com a hipótese de que a verticalização do ensino, amparada pela Lei nº 11.892/2008 (Brasil, 2009), possa favorecer participação mais contínua.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4453125" w:line="24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Por fim, no plano individual, os resultados do Modelo 4 (Tabela 4) indicam associação </w:t>
      </w:r>
      <w:r w:rsidDel="00000000" w:rsidR="00000000" w:rsidRPr="00000000">
        <w:rPr>
          <w:sz w:val="24"/>
          <w:szCs w:val="24"/>
          <w:rtl w:val="0"/>
        </w:rPr>
        <w:t xml:space="preserve">estatisticamente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significativa entre capital científico prévio e recorrência no PIBIC-EM. O Índice-h</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aparece com coeficiente positivo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IRR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004,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 &lt;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05), o que corresponde, na escala do modelo, a incremento esperado de 0,4% na frequência de participação para cada ponto adicional no índice. Em termos interpretativos, embora o efeito marginal unitário seja pequeno, a natureza cumulativa da métrica ao longo da carreira pode produzir diferenças substantivas entre perfis de produtividade.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96142578125" w:line="248.30214500427246" w:lineRule="auto"/>
        <w:ind w:left="12.6544189453125" w:right="0.2197265625" w:firstLine="707.345581054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 síntese, no que os dados mostram, há associações positivas entre recorrência e categoria </w:t>
      </w:r>
      <w:r w:rsidDel="00000000" w:rsidR="00000000" w:rsidRPr="00000000">
        <w:rPr>
          <w:sz w:val="24"/>
          <w:szCs w:val="24"/>
          <w:rtl w:val="0"/>
        </w:rPr>
        <w:t xml:space="preserve">institucional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(em relação às Universidades Federais) e entre recorrência e Índice-h. Em termos </w:t>
      </w:r>
      <w:r w:rsidDel="00000000" w:rsidR="00000000" w:rsidRPr="00000000">
        <w:rPr>
          <w:sz w:val="24"/>
          <w:szCs w:val="24"/>
          <w:rtl w:val="0"/>
        </w:rPr>
        <w:t xml:space="preserve">interpretativos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esses resultados são consistentes com uma dupla associação: arranjos institucionais e trajetórias acadêmicas podem contribuir, conjuntamente, para a continuidade das submissões. </w:t>
      </w:r>
    </w:p>
    <w:p w:rsidR="00000000" w:rsidDel="00000000" w:rsidP="00000000" w:rsidRDefault="00000000" w:rsidRPr="00000000" w14:paraId="0000022E">
      <w:pPr>
        <w:pStyle w:val="Heading2"/>
        <w:widowControl w:val="0"/>
        <w:spacing w:before="575.733642578125" w:line="248.2986831665039" w:lineRule="auto"/>
        <w:ind w:left="6.98699951171875" w:right="42.545166015625" w:firstLine="0"/>
        <w:jc w:val="both"/>
        <w:rPr>
          <w:sz w:val="24"/>
          <w:szCs w:val="24"/>
          <w:vertAlign w:val="baseline"/>
        </w:rPr>
      </w:pPr>
      <w:bookmarkStart w:colFirst="0" w:colLast="0" w:name="_cr2s44rcm7tg" w:id="11"/>
      <w:bookmarkEnd w:id="11"/>
      <w:r w:rsidDel="00000000" w:rsidR="00000000" w:rsidRPr="00000000">
        <w:rPr>
          <w:sz w:val="24"/>
          <w:szCs w:val="24"/>
          <w:vertAlign w:val="baseline"/>
          <w:rtl w:val="0"/>
        </w:rPr>
        <w:t xml:space="preserve">3.3. A verticalização do ensino como fator de mobilização para a Iniciação Científica Júnior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8575439453125" w:line="248.30283164978027" w:lineRule="auto"/>
        <w:ind w:left="14.618072509765625" w:right="18.980712890625" w:firstLine="705.381927490234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que os dados do modelo global mostram, a categoria administrativa aparece associada à </w:t>
      </w:r>
      <w:r w:rsidDel="00000000" w:rsidR="00000000" w:rsidRPr="00000000">
        <w:rPr>
          <w:sz w:val="24"/>
          <w:szCs w:val="24"/>
          <w:rtl w:val="0"/>
        </w:rPr>
        <w:t xml:space="preserve">permanência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no PIBIC-EM. Contudo, a análise conjunta de todas as naturezas jurídicas agrega ecos sistemas com missões institucionais distintas. Por isso, este recorte foi adotado para </w:t>
      </w:r>
      <w:r w:rsidDel="00000000" w:rsidR="00000000" w:rsidRPr="00000000">
        <w:rPr>
          <w:sz w:val="24"/>
          <w:szCs w:val="24"/>
          <w:rtl w:val="0"/>
        </w:rPr>
        <w:t xml:space="preserve">reduzir a heterogeneidade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 observar, com maior comparabilidade, o subsistema federal. Assim, ajustou-se um novo Modelo Linear Generalizado (Quasi-Poisson), restrito a pesquisadores vinculados à Rede Federal de Educação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296), comparando Universidades Federais e Institutos Federais/CEFET.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38427734375" w:line="248.30223083496094" w:lineRule="auto"/>
        <w:ind w:left="12.6544189453125" w:right="12.435302734375" w:firstLine="707.345581054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Essa filtragem metodológica permite comparar pesquisadores que estão imersos em condições de carreira muito semelhantes. Em tese, os docentes dessas duas instâncias partilham o mesmo plano de carreira federal, o mesmo regime de trabalho e enfrentam cobranças análogas em relação ao tripé ensino, pesquisa e extensão. O que buscamos compreender, portanto, é por que, diante de perfis de carreira tão próximos, a propensão de o pesquisador manter um engajamento contínuo em projetos voltados para o público jovem diverge significativamente. Para responder a essa questão, analisamos os resultados multivariados dispostos na Tabela 5.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38427734375" w:line="248.30223083496094" w:lineRule="auto"/>
        <w:ind w:left="12.6544189453125" w:right="12.435302734375" w:firstLine="707.3455810546875"/>
        <w:jc w:val="both"/>
        <w:rPr>
          <w:sz w:val="24"/>
          <w:szCs w:val="24"/>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38427734375" w:line="248.30223083496094" w:lineRule="auto"/>
        <w:ind w:left="12.6544189453125" w:right="12.435302734375" w:firstLine="707.3455810546875"/>
        <w:jc w:val="both"/>
        <w:rPr>
          <w:sz w:val="24"/>
          <w:szCs w:val="24"/>
        </w:r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38427734375" w:line="248.30223083496094" w:lineRule="auto"/>
        <w:ind w:left="12.6544189453125" w:right="12.435302734375" w:firstLine="707.3455810546875"/>
        <w:jc w:val="both"/>
        <w:rPr>
          <w:sz w:val="24"/>
          <w:szCs w:val="24"/>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38427734375" w:line="248.30223083496094" w:lineRule="auto"/>
        <w:ind w:left="12.6544189453125" w:right="12.435302734375" w:firstLine="707.3455810546875"/>
        <w:jc w:val="both"/>
        <w:rPr>
          <w:sz w:val="24"/>
          <w:szCs w:val="24"/>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38427734375" w:line="248.30223083496094" w:lineRule="auto"/>
        <w:ind w:left="12.6544189453125" w:right="12.435302734375" w:firstLine="707.3455810546875"/>
        <w:jc w:val="both"/>
        <w:rPr>
          <w:sz w:val="24"/>
          <w:szCs w:val="24"/>
        </w:rPr>
      </w:pPr>
      <w:r w:rsidDel="00000000" w:rsidR="00000000" w:rsidRPr="00000000">
        <w:rPr>
          <w:rtl w:val="0"/>
        </w:rPr>
      </w:r>
    </w:p>
    <w:p w:rsidR="00000000" w:rsidDel="00000000" w:rsidP="00000000" w:rsidRDefault="00000000" w:rsidRPr="00000000" w14:paraId="00000236">
      <w:pPr>
        <w:widowControl w:val="0"/>
        <w:spacing w:before="279.8138427734375" w:line="248.30223083496094" w:lineRule="auto"/>
        <w:ind w:left="0" w:right="12.435302734375" w:firstLine="0"/>
        <w:jc w:val="both"/>
        <w:rPr>
          <w:sz w:val="24"/>
          <w:szCs w:val="24"/>
        </w:rPr>
      </w:pPr>
      <w:r w:rsidDel="00000000" w:rsidR="00000000" w:rsidRPr="00000000">
        <w:rPr>
          <w:b w:val="1"/>
          <w:bCs w:val="1"/>
          <w:sz w:val="24"/>
          <w:szCs w:val="24"/>
          <w:rtl w:val="0"/>
        </w:rPr>
        <w:t xml:space="preserve">Tabela 5</w:t>
      </w:r>
      <w:r w:rsidDel="00000000" w:rsidR="00000000" w:rsidRPr="00000000">
        <w:rPr>
          <w:sz w:val="24"/>
          <w:szCs w:val="24"/>
          <w:rtl w:val="0"/>
        </w:rPr>
        <w:t xml:space="preserve">: Modelos de Regressão Quasi-Poisson para Frequência de Participação no PIBIC-EM (Amostra do Sistema Federal, 2014-2024)</w:t>
      </w:r>
    </w:p>
    <w:tbl>
      <w:tblPr>
        <w:tblStyle w:val="Table5"/>
        <w:tblW w:w="9651.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35"/>
        <w:gridCol w:w="1872.0000000000002"/>
        <w:gridCol w:w="1872.0000000000002"/>
        <w:gridCol w:w="1872.0000000000002"/>
        <w:tblGridChange w:id="0">
          <w:tblGrid>
            <w:gridCol w:w="4035"/>
            <w:gridCol w:w="1872.0000000000002"/>
            <w:gridCol w:w="1872.0000000000002"/>
            <w:gridCol w:w="1872.0000000000002"/>
          </w:tblGrid>
        </w:tblGridChange>
      </w:tblGrid>
      <w:tr>
        <w:trPr>
          <w:cantSplit w:val="0"/>
          <w:trHeight w:val="144" w:hRule="atLeast"/>
          <w:tblHeader w:val="0"/>
        </w:trPr>
        <w:tc>
          <w:tcPr>
            <w:tcBorders>
              <w:top w:color="1f1f1f" w:space="0" w:sz="12" w:val="single"/>
              <w:bottom w:color="1f1f1f" w:space="0" w:sz="8" w:val="single"/>
            </w:tcBorders>
            <w:tcMar>
              <w:top w:w="0.0" w:type="dxa"/>
              <w:left w:w="0.0" w:type="dxa"/>
              <w:bottom w:w="0.0" w:type="dxa"/>
              <w:right w:w="0.0" w:type="dxa"/>
            </w:tcMar>
            <w:vAlign w:val="top"/>
          </w:tcPr>
          <w:p w:rsidR="00000000" w:rsidDel="00000000" w:rsidP="00000000" w:rsidRDefault="00000000" w:rsidRPr="00000000" w14:paraId="00000237">
            <w:pPr>
              <w:widowControl w:val="0"/>
              <w:spacing w:after="0" w:line="240" w:lineRule="auto"/>
              <w:jc w:val="both"/>
              <w:rPr>
                <w:color w:val="1f1f1f"/>
                <w:sz w:val="24"/>
                <w:szCs w:val="24"/>
              </w:rPr>
            </w:pPr>
            <w:r w:rsidDel="00000000" w:rsidR="00000000" w:rsidRPr="00000000">
              <w:rPr>
                <w:b w:val="1"/>
                <w:bCs w:val="1"/>
                <w:color w:val="1f1f1f"/>
                <w:sz w:val="24"/>
                <w:szCs w:val="24"/>
                <w:rtl w:val="0"/>
              </w:rPr>
              <w:t xml:space="preserve">Variáveis Preditoras</w:t>
            </w:r>
            <w:r w:rsidDel="00000000" w:rsidR="00000000" w:rsidRPr="00000000">
              <w:rPr>
                <w:rtl w:val="0"/>
              </w:rPr>
            </w:r>
          </w:p>
        </w:tc>
        <w:tc>
          <w:tcPr>
            <w:tcBorders>
              <w:top w:color="1f1f1f" w:space="0" w:sz="12" w:val="single"/>
              <w:bottom w:color="1f1f1f" w:space="0" w:sz="8" w:val="single"/>
            </w:tcBorders>
            <w:tcMar>
              <w:top w:w="0.0" w:type="dxa"/>
              <w:left w:w="0.0" w:type="dxa"/>
              <w:bottom w:w="0.0" w:type="dxa"/>
              <w:right w:w="0.0" w:type="dxa"/>
            </w:tcMar>
            <w:vAlign w:val="top"/>
          </w:tcPr>
          <w:p w:rsidR="00000000" w:rsidDel="00000000" w:rsidP="00000000" w:rsidRDefault="00000000" w:rsidRPr="00000000" w14:paraId="00000238">
            <w:pPr>
              <w:widowControl w:val="0"/>
              <w:spacing w:after="0" w:line="240" w:lineRule="auto"/>
              <w:jc w:val="center"/>
              <w:rPr>
                <w:color w:val="1f1f1f"/>
                <w:sz w:val="24"/>
                <w:szCs w:val="24"/>
              </w:rPr>
            </w:pPr>
            <w:r w:rsidDel="00000000" w:rsidR="00000000" w:rsidRPr="00000000">
              <w:rPr>
                <w:b w:val="1"/>
                <w:bCs w:val="1"/>
                <w:color w:val="1f1f1f"/>
                <w:sz w:val="24"/>
                <w:szCs w:val="24"/>
                <w:rtl w:val="0"/>
              </w:rPr>
              <w:t xml:space="preserve">Modelo 1</w:t>
            </w:r>
            <w:r w:rsidDel="00000000" w:rsidR="00000000" w:rsidRPr="00000000">
              <w:rPr>
                <w:rtl w:val="0"/>
              </w:rPr>
            </w:r>
          </w:p>
        </w:tc>
        <w:tc>
          <w:tcPr>
            <w:tcBorders>
              <w:top w:color="1f1f1f" w:space="0" w:sz="12" w:val="single"/>
              <w:bottom w:color="1f1f1f" w:space="0" w:sz="8" w:val="single"/>
            </w:tcBorders>
            <w:tcMar>
              <w:top w:w="0.0" w:type="dxa"/>
              <w:left w:w="0.0" w:type="dxa"/>
              <w:bottom w:w="0.0" w:type="dxa"/>
              <w:right w:w="0.0" w:type="dxa"/>
            </w:tcMar>
            <w:vAlign w:val="top"/>
          </w:tcPr>
          <w:p w:rsidR="00000000" w:rsidDel="00000000" w:rsidP="00000000" w:rsidRDefault="00000000" w:rsidRPr="00000000" w14:paraId="00000239">
            <w:pPr>
              <w:widowControl w:val="0"/>
              <w:spacing w:after="0" w:line="240" w:lineRule="auto"/>
              <w:jc w:val="center"/>
              <w:rPr>
                <w:color w:val="1f1f1f"/>
                <w:sz w:val="24"/>
                <w:szCs w:val="24"/>
              </w:rPr>
            </w:pPr>
            <w:r w:rsidDel="00000000" w:rsidR="00000000" w:rsidRPr="00000000">
              <w:rPr>
                <w:b w:val="1"/>
                <w:bCs w:val="1"/>
                <w:color w:val="1f1f1f"/>
                <w:sz w:val="24"/>
                <w:szCs w:val="24"/>
                <w:rtl w:val="0"/>
              </w:rPr>
              <w:t xml:space="preserve">Modelo 2</w:t>
            </w:r>
            <w:r w:rsidDel="00000000" w:rsidR="00000000" w:rsidRPr="00000000">
              <w:rPr>
                <w:rtl w:val="0"/>
              </w:rPr>
            </w:r>
          </w:p>
        </w:tc>
        <w:tc>
          <w:tcPr>
            <w:tcBorders>
              <w:top w:color="1f1f1f" w:space="0" w:sz="12" w:val="single"/>
              <w:bottom w:color="1f1f1f" w:space="0" w:sz="8" w:val="single"/>
            </w:tcBorders>
            <w:tcMar>
              <w:top w:w="0.0" w:type="dxa"/>
              <w:left w:w="0.0" w:type="dxa"/>
              <w:bottom w:w="0.0" w:type="dxa"/>
              <w:right w:w="0.0" w:type="dxa"/>
            </w:tcMar>
            <w:vAlign w:val="top"/>
          </w:tcPr>
          <w:p w:rsidR="00000000" w:rsidDel="00000000" w:rsidP="00000000" w:rsidRDefault="00000000" w:rsidRPr="00000000" w14:paraId="0000023A">
            <w:pPr>
              <w:widowControl w:val="0"/>
              <w:spacing w:after="0" w:line="240" w:lineRule="auto"/>
              <w:jc w:val="center"/>
              <w:rPr>
                <w:color w:val="1f1f1f"/>
                <w:sz w:val="24"/>
                <w:szCs w:val="24"/>
              </w:rPr>
            </w:pPr>
            <w:r w:rsidDel="00000000" w:rsidR="00000000" w:rsidRPr="00000000">
              <w:rPr>
                <w:b w:val="1"/>
                <w:bCs w:val="1"/>
                <w:color w:val="1f1f1f"/>
                <w:sz w:val="24"/>
                <w:szCs w:val="24"/>
                <w:rtl w:val="0"/>
              </w:rPr>
              <w:t xml:space="preserve">Modelo 3</w:t>
            </w:r>
            <w:r w:rsidDel="00000000" w:rsidR="00000000" w:rsidRPr="00000000">
              <w:rPr>
                <w:rtl w:val="0"/>
              </w:rPr>
            </w:r>
          </w:p>
        </w:tc>
      </w:tr>
      <w:tr>
        <w:trPr>
          <w:cantSplit w:val="0"/>
          <w:trHeight w:val="144" w:hRule="atLeast"/>
          <w:tblHeader w:val="0"/>
        </w:trPr>
        <w:tc>
          <w:tcPr>
            <w:tcBorders>
              <w:top w:color="1f1f1f" w:space="0" w:sz="8" w:val="single"/>
            </w:tcBorders>
            <w:tcMar>
              <w:top w:w="0.0" w:type="dxa"/>
              <w:left w:w="0.0" w:type="dxa"/>
              <w:bottom w:w="0.0" w:type="dxa"/>
              <w:right w:w="0.0" w:type="dxa"/>
            </w:tcMar>
            <w:vAlign w:val="top"/>
          </w:tcPr>
          <w:p w:rsidR="00000000" w:rsidDel="00000000" w:rsidP="00000000" w:rsidRDefault="00000000" w:rsidRPr="00000000" w14:paraId="0000023B">
            <w:pPr>
              <w:widowControl w:val="0"/>
              <w:spacing w:after="0" w:line="240" w:lineRule="auto"/>
              <w:jc w:val="both"/>
              <w:rPr>
                <w:color w:val="1f1f1f"/>
                <w:sz w:val="24"/>
                <w:szCs w:val="24"/>
              </w:rPr>
            </w:pPr>
            <w:r w:rsidDel="00000000" w:rsidR="00000000" w:rsidRPr="00000000">
              <w:rPr>
                <w:b w:val="1"/>
                <w:bCs w:val="1"/>
                <w:color w:val="1f1f1f"/>
                <w:sz w:val="24"/>
                <w:szCs w:val="24"/>
                <w:rtl w:val="0"/>
              </w:rPr>
              <w:t xml:space="preserve">Intercepto</w:t>
            </w:r>
            <w:r w:rsidDel="00000000" w:rsidR="00000000" w:rsidRPr="00000000">
              <w:rPr>
                <w:rtl w:val="0"/>
              </w:rPr>
            </w:r>
          </w:p>
        </w:tc>
        <w:tc>
          <w:tcPr>
            <w:tcBorders>
              <w:top w:color="1f1f1f" w:space="0" w:sz="8" w:val="single"/>
            </w:tcBorders>
            <w:tcMar>
              <w:top w:w="0.0" w:type="dxa"/>
              <w:left w:w="0.0" w:type="dxa"/>
              <w:bottom w:w="0.0" w:type="dxa"/>
              <w:right w:w="0.0" w:type="dxa"/>
            </w:tcMar>
            <w:vAlign w:val="top"/>
          </w:tcPr>
          <w:p w:rsidR="00000000" w:rsidDel="00000000" w:rsidP="00000000" w:rsidRDefault="00000000" w:rsidRPr="00000000" w14:paraId="0000023C">
            <w:pPr>
              <w:widowControl w:val="0"/>
              <w:spacing w:after="0" w:line="240" w:lineRule="auto"/>
              <w:jc w:val="center"/>
              <w:rPr>
                <w:color w:val="1f1f1f"/>
                <w:sz w:val="24"/>
                <w:szCs w:val="24"/>
              </w:rPr>
            </w:pPr>
            <w:r w:rsidDel="00000000" w:rsidR="00000000" w:rsidRPr="00000000">
              <w:rPr>
                <w:color w:val="1f1f1f"/>
                <w:sz w:val="24"/>
                <w:szCs w:val="24"/>
                <w:rtl w:val="0"/>
              </w:rPr>
              <w:t xml:space="preserve">1.800***</w:t>
            </w:r>
          </w:p>
        </w:tc>
        <w:tc>
          <w:tcPr>
            <w:tcBorders>
              <w:top w:color="1f1f1f" w:space="0" w:sz="8" w:val="single"/>
            </w:tcBorders>
            <w:tcMar>
              <w:top w:w="0.0" w:type="dxa"/>
              <w:left w:w="0.0" w:type="dxa"/>
              <w:bottom w:w="0.0" w:type="dxa"/>
              <w:right w:w="0.0" w:type="dxa"/>
            </w:tcMar>
            <w:vAlign w:val="top"/>
          </w:tcPr>
          <w:p w:rsidR="00000000" w:rsidDel="00000000" w:rsidP="00000000" w:rsidRDefault="00000000" w:rsidRPr="00000000" w14:paraId="0000023D">
            <w:pPr>
              <w:widowControl w:val="0"/>
              <w:spacing w:after="0" w:line="240" w:lineRule="auto"/>
              <w:jc w:val="center"/>
              <w:rPr>
                <w:color w:val="1f1f1f"/>
                <w:sz w:val="24"/>
                <w:szCs w:val="24"/>
              </w:rPr>
            </w:pPr>
            <w:r w:rsidDel="00000000" w:rsidR="00000000" w:rsidRPr="00000000">
              <w:rPr>
                <w:color w:val="1f1f1f"/>
                <w:sz w:val="24"/>
                <w:szCs w:val="24"/>
                <w:rtl w:val="0"/>
              </w:rPr>
              <w:t xml:space="preserve">1.765***</w:t>
            </w:r>
          </w:p>
        </w:tc>
        <w:tc>
          <w:tcPr>
            <w:tcBorders>
              <w:top w:color="1f1f1f" w:space="0" w:sz="8" w:val="single"/>
            </w:tcBorders>
            <w:tcMar>
              <w:top w:w="0.0" w:type="dxa"/>
              <w:left w:w="0.0" w:type="dxa"/>
              <w:bottom w:w="0.0" w:type="dxa"/>
              <w:right w:w="0.0" w:type="dxa"/>
            </w:tcMar>
            <w:vAlign w:val="top"/>
          </w:tcPr>
          <w:p w:rsidR="00000000" w:rsidDel="00000000" w:rsidP="00000000" w:rsidRDefault="00000000" w:rsidRPr="00000000" w14:paraId="0000023E">
            <w:pPr>
              <w:widowControl w:val="0"/>
              <w:spacing w:after="0" w:line="240" w:lineRule="auto"/>
              <w:jc w:val="center"/>
              <w:rPr>
                <w:color w:val="1f1f1f"/>
                <w:sz w:val="24"/>
                <w:szCs w:val="24"/>
              </w:rPr>
            </w:pPr>
            <w:r w:rsidDel="00000000" w:rsidR="00000000" w:rsidRPr="00000000">
              <w:rPr>
                <w:color w:val="1f1f1f"/>
                <w:sz w:val="24"/>
                <w:szCs w:val="24"/>
                <w:rtl w:val="0"/>
              </w:rPr>
              <w:t xml:space="preserve">1.779***</w:t>
            </w:r>
          </w:p>
        </w:tc>
      </w:tr>
      <w:tr>
        <w:trPr>
          <w:cantSplit w:val="0"/>
          <w:trHeight w:val="144" w:hRule="atLeast"/>
          <w:tblHeader w:val="0"/>
        </w:trPr>
        <w:tc>
          <w:tcPr>
            <w:tcMar>
              <w:top w:w="0.0" w:type="dxa"/>
              <w:left w:w="0.0" w:type="dxa"/>
              <w:bottom w:w="0.0" w:type="dxa"/>
              <w:right w:w="0.0" w:type="dxa"/>
            </w:tcMar>
            <w:vAlign w:val="top"/>
          </w:tcPr>
          <w:p w:rsidR="00000000" w:rsidDel="00000000" w:rsidP="00000000" w:rsidRDefault="00000000" w:rsidRPr="00000000" w14:paraId="0000023F">
            <w:pPr>
              <w:widowControl w:val="0"/>
              <w:spacing w:after="0" w:line="240" w:lineRule="auto"/>
              <w:jc w:val="both"/>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40">
            <w:pPr>
              <w:widowControl w:val="0"/>
              <w:spacing w:after="0" w:line="240" w:lineRule="auto"/>
              <w:jc w:val="center"/>
              <w:rPr>
                <w:color w:val="1f1f1f"/>
                <w:sz w:val="24"/>
                <w:szCs w:val="24"/>
              </w:rPr>
            </w:pPr>
            <w:r w:rsidDel="00000000" w:rsidR="00000000" w:rsidRPr="00000000">
              <w:rPr>
                <w:color w:val="1f1f1f"/>
                <w:sz w:val="24"/>
                <w:szCs w:val="24"/>
                <w:rtl w:val="0"/>
              </w:rPr>
              <w:t xml:space="preserve">(0.065)</w:t>
            </w:r>
          </w:p>
        </w:tc>
        <w:tc>
          <w:tcPr>
            <w:tcMar>
              <w:top w:w="0.0" w:type="dxa"/>
              <w:left w:w="0.0" w:type="dxa"/>
              <w:bottom w:w="0.0" w:type="dxa"/>
              <w:right w:w="0.0" w:type="dxa"/>
            </w:tcMar>
            <w:vAlign w:val="top"/>
          </w:tcPr>
          <w:p w:rsidR="00000000" w:rsidDel="00000000" w:rsidP="00000000" w:rsidRDefault="00000000" w:rsidRPr="00000000" w14:paraId="00000241">
            <w:pPr>
              <w:widowControl w:val="0"/>
              <w:spacing w:after="0" w:line="240" w:lineRule="auto"/>
              <w:jc w:val="center"/>
              <w:rPr>
                <w:color w:val="1f1f1f"/>
                <w:sz w:val="24"/>
                <w:szCs w:val="24"/>
              </w:rPr>
            </w:pPr>
            <w:r w:rsidDel="00000000" w:rsidR="00000000" w:rsidRPr="00000000">
              <w:rPr>
                <w:color w:val="1f1f1f"/>
                <w:sz w:val="24"/>
                <w:szCs w:val="24"/>
                <w:rtl w:val="0"/>
              </w:rPr>
              <w:t xml:space="preserve">(0.089)</w:t>
            </w:r>
          </w:p>
        </w:tc>
        <w:tc>
          <w:tcPr>
            <w:tcMar>
              <w:top w:w="0.0" w:type="dxa"/>
              <w:left w:w="0.0" w:type="dxa"/>
              <w:bottom w:w="0.0" w:type="dxa"/>
              <w:right w:w="0.0" w:type="dxa"/>
            </w:tcMar>
            <w:vAlign w:val="top"/>
          </w:tcPr>
          <w:p w:rsidR="00000000" w:rsidDel="00000000" w:rsidP="00000000" w:rsidRDefault="00000000" w:rsidRPr="00000000" w14:paraId="00000242">
            <w:pPr>
              <w:widowControl w:val="0"/>
              <w:spacing w:after="0" w:line="240" w:lineRule="auto"/>
              <w:jc w:val="center"/>
              <w:rPr>
                <w:color w:val="1f1f1f"/>
                <w:sz w:val="24"/>
                <w:szCs w:val="24"/>
              </w:rPr>
            </w:pPr>
            <w:r w:rsidDel="00000000" w:rsidR="00000000" w:rsidRPr="00000000">
              <w:rPr>
                <w:color w:val="1f1f1f"/>
                <w:sz w:val="24"/>
                <w:szCs w:val="24"/>
                <w:rtl w:val="0"/>
              </w:rPr>
              <w:t xml:space="preserve">(0.134)</w:t>
            </w:r>
          </w:p>
        </w:tc>
      </w:tr>
      <w:tr>
        <w:trPr>
          <w:cantSplit w:val="0"/>
          <w:trHeight w:val="144" w:hRule="atLeast"/>
          <w:tblHeader w:val="0"/>
        </w:trPr>
        <w:tc>
          <w:tcPr>
            <w:tcMar>
              <w:top w:w="0.0" w:type="dxa"/>
              <w:left w:w="0.0" w:type="dxa"/>
              <w:bottom w:w="0.0" w:type="dxa"/>
              <w:right w:w="0.0" w:type="dxa"/>
            </w:tcMar>
            <w:vAlign w:val="top"/>
          </w:tcPr>
          <w:p w:rsidR="00000000" w:rsidDel="00000000" w:rsidP="00000000" w:rsidRDefault="00000000" w:rsidRPr="00000000" w14:paraId="00000243">
            <w:pPr>
              <w:widowControl w:val="0"/>
              <w:spacing w:after="0" w:line="240" w:lineRule="auto"/>
              <w:jc w:val="both"/>
              <w:rPr>
                <w:color w:val="1f1f1f"/>
                <w:sz w:val="24"/>
                <w:szCs w:val="24"/>
              </w:rPr>
            </w:pPr>
            <w:r w:rsidDel="00000000" w:rsidR="00000000" w:rsidRPr="00000000">
              <w:rPr>
                <w:b w:val="1"/>
                <w:bCs w:val="1"/>
                <w:color w:val="1f1f1f"/>
                <w:sz w:val="24"/>
                <w:szCs w:val="24"/>
                <w:rtl w:val="0"/>
              </w:rPr>
              <w:t xml:space="preserve">Categoria Administrativa</w:t>
            </w:r>
            <w:r w:rsidDel="00000000" w:rsidR="00000000" w:rsidRPr="00000000">
              <w:rPr>
                <w:color w:val="1f1f1f"/>
                <w:sz w:val="24"/>
                <w:szCs w:val="24"/>
                <w:rtl w:val="0"/>
              </w:rPr>
              <w:t xml:space="preserve"> </w:t>
            </w:r>
            <w:r w:rsidDel="00000000" w:rsidR="00000000" w:rsidRPr="00000000">
              <w:rPr>
                <w:i w:val="1"/>
                <w:iCs w:val="1"/>
                <w:color w:val="1f1f1f"/>
                <w:sz w:val="24"/>
                <w:szCs w:val="24"/>
                <w:rtl w:val="0"/>
              </w:rPr>
              <w:t xml:space="preserve">(Ref: Univ. Federal)</w:t>
            </w: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44">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45">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46">
            <w:pPr>
              <w:widowControl w:val="0"/>
              <w:spacing w:after="0" w:line="240" w:lineRule="auto"/>
              <w:jc w:val="center"/>
              <w:rPr>
                <w:color w:val="1f1f1f"/>
                <w:sz w:val="24"/>
                <w:szCs w:val="24"/>
              </w:rPr>
            </w:pPr>
            <w:r w:rsidDel="00000000" w:rsidR="00000000" w:rsidRPr="00000000">
              <w:rPr>
                <w:rtl w:val="0"/>
              </w:rPr>
            </w:r>
          </w:p>
        </w:tc>
      </w:tr>
      <w:tr>
        <w:trPr>
          <w:cantSplit w:val="0"/>
          <w:trHeight w:val="144" w:hRule="atLeast"/>
          <w:tblHeader w:val="0"/>
        </w:trPr>
        <w:tc>
          <w:tcPr>
            <w:tcMar>
              <w:top w:w="0.0" w:type="dxa"/>
              <w:left w:w="0.0" w:type="dxa"/>
              <w:bottom w:w="0.0" w:type="dxa"/>
              <w:right w:w="0.0" w:type="dxa"/>
            </w:tcMar>
            <w:vAlign w:val="top"/>
          </w:tcPr>
          <w:p w:rsidR="00000000" w:rsidDel="00000000" w:rsidP="00000000" w:rsidRDefault="00000000" w:rsidRPr="00000000" w14:paraId="00000247">
            <w:pPr>
              <w:widowControl w:val="0"/>
              <w:spacing w:after="0" w:line="240" w:lineRule="auto"/>
              <w:jc w:val="both"/>
              <w:rPr>
                <w:color w:val="1f1f1f"/>
                <w:sz w:val="24"/>
                <w:szCs w:val="24"/>
              </w:rPr>
            </w:pPr>
            <w:r w:rsidDel="00000000" w:rsidR="00000000" w:rsidRPr="00000000">
              <w:rPr>
                <w:color w:val="1f1f1f"/>
                <w:sz w:val="24"/>
                <w:szCs w:val="24"/>
                <w:rtl w:val="0"/>
              </w:rPr>
              <w:t xml:space="preserve">    IF/CEFET</w:t>
            </w:r>
          </w:p>
        </w:tc>
        <w:tc>
          <w:tcPr>
            <w:tcMar>
              <w:top w:w="0.0" w:type="dxa"/>
              <w:left w:w="0.0" w:type="dxa"/>
              <w:bottom w:w="0.0" w:type="dxa"/>
              <w:right w:w="0.0" w:type="dxa"/>
            </w:tcMar>
            <w:vAlign w:val="top"/>
          </w:tcPr>
          <w:p w:rsidR="00000000" w:rsidDel="00000000" w:rsidP="00000000" w:rsidRDefault="00000000" w:rsidRPr="00000000" w14:paraId="00000248">
            <w:pPr>
              <w:widowControl w:val="0"/>
              <w:spacing w:after="0" w:line="240" w:lineRule="auto"/>
              <w:jc w:val="center"/>
              <w:rPr>
                <w:color w:val="1f1f1f"/>
                <w:sz w:val="24"/>
                <w:szCs w:val="24"/>
              </w:rPr>
            </w:pPr>
            <w:r w:rsidDel="00000000" w:rsidR="00000000" w:rsidRPr="00000000">
              <w:rPr>
                <w:color w:val="1f1f1f"/>
                <w:sz w:val="24"/>
                <w:szCs w:val="24"/>
                <w:rtl w:val="0"/>
              </w:rPr>
              <w:t xml:space="preserve">1.150*</w:t>
            </w:r>
          </w:p>
        </w:tc>
        <w:tc>
          <w:tcPr>
            <w:tcMar>
              <w:top w:w="0.0" w:type="dxa"/>
              <w:left w:w="0.0" w:type="dxa"/>
              <w:bottom w:w="0.0" w:type="dxa"/>
              <w:right w:w="0.0" w:type="dxa"/>
            </w:tcMar>
            <w:vAlign w:val="top"/>
          </w:tcPr>
          <w:p w:rsidR="00000000" w:rsidDel="00000000" w:rsidP="00000000" w:rsidRDefault="00000000" w:rsidRPr="00000000" w14:paraId="00000249">
            <w:pPr>
              <w:widowControl w:val="0"/>
              <w:spacing w:after="0" w:line="240" w:lineRule="auto"/>
              <w:jc w:val="center"/>
              <w:rPr>
                <w:color w:val="1f1f1f"/>
                <w:sz w:val="24"/>
                <w:szCs w:val="24"/>
              </w:rPr>
            </w:pPr>
            <w:r w:rsidDel="00000000" w:rsidR="00000000" w:rsidRPr="00000000">
              <w:rPr>
                <w:color w:val="1f1f1f"/>
                <w:sz w:val="24"/>
                <w:szCs w:val="24"/>
                <w:rtl w:val="0"/>
              </w:rPr>
              <w:t xml:space="preserve">1.168*</w:t>
            </w:r>
          </w:p>
        </w:tc>
        <w:tc>
          <w:tcPr>
            <w:tcMar>
              <w:top w:w="0.0" w:type="dxa"/>
              <w:left w:w="0.0" w:type="dxa"/>
              <w:bottom w:w="0.0" w:type="dxa"/>
              <w:right w:w="0.0" w:type="dxa"/>
            </w:tcMar>
            <w:vAlign w:val="top"/>
          </w:tcPr>
          <w:p w:rsidR="00000000" w:rsidDel="00000000" w:rsidP="00000000" w:rsidRDefault="00000000" w:rsidRPr="00000000" w14:paraId="0000024A">
            <w:pPr>
              <w:widowControl w:val="0"/>
              <w:spacing w:after="0" w:line="240" w:lineRule="auto"/>
              <w:jc w:val="center"/>
              <w:rPr>
                <w:color w:val="1f1f1f"/>
                <w:sz w:val="24"/>
                <w:szCs w:val="24"/>
              </w:rPr>
            </w:pPr>
            <w:r w:rsidDel="00000000" w:rsidR="00000000" w:rsidRPr="00000000">
              <w:rPr>
                <w:color w:val="1f1f1f"/>
                <w:sz w:val="24"/>
                <w:szCs w:val="24"/>
                <w:rtl w:val="0"/>
              </w:rPr>
              <w:t xml:space="preserve">1.162*</w:t>
            </w:r>
          </w:p>
        </w:tc>
      </w:tr>
      <w:tr>
        <w:trPr>
          <w:cantSplit w:val="0"/>
          <w:trHeight w:val="144" w:hRule="atLeast"/>
          <w:tblHeader w:val="0"/>
        </w:trPr>
        <w:tc>
          <w:tcPr>
            <w:tcMar>
              <w:top w:w="0.0" w:type="dxa"/>
              <w:left w:w="0.0" w:type="dxa"/>
              <w:bottom w:w="0.0" w:type="dxa"/>
              <w:right w:w="0.0" w:type="dxa"/>
            </w:tcMar>
            <w:vAlign w:val="top"/>
          </w:tcPr>
          <w:p w:rsidR="00000000" w:rsidDel="00000000" w:rsidP="00000000" w:rsidRDefault="00000000" w:rsidRPr="00000000" w14:paraId="0000024B">
            <w:pPr>
              <w:widowControl w:val="0"/>
              <w:spacing w:after="0" w:line="240" w:lineRule="auto"/>
              <w:jc w:val="both"/>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4C">
            <w:pPr>
              <w:widowControl w:val="0"/>
              <w:spacing w:after="0" w:line="240" w:lineRule="auto"/>
              <w:jc w:val="center"/>
              <w:rPr>
                <w:color w:val="1f1f1f"/>
                <w:sz w:val="24"/>
                <w:szCs w:val="24"/>
              </w:rPr>
            </w:pPr>
            <w:r w:rsidDel="00000000" w:rsidR="00000000" w:rsidRPr="00000000">
              <w:rPr>
                <w:color w:val="1f1f1f"/>
                <w:sz w:val="24"/>
                <w:szCs w:val="24"/>
                <w:rtl w:val="0"/>
              </w:rPr>
              <w:t xml:space="preserve">(0.065)</w:t>
            </w:r>
          </w:p>
        </w:tc>
        <w:tc>
          <w:tcPr>
            <w:tcMar>
              <w:top w:w="0.0" w:type="dxa"/>
              <w:left w:w="0.0" w:type="dxa"/>
              <w:bottom w:w="0.0" w:type="dxa"/>
              <w:right w:w="0.0" w:type="dxa"/>
            </w:tcMar>
            <w:vAlign w:val="top"/>
          </w:tcPr>
          <w:p w:rsidR="00000000" w:rsidDel="00000000" w:rsidP="00000000" w:rsidRDefault="00000000" w:rsidRPr="00000000" w14:paraId="0000024D">
            <w:pPr>
              <w:widowControl w:val="0"/>
              <w:spacing w:after="0" w:line="240" w:lineRule="auto"/>
              <w:jc w:val="center"/>
              <w:rPr>
                <w:color w:val="1f1f1f"/>
                <w:sz w:val="24"/>
                <w:szCs w:val="24"/>
              </w:rPr>
            </w:pPr>
            <w:r w:rsidDel="00000000" w:rsidR="00000000" w:rsidRPr="00000000">
              <w:rPr>
                <w:color w:val="1f1f1f"/>
                <w:sz w:val="24"/>
                <w:szCs w:val="24"/>
                <w:rtl w:val="0"/>
              </w:rPr>
              <w:t xml:space="preserve">(0.068)</w:t>
            </w:r>
          </w:p>
        </w:tc>
        <w:tc>
          <w:tcPr>
            <w:tcMar>
              <w:top w:w="0.0" w:type="dxa"/>
              <w:left w:w="0.0" w:type="dxa"/>
              <w:bottom w:w="0.0" w:type="dxa"/>
              <w:right w:w="0.0" w:type="dxa"/>
            </w:tcMar>
            <w:vAlign w:val="top"/>
          </w:tcPr>
          <w:p w:rsidR="00000000" w:rsidDel="00000000" w:rsidP="00000000" w:rsidRDefault="00000000" w:rsidRPr="00000000" w14:paraId="0000024E">
            <w:pPr>
              <w:widowControl w:val="0"/>
              <w:spacing w:after="0" w:line="240" w:lineRule="auto"/>
              <w:jc w:val="center"/>
              <w:rPr>
                <w:color w:val="1f1f1f"/>
                <w:sz w:val="24"/>
                <w:szCs w:val="24"/>
              </w:rPr>
            </w:pPr>
            <w:r w:rsidDel="00000000" w:rsidR="00000000" w:rsidRPr="00000000">
              <w:rPr>
                <w:color w:val="1f1f1f"/>
                <w:sz w:val="24"/>
                <w:szCs w:val="24"/>
                <w:rtl w:val="0"/>
              </w:rPr>
              <w:t xml:space="preserve">(0.124)</w:t>
            </w:r>
          </w:p>
        </w:tc>
      </w:tr>
      <w:tr>
        <w:trPr>
          <w:cantSplit w:val="0"/>
          <w:trHeight w:val="144" w:hRule="atLeast"/>
          <w:tblHeader w:val="0"/>
        </w:trPr>
        <w:tc>
          <w:tcPr>
            <w:tcMar>
              <w:top w:w="0.0" w:type="dxa"/>
              <w:left w:w="0.0" w:type="dxa"/>
              <w:bottom w:w="0.0" w:type="dxa"/>
              <w:right w:w="0.0" w:type="dxa"/>
            </w:tcMar>
            <w:vAlign w:val="top"/>
          </w:tcPr>
          <w:p w:rsidR="00000000" w:rsidDel="00000000" w:rsidP="00000000" w:rsidRDefault="00000000" w:rsidRPr="00000000" w14:paraId="0000024F">
            <w:pPr>
              <w:widowControl w:val="0"/>
              <w:spacing w:after="0" w:line="240" w:lineRule="auto"/>
              <w:jc w:val="both"/>
              <w:rPr>
                <w:color w:val="1f1f1f"/>
                <w:sz w:val="24"/>
                <w:szCs w:val="24"/>
              </w:rPr>
            </w:pPr>
            <w:r w:rsidDel="00000000" w:rsidR="00000000" w:rsidRPr="00000000">
              <w:rPr>
                <w:b w:val="1"/>
                <w:bCs w:val="1"/>
                <w:color w:val="1f1f1f"/>
                <w:sz w:val="24"/>
                <w:szCs w:val="24"/>
                <w:rtl w:val="0"/>
              </w:rPr>
              <w:t xml:space="preserve">Capital Científico</w:t>
            </w: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50">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51">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52">
            <w:pPr>
              <w:widowControl w:val="0"/>
              <w:spacing w:after="0" w:line="240" w:lineRule="auto"/>
              <w:jc w:val="center"/>
              <w:rPr>
                <w:color w:val="1f1f1f"/>
                <w:sz w:val="24"/>
                <w:szCs w:val="24"/>
              </w:rPr>
            </w:pPr>
            <w:r w:rsidDel="00000000" w:rsidR="00000000" w:rsidRPr="00000000">
              <w:rPr>
                <w:rtl w:val="0"/>
              </w:rPr>
            </w:r>
          </w:p>
        </w:tc>
      </w:tr>
      <w:tr>
        <w:trPr>
          <w:cantSplit w:val="0"/>
          <w:trHeight w:val="144" w:hRule="atLeast"/>
          <w:tblHeader w:val="0"/>
        </w:trPr>
        <w:tc>
          <w:tcPr>
            <w:tcMar>
              <w:top w:w="0.0" w:type="dxa"/>
              <w:left w:w="0.0" w:type="dxa"/>
              <w:bottom w:w="0.0" w:type="dxa"/>
              <w:right w:w="0.0" w:type="dxa"/>
            </w:tcMar>
            <w:vAlign w:val="top"/>
          </w:tcPr>
          <w:p w:rsidR="00000000" w:rsidDel="00000000" w:rsidP="00000000" w:rsidRDefault="00000000" w:rsidRPr="00000000" w14:paraId="00000253">
            <w:pPr>
              <w:widowControl w:val="0"/>
              <w:spacing w:after="0" w:line="240" w:lineRule="auto"/>
              <w:jc w:val="both"/>
              <w:rPr>
                <w:color w:val="1f1f1f"/>
                <w:sz w:val="24"/>
                <w:szCs w:val="24"/>
              </w:rPr>
            </w:pPr>
            <w:r w:rsidDel="00000000" w:rsidR="00000000" w:rsidRPr="00000000">
              <w:rPr>
                <w:color w:val="1f1f1f"/>
                <w:sz w:val="24"/>
                <w:szCs w:val="24"/>
                <w:rtl w:val="0"/>
              </w:rPr>
              <w:t xml:space="preserve">    Índice H do Pesquisador</w:t>
            </w:r>
          </w:p>
        </w:tc>
        <w:tc>
          <w:tcPr>
            <w:tcMar>
              <w:top w:w="0.0" w:type="dxa"/>
              <w:left w:w="0.0" w:type="dxa"/>
              <w:bottom w:w="0.0" w:type="dxa"/>
              <w:right w:w="0.0" w:type="dxa"/>
            </w:tcMar>
            <w:vAlign w:val="top"/>
          </w:tcPr>
          <w:p w:rsidR="00000000" w:rsidDel="00000000" w:rsidP="00000000" w:rsidRDefault="00000000" w:rsidRPr="00000000" w14:paraId="00000254">
            <w:pPr>
              <w:widowControl w:val="0"/>
              <w:spacing w:after="0" w:line="240" w:lineRule="auto"/>
              <w:jc w:val="center"/>
              <w:rPr>
                <w:color w:val="1f1f1f"/>
                <w:sz w:val="24"/>
                <w:szCs w:val="24"/>
              </w:rPr>
            </w:pPr>
            <w:r w:rsidDel="00000000" w:rsidR="00000000" w:rsidRPr="00000000">
              <w:rPr>
                <w:color w:val="1f1f1f"/>
                <w:sz w:val="24"/>
                <w:szCs w:val="24"/>
                <w:rtl w:val="0"/>
              </w:rPr>
              <w:t xml:space="preserve">1.004</w:t>
            </w:r>
          </w:p>
        </w:tc>
        <w:tc>
          <w:tcPr>
            <w:tcMar>
              <w:top w:w="0.0" w:type="dxa"/>
              <w:left w:w="0.0" w:type="dxa"/>
              <w:bottom w:w="0.0" w:type="dxa"/>
              <w:right w:w="0.0" w:type="dxa"/>
            </w:tcMar>
            <w:vAlign w:val="top"/>
          </w:tcPr>
          <w:p w:rsidR="00000000" w:rsidDel="00000000" w:rsidP="00000000" w:rsidRDefault="00000000" w:rsidRPr="00000000" w14:paraId="00000255">
            <w:pPr>
              <w:widowControl w:val="0"/>
              <w:spacing w:after="0" w:line="240" w:lineRule="auto"/>
              <w:jc w:val="center"/>
              <w:rPr>
                <w:color w:val="1f1f1f"/>
                <w:sz w:val="24"/>
                <w:szCs w:val="24"/>
              </w:rPr>
            </w:pPr>
            <w:r w:rsidDel="00000000" w:rsidR="00000000" w:rsidRPr="00000000">
              <w:rPr>
                <w:color w:val="1f1f1f"/>
                <w:sz w:val="24"/>
                <w:szCs w:val="24"/>
                <w:rtl w:val="0"/>
              </w:rPr>
              <w:t xml:space="preserve">1.004</w:t>
            </w:r>
          </w:p>
        </w:tc>
        <w:tc>
          <w:tcPr>
            <w:tcMar>
              <w:top w:w="0.0" w:type="dxa"/>
              <w:left w:w="0.0" w:type="dxa"/>
              <w:bottom w:w="0.0" w:type="dxa"/>
              <w:right w:w="0.0" w:type="dxa"/>
            </w:tcMar>
            <w:vAlign w:val="top"/>
          </w:tcPr>
          <w:p w:rsidR="00000000" w:rsidDel="00000000" w:rsidP="00000000" w:rsidRDefault="00000000" w:rsidRPr="00000000" w14:paraId="00000256">
            <w:pPr>
              <w:widowControl w:val="0"/>
              <w:spacing w:after="0" w:line="240" w:lineRule="auto"/>
              <w:jc w:val="center"/>
              <w:rPr>
                <w:color w:val="1f1f1f"/>
                <w:sz w:val="24"/>
                <w:szCs w:val="24"/>
              </w:rPr>
            </w:pPr>
            <w:r w:rsidDel="00000000" w:rsidR="00000000" w:rsidRPr="00000000">
              <w:rPr>
                <w:color w:val="1f1f1f"/>
                <w:sz w:val="24"/>
                <w:szCs w:val="24"/>
                <w:rtl w:val="0"/>
              </w:rPr>
              <w:t xml:space="preserve">1.004</w:t>
            </w:r>
          </w:p>
        </w:tc>
      </w:tr>
      <w:tr>
        <w:trPr>
          <w:cantSplit w:val="0"/>
          <w:trHeight w:val="144" w:hRule="atLeast"/>
          <w:tblHeader w:val="0"/>
        </w:trPr>
        <w:tc>
          <w:tcPr>
            <w:tcMar>
              <w:top w:w="0.0" w:type="dxa"/>
              <w:left w:w="0.0" w:type="dxa"/>
              <w:bottom w:w="0.0" w:type="dxa"/>
              <w:right w:w="0.0" w:type="dxa"/>
            </w:tcMar>
            <w:vAlign w:val="top"/>
          </w:tcPr>
          <w:p w:rsidR="00000000" w:rsidDel="00000000" w:rsidP="00000000" w:rsidRDefault="00000000" w:rsidRPr="00000000" w14:paraId="00000257">
            <w:pPr>
              <w:widowControl w:val="0"/>
              <w:spacing w:after="0" w:line="240" w:lineRule="auto"/>
              <w:jc w:val="both"/>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58">
            <w:pPr>
              <w:widowControl w:val="0"/>
              <w:spacing w:after="0" w:line="240" w:lineRule="auto"/>
              <w:jc w:val="center"/>
              <w:rPr>
                <w:color w:val="1f1f1f"/>
                <w:sz w:val="24"/>
                <w:szCs w:val="24"/>
              </w:rPr>
            </w:pPr>
            <w:r w:rsidDel="00000000" w:rsidR="00000000" w:rsidRPr="00000000">
              <w:rPr>
                <w:color w:val="1f1f1f"/>
                <w:sz w:val="24"/>
                <w:szCs w:val="24"/>
                <w:rtl w:val="0"/>
              </w:rPr>
              <w:t xml:space="preserve">(0.002)</w:t>
            </w:r>
          </w:p>
        </w:tc>
        <w:tc>
          <w:tcPr>
            <w:tcMar>
              <w:top w:w="0.0" w:type="dxa"/>
              <w:left w:w="0.0" w:type="dxa"/>
              <w:bottom w:w="0.0" w:type="dxa"/>
              <w:right w:w="0.0" w:type="dxa"/>
            </w:tcMar>
            <w:vAlign w:val="top"/>
          </w:tcPr>
          <w:p w:rsidR="00000000" w:rsidDel="00000000" w:rsidP="00000000" w:rsidRDefault="00000000" w:rsidRPr="00000000" w14:paraId="00000259">
            <w:pPr>
              <w:widowControl w:val="0"/>
              <w:spacing w:after="0" w:line="240" w:lineRule="auto"/>
              <w:jc w:val="center"/>
              <w:rPr>
                <w:color w:val="1f1f1f"/>
                <w:sz w:val="24"/>
                <w:szCs w:val="24"/>
              </w:rPr>
            </w:pPr>
            <w:r w:rsidDel="00000000" w:rsidR="00000000" w:rsidRPr="00000000">
              <w:rPr>
                <w:color w:val="1f1f1f"/>
                <w:sz w:val="24"/>
                <w:szCs w:val="24"/>
                <w:rtl w:val="0"/>
              </w:rPr>
              <w:t xml:space="preserve">(0.002)</w:t>
            </w:r>
          </w:p>
        </w:tc>
        <w:tc>
          <w:tcPr>
            <w:tcMar>
              <w:top w:w="0.0" w:type="dxa"/>
              <w:left w:w="0.0" w:type="dxa"/>
              <w:bottom w:w="0.0" w:type="dxa"/>
              <w:right w:w="0.0" w:type="dxa"/>
            </w:tcMar>
            <w:vAlign w:val="top"/>
          </w:tcPr>
          <w:p w:rsidR="00000000" w:rsidDel="00000000" w:rsidP="00000000" w:rsidRDefault="00000000" w:rsidRPr="00000000" w14:paraId="0000025A">
            <w:pPr>
              <w:widowControl w:val="0"/>
              <w:spacing w:after="0" w:line="240" w:lineRule="auto"/>
              <w:jc w:val="center"/>
              <w:rPr>
                <w:color w:val="1f1f1f"/>
                <w:sz w:val="24"/>
                <w:szCs w:val="24"/>
              </w:rPr>
            </w:pPr>
            <w:r w:rsidDel="00000000" w:rsidR="00000000" w:rsidRPr="00000000">
              <w:rPr>
                <w:color w:val="1f1f1f"/>
                <w:sz w:val="24"/>
                <w:szCs w:val="24"/>
                <w:rtl w:val="0"/>
              </w:rPr>
              <w:t xml:space="preserve">(0.002)</w:t>
            </w:r>
          </w:p>
        </w:tc>
      </w:tr>
      <w:tr>
        <w:trPr>
          <w:cantSplit w:val="0"/>
          <w:trHeight w:val="144" w:hRule="atLeast"/>
          <w:tblHeader w:val="0"/>
        </w:trPr>
        <w:tc>
          <w:tcPr>
            <w:tcMar>
              <w:top w:w="0.0" w:type="dxa"/>
              <w:left w:w="0.0" w:type="dxa"/>
              <w:bottom w:w="0.0" w:type="dxa"/>
              <w:right w:w="0.0" w:type="dxa"/>
            </w:tcMar>
            <w:vAlign w:val="top"/>
          </w:tcPr>
          <w:p w:rsidR="00000000" w:rsidDel="00000000" w:rsidP="00000000" w:rsidRDefault="00000000" w:rsidRPr="00000000" w14:paraId="0000025B">
            <w:pPr>
              <w:widowControl w:val="0"/>
              <w:spacing w:after="0" w:line="240" w:lineRule="auto"/>
              <w:jc w:val="both"/>
              <w:rPr>
                <w:color w:val="1f1f1f"/>
                <w:sz w:val="24"/>
                <w:szCs w:val="24"/>
              </w:rPr>
            </w:pPr>
            <w:r w:rsidDel="00000000" w:rsidR="00000000" w:rsidRPr="00000000">
              <w:rPr>
                <w:b w:val="1"/>
                <w:bCs w:val="1"/>
                <w:color w:val="1f1f1f"/>
                <w:sz w:val="24"/>
                <w:szCs w:val="24"/>
                <w:rtl w:val="0"/>
              </w:rPr>
              <w:t xml:space="preserve">Região Geográfica</w:t>
            </w:r>
            <w:r w:rsidDel="00000000" w:rsidR="00000000" w:rsidRPr="00000000">
              <w:rPr>
                <w:color w:val="1f1f1f"/>
                <w:sz w:val="24"/>
                <w:szCs w:val="24"/>
                <w:rtl w:val="0"/>
              </w:rPr>
              <w:t xml:space="preserve"> </w:t>
            </w:r>
            <w:r w:rsidDel="00000000" w:rsidR="00000000" w:rsidRPr="00000000">
              <w:rPr>
                <w:i w:val="1"/>
                <w:iCs w:val="1"/>
                <w:color w:val="1f1f1f"/>
                <w:sz w:val="24"/>
                <w:szCs w:val="24"/>
                <w:rtl w:val="0"/>
              </w:rPr>
              <w:t xml:space="preserve">(Ref: Sudeste)</w:t>
            </w: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5C">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5D">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5E">
            <w:pPr>
              <w:widowControl w:val="0"/>
              <w:spacing w:after="0" w:line="240" w:lineRule="auto"/>
              <w:jc w:val="center"/>
              <w:rPr>
                <w:color w:val="1f1f1f"/>
                <w:sz w:val="24"/>
                <w:szCs w:val="24"/>
              </w:rPr>
            </w:pPr>
            <w:r w:rsidDel="00000000" w:rsidR="00000000" w:rsidRPr="00000000">
              <w:rPr>
                <w:rtl w:val="0"/>
              </w:rPr>
            </w:r>
          </w:p>
        </w:tc>
      </w:tr>
      <w:tr>
        <w:trPr>
          <w:cantSplit w:val="0"/>
          <w:trHeight w:val="144" w:hRule="atLeast"/>
          <w:tblHeader w:val="0"/>
        </w:trPr>
        <w:tc>
          <w:tcPr>
            <w:tcMar>
              <w:top w:w="0.0" w:type="dxa"/>
              <w:left w:w="0.0" w:type="dxa"/>
              <w:bottom w:w="0.0" w:type="dxa"/>
              <w:right w:w="0.0" w:type="dxa"/>
            </w:tcMar>
            <w:vAlign w:val="top"/>
          </w:tcPr>
          <w:p w:rsidR="00000000" w:rsidDel="00000000" w:rsidP="00000000" w:rsidRDefault="00000000" w:rsidRPr="00000000" w14:paraId="0000025F">
            <w:pPr>
              <w:widowControl w:val="0"/>
              <w:spacing w:after="0" w:line="240" w:lineRule="auto"/>
              <w:jc w:val="both"/>
              <w:rPr>
                <w:color w:val="1f1f1f"/>
                <w:sz w:val="24"/>
                <w:szCs w:val="24"/>
              </w:rPr>
            </w:pPr>
            <w:r w:rsidDel="00000000" w:rsidR="00000000" w:rsidRPr="00000000">
              <w:rPr>
                <w:color w:val="1f1f1f"/>
                <w:sz w:val="24"/>
                <w:szCs w:val="24"/>
                <w:rtl w:val="0"/>
              </w:rPr>
              <w:t xml:space="preserve">    Centro-Oeste</w:t>
            </w:r>
          </w:p>
        </w:tc>
        <w:tc>
          <w:tcPr>
            <w:tcMar>
              <w:top w:w="0.0" w:type="dxa"/>
              <w:left w:w="0.0" w:type="dxa"/>
              <w:bottom w:w="0.0" w:type="dxa"/>
              <w:right w:w="0.0" w:type="dxa"/>
            </w:tcMar>
            <w:vAlign w:val="top"/>
          </w:tcPr>
          <w:p w:rsidR="00000000" w:rsidDel="00000000" w:rsidP="00000000" w:rsidRDefault="00000000" w:rsidRPr="00000000" w14:paraId="00000260">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61">
            <w:pPr>
              <w:widowControl w:val="0"/>
              <w:spacing w:after="0" w:line="240" w:lineRule="auto"/>
              <w:jc w:val="center"/>
              <w:rPr>
                <w:color w:val="1f1f1f"/>
                <w:sz w:val="24"/>
                <w:szCs w:val="24"/>
              </w:rPr>
            </w:pPr>
            <w:r w:rsidDel="00000000" w:rsidR="00000000" w:rsidRPr="00000000">
              <w:rPr>
                <w:color w:val="1f1f1f"/>
                <w:sz w:val="24"/>
                <w:szCs w:val="24"/>
                <w:rtl w:val="0"/>
              </w:rPr>
              <w:t xml:space="preserve">0.887</w:t>
            </w:r>
          </w:p>
        </w:tc>
        <w:tc>
          <w:tcPr>
            <w:tcMar>
              <w:top w:w="0.0" w:type="dxa"/>
              <w:left w:w="0.0" w:type="dxa"/>
              <w:bottom w:w="0.0" w:type="dxa"/>
              <w:right w:w="0.0" w:type="dxa"/>
            </w:tcMar>
            <w:vAlign w:val="top"/>
          </w:tcPr>
          <w:p w:rsidR="00000000" w:rsidDel="00000000" w:rsidP="00000000" w:rsidRDefault="00000000" w:rsidRPr="00000000" w14:paraId="00000262">
            <w:pPr>
              <w:widowControl w:val="0"/>
              <w:spacing w:after="0" w:line="240" w:lineRule="auto"/>
              <w:jc w:val="center"/>
              <w:rPr>
                <w:color w:val="1f1f1f"/>
                <w:sz w:val="24"/>
                <w:szCs w:val="24"/>
              </w:rPr>
            </w:pPr>
            <w:r w:rsidDel="00000000" w:rsidR="00000000" w:rsidRPr="00000000">
              <w:rPr>
                <w:color w:val="1f1f1f"/>
                <w:sz w:val="24"/>
                <w:szCs w:val="24"/>
                <w:rtl w:val="0"/>
              </w:rPr>
              <w:t xml:space="preserve">0.920</w:t>
            </w:r>
          </w:p>
        </w:tc>
      </w:tr>
      <w:tr>
        <w:trPr>
          <w:cantSplit w:val="0"/>
          <w:trHeight w:val="144" w:hRule="atLeast"/>
          <w:tblHeader w:val="0"/>
        </w:trPr>
        <w:tc>
          <w:tcPr>
            <w:tcMar>
              <w:top w:w="0.0" w:type="dxa"/>
              <w:left w:w="0.0" w:type="dxa"/>
              <w:bottom w:w="0.0" w:type="dxa"/>
              <w:right w:w="0.0" w:type="dxa"/>
            </w:tcMar>
            <w:vAlign w:val="top"/>
          </w:tcPr>
          <w:p w:rsidR="00000000" w:rsidDel="00000000" w:rsidP="00000000" w:rsidRDefault="00000000" w:rsidRPr="00000000" w14:paraId="00000263">
            <w:pPr>
              <w:widowControl w:val="0"/>
              <w:spacing w:after="0" w:line="240" w:lineRule="auto"/>
              <w:jc w:val="both"/>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64">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65">
            <w:pPr>
              <w:widowControl w:val="0"/>
              <w:spacing w:after="0" w:line="240" w:lineRule="auto"/>
              <w:jc w:val="center"/>
              <w:rPr>
                <w:color w:val="1f1f1f"/>
                <w:sz w:val="24"/>
                <w:szCs w:val="24"/>
              </w:rPr>
            </w:pPr>
            <w:r w:rsidDel="00000000" w:rsidR="00000000" w:rsidRPr="00000000">
              <w:rPr>
                <w:color w:val="1f1f1f"/>
                <w:sz w:val="24"/>
                <w:szCs w:val="24"/>
                <w:rtl w:val="0"/>
              </w:rPr>
              <w:t xml:space="preserve">(0.096)</w:t>
            </w:r>
          </w:p>
        </w:tc>
        <w:tc>
          <w:tcPr>
            <w:tcMar>
              <w:top w:w="0.0" w:type="dxa"/>
              <w:left w:w="0.0" w:type="dxa"/>
              <w:bottom w:w="0.0" w:type="dxa"/>
              <w:right w:w="0.0" w:type="dxa"/>
            </w:tcMar>
            <w:vAlign w:val="top"/>
          </w:tcPr>
          <w:p w:rsidR="00000000" w:rsidDel="00000000" w:rsidP="00000000" w:rsidRDefault="00000000" w:rsidRPr="00000000" w14:paraId="00000266">
            <w:pPr>
              <w:widowControl w:val="0"/>
              <w:spacing w:after="0" w:line="240" w:lineRule="auto"/>
              <w:jc w:val="center"/>
              <w:rPr>
                <w:color w:val="1f1f1f"/>
                <w:sz w:val="24"/>
                <w:szCs w:val="24"/>
              </w:rPr>
            </w:pPr>
            <w:r w:rsidDel="00000000" w:rsidR="00000000" w:rsidRPr="00000000">
              <w:rPr>
                <w:color w:val="1f1f1f"/>
                <w:sz w:val="24"/>
                <w:szCs w:val="24"/>
                <w:rtl w:val="0"/>
              </w:rPr>
              <w:t xml:space="preserve">(0.117)</w:t>
            </w:r>
          </w:p>
        </w:tc>
      </w:tr>
      <w:tr>
        <w:trPr>
          <w:cantSplit w:val="0"/>
          <w:trHeight w:val="144" w:hRule="atLeast"/>
          <w:tblHeader w:val="0"/>
        </w:trPr>
        <w:tc>
          <w:tcPr>
            <w:tcMar>
              <w:top w:w="0.0" w:type="dxa"/>
              <w:left w:w="0.0" w:type="dxa"/>
              <w:bottom w:w="0.0" w:type="dxa"/>
              <w:right w:w="0.0" w:type="dxa"/>
            </w:tcMar>
            <w:vAlign w:val="top"/>
          </w:tcPr>
          <w:p w:rsidR="00000000" w:rsidDel="00000000" w:rsidP="00000000" w:rsidRDefault="00000000" w:rsidRPr="00000000" w14:paraId="00000267">
            <w:pPr>
              <w:widowControl w:val="0"/>
              <w:spacing w:after="0" w:line="240" w:lineRule="auto"/>
              <w:jc w:val="both"/>
              <w:rPr>
                <w:color w:val="1f1f1f"/>
                <w:sz w:val="24"/>
                <w:szCs w:val="24"/>
              </w:rPr>
            </w:pPr>
            <w:r w:rsidDel="00000000" w:rsidR="00000000" w:rsidRPr="00000000">
              <w:rPr>
                <w:color w:val="1f1f1f"/>
                <w:sz w:val="24"/>
                <w:szCs w:val="24"/>
                <w:rtl w:val="0"/>
              </w:rPr>
              <w:t xml:space="preserve">    Nordeste</w:t>
            </w:r>
          </w:p>
        </w:tc>
        <w:tc>
          <w:tcPr>
            <w:tcMar>
              <w:top w:w="0.0" w:type="dxa"/>
              <w:left w:w="0.0" w:type="dxa"/>
              <w:bottom w:w="0.0" w:type="dxa"/>
              <w:right w:w="0.0" w:type="dxa"/>
            </w:tcMar>
            <w:vAlign w:val="top"/>
          </w:tcPr>
          <w:p w:rsidR="00000000" w:rsidDel="00000000" w:rsidP="00000000" w:rsidRDefault="00000000" w:rsidRPr="00000000" w14:paraId="00000268">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69">
            <w:pPr>
              <w:widowControl w:val="0"/>
              <w:spacing w:after="0" w:line="240" w:lineRule="auto"/>
              <w:jc w:val="center"/>
              <w:rPr>
                <w:color w:val="1f1f1f"/>
                <w:sz w:val="24"/>
                <w:szCs w:val="24"/>
              </w:rPr>
            </w:pPr>
            <w:r w:rsidDel="00000000" w:rsidR="00000000" w:rsidRPr="00000000">
              <w:rPr>
                <w:color w:val="1f1f1f"/>
                <w:sz w:val="24"/>
                <w:szCs w:val="24"/>
                <w:rtl w:val="0"/>
              </w:rPr>
              <w:t xml:space="preserve">1.025</w:t>
            </w:r>
          </w:p>
        </w:tc>
        <w:tc>
          <w:tcPr>
            <w:tcMar>
              <w:top w:w="0.0" w:type="dxa"/>
              <w:left w:w="0.0" w:type="dxa"/>
              <w:bottom w:w="0.0" w:type="dxa"/>
              <w:right w:w="0.0" w:type="dxa"/>
            </w:tcMar>
            <w:vAlign w:val="top"/>
          </w:tcPr>
          <w:p w:rsidR="00000000" w:rsidDel="00000000" w:rsidP="00000000" w:rsidRDefault="00000000" w:rsidRPr="00000000" w14:paraId="0000026A">
            <w:pPr>
              <w:widowControl w:val="0"/>
              <w:spacing w:after="0" w:line="240" w:lineRule="auto"/>
              <w:jc w:val="center"/>
              <w:rPr>
                <w:color w:val="1f1f1f"/>
                <w:sz w:val="24"/>
                <w:szCs w:val="24"/>
              </w:rPr>
            </w:pPr>
            <w:r w:rsidDel="00000000" w:rsidR="00000000" w:rsidRPr="00000000">
              <w:rPr>
                <w:color w:val="1f1f1f"/>
                <w:sz w:val="24"/>
                <w:szCs w:val="24"/>
                <w:rtl w:val="0"/>
              </w:rPr>
              <w:t xml:space="preserve">1.064</w:t>
            </w:r>
          </w:p>
        </w:tc>
      </w:tr>
      <w:tr>
        <w:trPr>
          <w:cantSplit w:val="0"/>
          <w:trHeight w:val="144" w:hRule="atLeast"/>
          <w:tblHeader w:val="0"/>
        </w:trPr>
        <w:tc>
          <w:tcPr>
            <w:tcMar>
              <w:top w:w="0.0" w:type="dxa"/>
              <w:left w:w="0.0" w:type="dxa"/>
              <w:bottom w:w="0.0" w:type="dxa"/>
              <w:right w:w="0.0" w:type="dxa"/>
            </w:tcMar>
            <w:vAlign w:val="top"/>
          </w:tcPr>
          <w:p w:rsidR="00000000" w:rsidDel="00000000" w:rsidP="00000000" w:rsidRDefault="00000000" w:rsidRPr="00000000" w14:paraId="0000026B">
            <w:pPr>
              <w:widowControl w:val="0"/>
              <w:spacing w:after="0" w:line="240" w:lineRule="auto"/>
              <w:jc w:val="both"/>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6C">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6D">
            <w:pPr>
              <w:widowControl w:val="0"/>
              <w:spacing w:after="0" w:line="240" w:lineRule="auto"/>
              <w:jc w:val="center"/>
              <w:rPr>
                <w:color w:val="1f1f1f"/>
                <w:sz w:val="24"/>
                <w:szCs w:val="24"/>
              </w:rPr>
            </w:pPr>
            <w:r w:rsidDel="00000000" w:rsidR="00000000" w:rsidRPr="00000000">
              <w:rPr>
                <w:color w:val="1f1f1f"/>
                <w:sz w:val="24"/>
                <w:szCs w:val="24"/>
                <w:rtl w:val="0"/>
              </w:rPr>
              <w:t xml:space="preserve">(0.071)</w:t>
            </w:r>
          </w:p>
        </w:tc>
        <w:tc>
          <w:tcPr>
            <w:tcMar>
              <w:top w:w="0.0" w:type="dxa"/>
              <w:left w:w="0.0" w:type="dxa"/>
              <w:bottom w:w="0.0" w:type="dxa"/>
              <w:right w:w="0.0" w:type="dxa"/>
            </w:tcMar>
            <w:vAlign w:val="top"/>
          </w:tcPr>
          <w:p w:rsidR="00000000" w:rsidDel="00000000" w:rsidP="00000000" w:rsidRDefault="00000000" w:rsidRPr="00000000" w14:paraId="0000026E">
            <w:pPr>
              <w:widowControl w:val="0"/>
              <w:spacing w:after="0" w:line="240" w:lineRule="auto"/>
              <w:jc w:val="center"/>
              <w:rPr>
                <w:color w:val="1f1f1f"/>
                <w:sz w:val="24"/>
                <w:szCs w:val="24"/>
              </w:rPr>
            </w:pPr>
            <w:r w:rsidDel="00000000" w:rsidR="00000000" w:rsidRPr="00000000">
              <w:rPr>
                <w:color w:val="1f1f1f"/>
                <w:sz w:val="24"/>
                <w:szCs w:val="24"/>
                <w:rtl w:val="0"/>
              </w:rPr>
              <w:t xml:space="preserve">(0.086)</w:t>
            </w:r>
          </w:p>
        </w:tc>
      </w:tr>
      <w:tr>
        <w:trPr>
          <w:cantSplit w:val="0"/>
          <w:trHeight w:val="144" w:hRule="atLeast"/>
          <w:tblHeader w:val="0"/>
        </w:trPr>
        <w:tc>
          <w:tcPr>
            <w:tcMar>
              <w:top w:w="0.0" w:type="dxa"/>
              <w:left w:w="0.0" w:type="dxa"/>
              <w:bottom w:w="0.0" w:type="dxa"/>
              <w:right w:w="0.0" w:type="dxa"/>
            </w:tcMar>
            <w:vAlign w:val="top"/>
          </w:tcPr>
          <w:p w:rsidR="00000000" w:rsidDel="00000000" w:rsidP="00000000" w:rsidRDefault="00000000" w:rsidRPr="00000000" w14:paraId="0000026F">
            <w:pPr>
              <w:widowControl w:val="0"/>
              <w:spacing w:after="0" w:line="240" w:lineRule="auto"/>
              <w:jc w:val="both"/>
              <w:rPr>
                <w:color w:val="1f1f1f"/>
                <w:sz w:val="24"/>
                <w:szCs w:val="24"/>
              </w:rPr>
            </w:pPr>
            <w:r w:rsidDel="00000000" w:rsidR="00000000" w:rsidRPr="00000000">
              <w:rPr>
                <w:color w:val="1f1f1f"/>
                <w:sz w:val="24"/>
                <w:szCs w:val="24"/>
                <w:rtl w:val="0"/>
              </w:rPr>
              <w:t xml:space="preserve">    Norte</w:t>
            </w:r>
          </w:p>
        </w:tc>
        <w:tc>
          <w:tcPr>
            <w:tcMar>
              <w:top w:w="0.0" w:type="dxa"/>
              <w:left w:w="0.0" w:type="dxa"/>
              <w:bottom w:w="0.0" w:type="dxa"/>
              <w:right w:w="0.0" w:type="dxa"/>
            </w:tcMar>
            <w:vAlign w:val="top"/>
          </w:tcPr>
          <w:p w:rsidR="00000000" w:rsidDel="00000000" w:rsidP="00000000" w:rsidRDefault="00000000" w:rsidRPr="00000000" w14:paraId="00000270">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71">
            <w:pPr>
              <w:widowControl w:val="0"/>
              <w:spacing w:after="0" w:line="240" w:lineRule="auto"/>
              <w:jc w:val="center"/>
              <w:rPr>
                <w:color w:val="1f1f1f"/>
                <w:sz w:val="24"/>
                <w:szCs w:val="24"/>
              </w:rPr>
            </w:pPr>
            <w:r w:rsidDel="00000000" w:rsidR="00000000" w:rsidRPr="00000000">
              <w:rPr>
                <w:color w:val="1f1f1f"/>
                <w:sz w:val="24"/>
                <w:szCs w:val="24"/>
                <w:rtl w:val="0"/>
              </w:rPr>
              <w:t xml:space="preserve">0.949</w:t>
            </w:r>
          </w:p>
        </w:tc>
        <w:tc>
          <w:tcPr>
            <w:tcMar>
              <w:top w:w="0.0" w:type="dxa"/>
              <w:left w:w="0.0" w:type="dxa"/>
              <w:bottom w:w="0.0" w:type="dxa"/>
              <w:right w:w="0.0" w:type="dxa"/>
            </w:tcMar>
            <w:vAlign w:val="top"/>
          </w:tcPr>
          <w:p w:rsidR="00000000" w:rsidDel="00000000" w:rsidP="00000000" w:rsidRDefault="00000000" w:rsidRPr="00000000" w14:paraId="00000272">
            <w:pPr>
              <w:widowControl w:val="0"/>
              <w:spacing w:after="0" w:line="240" w:lineRule="auto"/>
              <w:jc w:val="center"/>
              <w:rPr>
                <w:color w:val="1f1f1f"/>
                <w:sz w:val="24"/>
                <w:szCs w:val="24"/>
              </w:rPr>
            </w:pPr>
            <w:r w:rsidDel="00000000" w:rsidR="00000000" w:rsidRPr="00000000">
              <w:rPr>
                <w:color w:val="1f1f1f"/>
                <w:sz w:val="24"/>
                <w:szCs w:val="24"/>
                <w:rtl w:val="0"/>
              </w:rPr>
              <w:t xml:space="preserve">0.978</w:t>
            </w:r>
          </w:p>
        </w:tc>
      </w:tr>
      <w:tr>
        <w:trPr>
          <w:cantSplit w:val="0"/>
          <w:trHeight w:val="144" w:hRule="atLeast"/>
          <w:tblHeader w:val="0"/>
        </w:trPr>
        <w:tc>
          <w:tcPr>
            <w:tcMar>
              <w:top w:w="0.0" w:type="dxa"/>
              <w:left w:w="0.0" w:type="dxa"/>
              <w:bottom w:w="0.0" w:type="dxa"/>
              <w:right w:w="0.0" w:type="dxa"/>
            </w:tcMar>
            <w:vAlign w:val="top"/>
          </w:tcPr>
          <w:p w:rsidR="00000000" w:rsidDel="00000000" w:rsidP="00000000" w:rsidRDefault="00000000" w:rsidRPr="00000000" w14:paraId="00000273">
            <w:pPr>
              <w:widowControl w:val="0"/>
              <w:spacing w:after="0" w:line="240" w:lineRule="auto"/>
              <w:jc w:val="both"/>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74">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75">
            <w:pPr>
              <w:widowControl w:val="0"/>
              <w:spacing w:after="0" w:line="240" w:lineRule="auto"/>
              <w:jc w:val="center"/>
              <w:rPr>
                <w:color w:val="1f1f1f"/>
                <w:sz w:val="24"/>
                <w:szCs w:val="24"/>
              </w:rPr>
            </w:pPr>
            <w:r w:rsidDel="00000000" w:rsidR="00000000" w:rsidRPr="00000000">
              <w:rPr>
                <w:color w:val="1f1f1f"/>
                <w:sz w:val="24"/>
                <w:szCs w:val="24"/>
                <w:rtl w:val="0"/>
              </w:rPr>
              <w:t xml:space="preserve">(0.092)</w:t>
            </w:r>
          </w:p>
        </w:tc>
        <w:tc>
          <w:tcPr>
            <w:tcMar>
              <w:top w:w="0.0" w:type="dxa"/>
              <w:left w:w="0.0" w:type="dxa"/>
              <w:bottom w:w="0.0" w:type="dxa"/>
              <w:right w:w="0.0" w:type="dxa"/>
            </w:tcMar>
            <w:vAlign w:val="top"/>
          </w:tcPr>
          <w:p w:rsidR="00000000" w:rsidDel="00000000" w:rsidP="00000000" w:rsidRDefault="00000000" w:rsidRPr="00000000" w14:paraId="00000276">
            <w:pPr>
              <w:widowControl w:val="0"/>
              <w:spacing w:after="0" w:line="240" w:lineRule="auto"/>
              <w:jc w:val="center"/>
              <w:rPr>
                <w:color w:val="1f1f1f"/>
                <w:sz w:val="24"/>
                <w:szCs w:val="24"/>
              </w:rPr>
            </w:pPr>
            <w:r w:rsidDel="00000000" w:rsidR="00000000" w:rsidRPr="00000000">
              <w:rPr>
                <w:color w:val="1f1f1f"/>
                <w:sz w:val="24"/>
                <w:szCs w:val="24"/>
                <w:rtl w:val="0"/>
              </w:rPr>
              <w:t xml:space="preserve">(0.116)</w:t>
            </w:r>
          </w:p>
        </w:tc>
      </w:tr>
      <w:tr>
        <w:trPr>
          <w:cantSplit w:val="0"/>
          <w:trHeight w:val="144" w:hRule="atLeast"/>
          <w:tblHeader w:val="0"/>
        </w:trPr>
        <w:tc>
          <w:tcPr>
            <w:tcMar>
              <w:top w:w="0.0" w:type="dxa"/>
              <w:left w:w="0.0" w:type="dxa"/>
              <w:bottom w:w="0.0" w:type="dxa"/>
              <w:right w:w="0.0" w:type="dxa"/>
            </w:tcMar>
            <w:vAlign w:val="top"/>
          </w:tcPr>
          <w:p w:rsidR="00000000" w:rsidDel="00000000" w:rsidP="00000000" w:rsidRDefault="00000000" w:rsidRPr="00000000" w14:paraId="00000277">
            <w:pPr>
              <w:widowControl w:val="0"/>
              <w:spacing w:after="0" w:line="240" w:lineRule="auto"/>
              <w:jc w:val="both"/>
              <w:rPr>
                <w:color w:val="1f1f1f"/>
                <w:sz w:val="24"/>
                <w:szCs w:val="24"/>
              </w:rPr>
            </w:pPr>
            <w:r w:rsidDel="00000000" w:rsidR="00000000" w:rsidRPr="00000000">
              <w:rPr>
                <w:color w:val="1f1f1f"/>
                <w:sz w:val="24"/>
                <w:szCs w:val="24"/>
                <w:rtl w:val="0"/>
              </w:rPr>
              <w:t xml:space="preserve">    Sul</w:t>
            </w:r>
          </w:p>
        </w:tc>
        <w:tc>
          <w:tcPr>
            <w:tcMar>
              <w:top w:w="0.0" w:type="dxa"/>
              <w:left w:w="0.0" w:type="dxa"/>
              <w:bottom w:w="0.0" w:type="dxa"/>
              <w:right w:w="0.0" w:type="dxa"/>
            </w:tcMar>
            <w:vAlign w:val="top"/>
          </w:tcPr>
          <w:p w:rsidR="00000000" w:rsidDel="00000000" w:rsidP="00000000" w:rsidRDefault="00000000" w:rsidRPr="00000000" w14:paraId="00000278">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79">
            <w:pPr>
              <w:widowControl w:val="0"/>
              <w:spacing w:after="0" w:line="240" w:lineRule="auto"/>
              <w:jc w:val="center"/>
              <w:rPr>
                <w:color w:val="1f1f1f"/>
                <w:sz w:val="24"/>
                <w:szCs w:val="24"/>
              </w:rPr>
            </w:pPr>
            <w:r w:rsidDel="00000000" w:rsidR="00000000" w:rsidRPr="00000000">
              <w:rPr>
                <w:color w:val="1f1f1f"/>
                <w:sz w:val="24"/>
                <w:szCs w:val="24"/>
                <w:rtl w:val="0"/>
              </w:rPr>
              <w:t xml:space="preserve">1.082</w:t>
            </w:r>
          </w:p>
        </w:tc>
        <w:tc>
          <w:tcPr>
            <w:tcMar>
              <w:top w:w="0.0" w:type="dxa"/>
              <w:left w:w="0.0" w:type="dxa"/>
              <w:bottom w:w="0.0" w:type="dxa"/>
              <w:right w:w="0.0" w:type="dxa"/>
            </w:tcMar>
            <w:vAlign w:val="top"/>
          </w:tcPr>
          <w:p w:rsidR="00000000" w:rsidDel="00000000" w:rsidP="00000000" w:rsidRDefault="00000000" w:rsidRPr="00000000" w14:paraId="0000027A">
            <w:pPr>
              <w:widowControl w:val="0"/>
              <w:spacing w:after="0" w:line="240" w:lineRule="auto"/>
              <w:jc w:val="center"/>
              <w:rPr>
                <w:color w:val="1f1f1f"/>
                <w:sz w:val="24"/>
                <w:szCs w:val="24"/>
              </w:rPr>
            </w:pPr>
            <w:r w:rsidDel="00000000" w:rsidR="00000000" w:rsidRPr="00000000">
              <w:rPr>
                <w:color w:val="1f1f1f"/>
                <w:sz w:val="24"/>
                <w:szCs w:val="24"/>
                <w:rtl w:val="0"/>
              </w:rPr>
              <w:t xml:space="preserve">1.125</w:t>
            </w:r>
          </w:p>
        </w:tc>
      </w:tr>
      <w:tr>
        <w:trPr>
          <w:cantSplit w:val="0"/>
          <w:trHeight w:val="144" w:hRule="atLeast"/>
          <w:tblHeader w:val="0"/>
        </w:trPr>
        <w:tc>
          <w:tcPr>
            <w:tcMar>
              <w:top w:w="0.0" w:type="dxa"/>
              <w:left w:w="0.0" w:type="dxa"/>
              <w:bottom w:w="0.0" w:type="dxa"/>
              <w:right w:w="0.0" w:type="dxa"/>
            </w:tcMar>
            <w:vAlign w:val="top"/>
          </w:tcPr>
          <w:p w:rsidR="00000000" w:rsidDel="00000000" w:rsidP="00000000" w:rsidRDefault="00000000" w:rsidRPr="00000000" w14:paraId="0000027B">
            <w:pPr>
              <w:widowControl w:val="0"/>
              <w:spacing w:after="0" w:line="240" w:lineRule="auto"/>
              <w:jc w:val="both"/>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7C">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7D">
            <w:pPr>
              <w:widowControl w:val="0"/>
              <w:spacing w:after="0" w:line="240" w:lineRule="auto"/>
              <w:jc w:val="center"/>
              <w:rPr>
                <w:color w:val="1f1f1f"/>
                <w:sz w:val="24"/>
                <w:szCs w:val="24"/>
              </w:rPr>
            </w:pPr>
            <w:r w:rsidDel="00000000" w:rsidR="00000000" w:rsidRPr="00000000">
              <w:rPr>
                <w:color w:val="1f1f1f"/>
                <w:sz w:val="24"/>
                <w:szCs w:val="24"/>
                <w:rtl w:val="0"/>
              </w:rPr>
              <w:t xml:space="preserve">(0.091)</w:t>
            </w:r>
          </w:p>
        </w:tc>
        <w:tc>
          <w:tcPr>
            <w:tcMar>
              <w:top w:w="0.0" w:type="dxa"/>
              <w:left w:w="0.0" w:type="dxa"/>
              <w:bottom w:w="0.0" w:type="dxa"/>
              <w:right w:w="0.0" w:type="dxa"/>
            </w:tcMar>
            <w:vAlign w:val="top"/>
          </w:tcPr>
          <w:p w:rsidR="00000000" w:rsidDel="00000000" w:rsidP="00000000" w:rsidRDefault="00000000" w:rsidRPr="00000000" w14:paraId="0000027E">
            <w:pPr>
              <w:widowControl w:val="0"/>
              <w:spacing w:after="0" w:line="240" w:lineRule="auto"/>
              <w:jc w:val="center"/>
              <w:rPr>
                <w:color w:val="1f1f1f"/>
                <w:sz w:val="24"/>
                <w:szCs w:val="24"/>
              </w:rPr>
            </w:pPr>
            <w:r w:rsidDel="00000000" w:rsidR="00000000" w:rsidRPr="00000000">
              <w:rPr>
                <w:color w:val="1f1f1f"/>
                <w:sz w:val="24"/>
                <w:szCs w:val="24"/>
                <w:rtl w:val="0"/>
              </w:rPr>
              <w:t xml:space="preserve">(0.111)</w:t>
            </w:r>
          </w:p>
        </w:tc>
      </w:tr>
      <w:tr>
        <w:trPr>
          <w:cantSplit w:val="0"/>
          <w:trHeight w:val="144" w:hRule="atLeast"/>
          <w:tblHeader w:val="0"/>
        </w:trPr>
        <w:tc>
          <w:tcPr>
            <w:tcMar>
              <w:top w:w="0.0" w:type="dxa"/>
              <w:left w:w="0.0" w:type="dxa"/>
              <w:bottom w:w="0.0" w:type="dxa"/>
              <w:right w:w="0.0" w:type="dxa"/>
            </w:tcMar>
            <w:vAlign w:val="top"/>
          </w:tcPr>
          <w:p w:rsidR="00000000" w:rsidDel="00000000" w:rsidP="00000000" w:rsidRDefault="00000000" w:rsidRPr="00000000" w14:paraId="0000027F">
            <w:pPr>
              <w:widowControl w:val="0"/>
              <w:spacing w:after="0" w:line="240" w:lineRule="auto"/>
              <w:jc w:val="both"/>
              <w:rPr>
                <w:color w:val="1f1f1f"/>
                <w:sz w:val="24"/>
                <w:szCs w:val="24"/>
              </w:rPr>
            </w:pPr>
            <w:r w:rsidDel="00000000" w:rsidR="00000000" w:rsidRPr="00000000">
              <w:rPr>
                <w:b w:val="1"/>
                <w:bCs w:val="1"/>
                <w:color w:val="1f1f1f"/>
                <w:sz w:val="24"/>
                <w:szCs w:val="24"/>
                <w:rtl w:val="0"/>
              </w:rPr>
              <w:t xml:space="preserve">Interações Instituição × Região</w:t>
            </w: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80">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81">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82">
            <w:pPr>
              <w:widowControl w:val="0"/>
              <w:spacing w:after="0" w:line="240" w:lineRule="auto"/>
              <w:jc w:val="center"/>
              <w:rPr>
                <w:color w:val="1f1f1f"/>
                <w:sz w:val="24"/>
                <w:szCs w:val="24"/>
              </w:rPr>
            </w:pPr>
            <w:r w:rsidDel="00000000" w:rsidR="00000000" w:rsidRPr="00000000">
              <w:rPr>
                <w:rtl w:val="0"/>
              </w:rPr>
            </w:r>
          </w:p>
        </w:tc>
      </w:tr>
      <w:tr>
        <w:trPr>
          <w:cantSplit w:val="0"/>
          <w:trHeight w:val="144" w:hRule="atLeast"/>
          <w:tblHeader w:val="0"/>
        </w:trPr>
        <w:tc>
          <w:tcPr>
            <w:tcMar>
              <w:top w:w="0.0" w:type="dxa"/>
              <w:left w:w="0.0" w:type="dxa"/>
              <w:bottom w:w="0.0" w:type="dxa"/>
              <w:right w:w="0.0" w:type="dxa"/>
            </w:tcMar>
            <w:vAlign w:val="top"/>
          </w:tcPr>
          <w:p w:rsidR="00000000" w:rsidDel="00000000" w:rsidP="00000000" w:rsidRDefault="00000000" w:rsidRPr="00000000" w14:paraId="00000283">
            <w:pPr>
              <w:widowControl w:val="0"/>
              <w:spacing w:after="0" w:line="240" w:lineRule="auto"/>
              <w:jc w:val="both"/>
              <w:rPr>
                <w:color w:val="1f1f1f"/>
                <w:sz w:val="24"/>
                <w:szCs w:val="24"/>
              </w:rPr>
            </w:pPr>
            <w:r w:rsidDel="00000000" w:rsidR="00000000" w:rsidRPr="00000000">
              <w:rPr>
                <w:color w:val="1f1f1f"/>
                <w:sz w:val="24"/>
                <w:szCs w:val="24"/>
                <w:rtl w:val="0"/>
              </w:rPr>
              <w:t xml:space="preserve">    IF/CEFET × Centro-Oeste</w:t>
            </w:r>
          </w:p>
        </w:tc>
        <w:tc>
          <w:tcPr>
            <w:tcMar>
              <w:top w:w="0.0" w:type="dxa"/>
              <w:left w:w="0.0" w:type="dxa"/>
              <w:bottom w:w="0.0" w:type="dxa"/>
              <w:right w:w="0.0" w:type="dxa"/>
            </w:tcMar>
            <w:vAlign w:val="top"/>
          </w:tcPr>
          <w:p w:rsidR="00000000" w:rsidDel="00000000" w:rsidP="00000000" w:rsidRDefault="00000000" w:rsidRPr="00000000" w14:paraId="00000284">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85">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86">
            <w:pPr>
              <w:widowControl w:val="0"/>
              <w:spacing w:after="0" w:line="240" w:lineRule="auto"/>
              <w:jc w:val="center"/>
              <w:rPr>
                <w:color w:val="1f1f1f"/>
                <w:sz w:val="24"/>
                <w:szCs w:val="24"/>
              </w:rPr>
            </w:pPr>
            <w:r w:rsidDel="00000000" w:rsidR="00000000" w:rsidRPr="00000000">
              <w:rPr>
                <w:color w:val="1f1f1f"/>
                <w:sz w:val="24"/>
                <w:szCs w:val="24"/>
                <w:rtl w:val="0"/>
              </w:rPr>
              <w:t xml:space="preserve">0.964</w:t>
            </w:r>
          </w:p>
        </w:tc>
      </w:tr>
      <w:tr>
        <w:trPr>
          <w:cantSplit w:val="0"/>
          <w:trHeight w:val="144" w:hRule="atLeast"/>
          <w:tblHeader w:val="0"/>
        </w:trPr>
        <w:tc>
          <w:tcPr>
            <w:tcMar>
              <w:top w:w="0.0" w:type="dxa"/>
              <w:left w:w="0.0" w:type="dxa"/>
              <w:bottom w:w="0.0" w:type="dxa"/>
              <w:right w:w="0.0" w:type="dxa"/>
            </w:tcMar>
            <w:vAlign w:val="top"/>
          </w:tcPr>
          <w:p w:rsidR="00000000" w:rsidDel="00000000" w:rsidP="00000000" w:rsidRDefault="00000000" w:rsidRPr="00000000" w14:paraId="00000287">
            <w:pPr>
              <w:widowControl w:val="0"/>
              <w:spacing w:after="0" w:line="240" w:lineRule="auto"/>
              <w:jc w:val="both"/>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88">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89">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8A">
            <w:pPr>
              <w:widowControl w:val="0"/>
              <w:spacing w:after="0" w:line="240" w:lineRule="auto"/>
              <w:jc w:val="center"/>
              <w:rPr>
                <w:color w:val="1f1f1f"/>
                <w:sz w:val="24"/>
                <w:szCs w:val="24"/>
              </w:rPr>
            </w:pPr>
            <w:r w:rsidDel="00000000" w:rsidR="00000000" w:rsidRPr="00000000">
              <w:rPr>
                <w:color w:val="1f1f1f"/>
                <w:sz w:val="24"/>
                <w:szCs w:val="24"/>
                <w:rtl w:val="0"/>
              </w:rPr>
              <w:t xml:space="preserve">(0.218)</w:t>
            </w:r>
          </w:p>
        </w:tc>
      </w:tr>
      <w:tr>
        <w:trPr>
          <w:cantSplit w:val="0"/>
          <w:trHeight w:val="144" w:hRule="atLeast"/>
          <w:tblHeader w:val="0"/>
        </w:trPr>
        <w:tc>
          <w:tcPr>
            <w:tcMar>
              <w:top w:w="0.0" w:type="dxa"/>
              <w:left w:w="0.0" w:type="dxa"/>
              <w:bottom w:w="0.0" w:type="dxa"/>
              <w:right w:w="0.0" w:type="dxa"/>
            </w:tcMar>
            <w:vAlign w:val="top"/>
          </w:tcPr>
          <w:p w:rsidR="00000000" w:rsidDel="00000000" w:rsidP="00000000" w:rsidRDefault="00000000" w:rsidRPr="00000000" w14:paraId="0000028B">
            <w:pPr>
              <w:widowControl w:val="0"/>
              <w:spacing w:after="0" w:line="240" w:lineRule="auto"/>
              <w:jc w:val="both"/>
              <w:rPr>
                <w:color w:val="1f1f1f"/>
                <w:sz w:val="24"/>
                <w:szCs w:val="24"/>
              </w:rPr>
            </w:pPr>
            <w:r w:rsidDel="00000000" w:rsidR="00000000" w:rsidRPr="00000000">
              <w:rPr>
                <w:color w:val="1f1f1f"/>
                <w:sz w:val="24"/>
                <w:szCs w:val="24"/>
                <w:rtl w:val="0"/>
              </w:rPr>
              <w:t xml:space="preserve">    IF/CEFET × Nordeste</w:t>
            </w:r>
          </w:p>
        </w:tc>
        <w:tc>
          <w:tcPr>
            <w:tcMar>
              <w:top w:w="0.0" w:type="dxa"/>
              <w:left w:w="0.0" w:type="dxa"/>
              <w:bottom w:w="0.0" w:type="dxa"/>
              <w:right w:w="0.0" w:type="dxa"/>
            </w:tcMar>
            <w:vAlign w:val="top"/>
          </w:tcPr>
          <w:p w:rsidR="00000000" w:rsidDel="00000000" w:rsidP="00000000" w:rsidRDefault="00000000" w:rsidRPr="00000000" w14:paraId="0000028C">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8D">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8E">
            <w:pPr>
              <w:widowControl w:val="0"/>
              <w:spacing w:after="0" w:line="240" w:lineRule="auto"/>
              <w:jc w:val="center"/>
              <w:rPr>
                <w:color w:val="1f1f1f"/>
                <w:sz w:val="24"/>
                <w:szCs w:val="24"/>
              </w:rPr>
            </w:pPr>
            <w:r w:rsidDel="00000000" w:rsidR="00000000" w:rsidRPr="00000000">
              <w:rPr>
                <w:color w:val="1f1f1f"/>
                <w:sz w:val="24"/>
                <w:szCs w:val="24"/>
                <w:rtl w:val="0"/>
              </w:rPr>
              <w:t xml:space="preserve">0.917</w:t>
            </w:r>
          </w:p>
        </w:tc>
      </w:tr>
      <w:tr>
        <w:trPr>
          <w:cantSplit w:val="0"/>
          <w:trHeight w:val="144" w:hRule="atLeast"/>
          <w:tblHeader w:val="0"/>
        </w:trPr>
        <w:tc>
          <w:tcPr>
            <w:tcMar>
              <w:top w:w="0.0" w:type="dxa"/>
              <w:left w:w="0.0" w:type="dxa"/>
              <w:bottom w:w="0.0" w:type="dxa"/>
              <w:right w:w="0.0" w:type="dxa"/>
            </w:tcMar>
            <w:vAlign w:val="top"/>
          </w:tcPr>
          <w:p w:rsidR="00000000" w:rsidDel="00000000" w:rsidP="00000000" w:rsidRDefault="00000000" w:rsidRPr="00000000" w14:paraId="0000028F">
            <w:pPr>
              <w:widowControl w:val="0"/>
              <w:spacing w:after="0" w:line="240" w:lineRule="auto"/>
              <w:jc w:val="both"/>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90">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91">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92">
            <w:pPr>
              <w:widowControl w:val="0"/>
              <w:spacing w:after="0" w:line="240" w:lineRule="auto"/>
              <w:jc w:val="center"/>
              <w:rPr>
                <w:color w:val="1f1f1f"/>
                <w:sz w:val="24"/>
                <w:szCs w:val="24"/>
              </w:rPr>
            </w:pPr>
            <w:r w:rsidDel="00000000" w:rsidR="00000000" w:rsidRPr="00000000">
              <w:rPr>
                <w:color w:val="1f1f1f"/>
                <w:sz w:val="24"/>
                <w:szCs w:val="24"/>
                <w:rtl w:val="0"/>
              </w:rPr>
              <w:t xml:space="preserve">(0.160)</w:t>
            </w:r>
          </w:p>
        </w:tc>
      </w:tr>
      <w:tr>
        <w:trPr>
          <w:cantSplit w:val="0"/>
          <w:trHeight w:val="144" w:hRule="atLeast"/>
          <w:tblHeader w:val="0"/>
        </w:trPr>
        <w:tc>
          <w:tcPr>
            <w:tcMar>
              <w:top w:w="0.0" w:type="dxa"/>
              <w:left w:w="0.0" w:type="dxa"/>
              <w:bottom w:w="0.0" w:type="dxa"/>
              <w:right w:w="0.0" w:type="dxa"/>
            </w:tcMar>
            <w:vAlign w:val="top"/>
          </w:tcPr>
          <w:p w:rsidR="00000000" w:rsidDel="00000000" w:rsidP="00000000" w:rsidRDefault="00000000" w:rsidRPr="00000000" w14:paraId="00000293">
            <w:pPr>
              <w:widowControl w:val="0"/>
              <w:spacing w:after="0" w:line="240" w:lineRule="auto"/>
              <w:jc w:val="both"/>
              <w:rPr>
                <w:color w:val="1f1f1f"/>
                <w:sz w:val="24"/>
                <w:szCs w:val="24"/>
              </w:rPr>
            </w:pPr>
            <w:r w:rsidDel="00000000" w:rsidR="00000000" w:rsidRPr="00000000">
              <w:rPr>
                <w:color w:val="1f1f1f"/>
                <w:sz w:val="24"/>
                <w:szCs w:val="24"/>
                <w:rtl w:val="0"/>
              </w:rPr>
              <w:t xml:space="preserve">    IF/CEFET × Norte</w:t>
            </w:r>
          </w:p>
        </w:tc>
        <w:tc>
          <w:tcPr>
            <w:tcMar>
              <w:top w:w="0.0" w:type="dxa"/>
              <w:left w:w="0.0" w:type="dxa"/>
              <w:bottom w:w="0.0" w:type="dxa"/>
              <w:right w:w="0.0" w:type="dxa"/>
            </w:tcMar>
            <w:vAlign w:val="top"/>
          </w:tcPr>
          <w:p w:rsidR="00000000" w:rsidDel="00000000" w:rsidP="00000000" w:rsidRDefault="00000000" w:rsidRPr="00000000" w14:paraId="00000294">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95">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96">
            <w:pPr>
              <w:widowControl w:val="0"/>
              <w:spacing w:after="0" w:line="240" w:lineRule="auto"/>
              <w:jc w:val="center"/>
              <w:rPr>
                <w:color w:val="1f1f1f"/>
                <w:sz w:val="24"/>
                <w:szCs w:val="24"/>
              </w:rPr>
            </w:pPr>
            <w:r w:rsidDel="00000000" w:rsidR="00000000" w:rsidRPr="00000000">
              <w:rPr>
                <w:color w:val="1f1f1f"/>
                <w:sz w:val="24"/>
                <w:szCs w:val="24"/>
                <w:rtl w:val="0"/>
              </w:rPr>
              <w:t xml:space="preserve">0.970</w:t>
            </w:r>
          </w:p>
        </w:tc>
      </w:tr>
      <w:tr>
        <w:trPr>
          <w:cantSplit w:val="0"/>
          <w:trHeight w:val="144" w:hRule="atLeast"/>
          <w:tblHeader w:val="0"/>
        </w:trPr>
        <w:tc>
          <w:tcPr>
            <w:tcMar>
              <w:top w:w="0.0" w:type="dxa"/>
              <w:left w:w="0.0" w:type="dxa"/>
              <w:bottom w:w="0.0" w:type="dxa"/>
              <w:right w:w="0.0" w:type="dxa"/>
            </w:tcMar>
            <w:vAlign w:val="top"/>
          </w:tcPr>
          <w:p w:rsidR="00000000" w:rsidDel="00000000" w:rsidP="00000000" w:rsidRDefault="00000000" w:rsidRPr="00000000" w14:paraId="00000297">
            <w:pPr>
              <w:widowControl w:val="0"/>
              <w:spacing w:after="0" w:line="240" w:lineRule="auto"/>
              <w:jc w:val="both"/>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98">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99">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9A">
            <w:pPr>
              <w:widowControl w:val="0"/>
              <w:spacing w:after="0" w:line="240" w:lineRule="auto"/>
              <w:jc w:val="center"/>
              <w:rPr>
                <w:color w:val="1f1f1f"/>
                <w:sz w:val="24"/>
                <w:szCs w:val="24"/>
              </w:rPr>
            </w:pPr>
            <w:r w:rsidDel="00000000" w:rsidR="00000000" w:rsidRPr="00000000">
              <w:rPr>
                <w:color w:val="1f1f1f"/>
                <w:sz w:val="24"/>
                <w:szCs w:val="24"/>
                <w:rtl w:val="0"/>
              </w:rPr>
              <w:t xml:space="preserve">(0.201)</w:t>
            </w:r>
          </w:p>
        </w:tc>
      </w:tr>
      <w:tr>
        <w:trPr>
          <w:cantSplit w:val="0"/>
          <w:trHeight w:val="144" w:hRule="atLeast"/>
          <w:tblHeader w:val="0"/>
        </w:trPr>
        <w:tc>
          <w:tcPr>
            <w:tcMar>
              <w:top w:w="0.0" w:type="dxa"/>
              <w:left w:w="0.0" w:type="dxa"/>
              <w:bottom w:w="0.0" w:type="dxa"/>
              <w:right w:w="0.0" w:type="dxa"/>
            </w:tcMar>
            <w:vAlign w:val="top"/>
          </w:tcPr>
          <w:p w:rsidR="00000000" w:rsidDel="00000000" w:rsidP="00000000" w:rsidRDefault="00000000" w:rsidRPr="00000000" w14:paraId="0000029B">
            <w:pPr>
              <w:widowControl w:val="0"/>
              <w:spacing w:after="0" w:line="240" w:lineRule="auto"/>
              <w:jc w:val="both"/>
              <w:rPr>
                <w:color w:val="1f1f1f"/>
                <w:sz w:val="24"/>
                <w:szCs w:val="24"/>
              </w:rPr>
            </w:pPr>
            <w:r w:rsidDel="00000000" w:rsidR="00000000" w:rsidRPr="00000000">
              <w:rPr>
                <w:color w:val="1f1f1f"/>
                <w:sz w:val="24"/>
                <w:szCs w:val="24"/>
                <w:rtl w:val="0"/>
              </w:rPr>
              <w:t xml:space="preserve">    IF/CEFET × Sul</w:t>
            </w:r>
          </w:p>
        </w:tc>
        <w:tc>
          <w:tcPr>
            <w:tcMar>
              <w:top w:w="0.0" w:type="dxa"/>
              <w:left w:w="0.0" w:type="dxa"/>
              <w:bottom w:w="0.0" w:type="dxa"/>
              <w:right w:w="0.0" w:type="dxa"/>
            </w:tcMar>
            <w:vAlign w:val="top"/>
          </w:tcPr>
          <w:p w:rsidR="00000000" w:rsidDel="00000000" w:rsidP="00000000" w:rsidRDefault="00000000" w:rsidRPr="00000000" w14:paraId="0000029C">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9D">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9E">
            <w:pPr>
              <w:widowControl w:val="0"/>
              <w:spacing w:after="0" w:line="240" w:lineRule="auto"/>
              <w:jc w:val="center"/>
              <w:rPr>
                <w:color w:val="1f1f1f"/>
                <w:sz w:val="24"/>
                <w:szCs w:val="24"/>
              </w:rPr>
            </w:pPr>
            <w:r w:rsidDel="00000000" w:rsidR="00000000" w:rsidRPr="00000000">
              <w:rPr>
                <w:color w:val="1f1f1f"/>
                <w:sz w:val="24"/>
                <w:szCs w:val="24"/>
                <w:rtl w:val="0"/>
              </w:rPr>
              <w:t xml:space="preserve">0.999</w:t>
            </w:r>
          </w:p>
        </w:tc>
      </w:tr>
      <w:tr>
        <w:trPr>
          <w:cantSplit w:val="0"/>
          <w:trHeight w:val="144" w:hRule="atLeast"/>
          <w:tblHeader w:val="0"/>
        </w:trPr>
        <w:tc>
          <w:tcPr>
            <w:tcBorders>
              <w:bottom w:color="1f1f1f" w:space="0" w:sz="8" w:val="single"/>
            </w:tcBorders>
            <w:tcMar>
              <w:top w:w="0.0" w:type="dxa"/>
              <w:left w:w="0.0" w:type="dxa"/>
              <w:bottom w:w="0.0" w:type="dxa"/>
              <w:right w:w="0.0" w:type="dxa"/>
            </w:tcMar>
            <w:vAlign w:val="top"/>
          </w:tcPr>
          <w:p w:rsidR="00000000" w:rsidDel="00000000" w:rsidP="00000000" w:rsidRDefault="00000000" w:rsidRPr="00000000" w14:paraId="0000029F">
            <w:pPr>
              <w:widowControl w:val="0"/>
              <w:spacing w:after="0" w:line="240" w:lineRule="auto"/>
              <w:jc w:val="both"/>
              <w:rPr>
                <w:color w:val="1f1f1f"/>
                <w:sz w:val="24"/>
                <w:szCs w:val="24"/>
              </w:rPr>
            </w:pPr>
            <w:r w:rsidDel="00000000" w:rsidR="00000000" w:rsidRPr="00000000">
              <w:rPr>
                <w:rtl w:val="0"/>
              </w:rPr>
            </w:r>
          </w:p>
        </w:tc>
        <w:tc>
          <w:tcPr>
            <w:tcBorders>
              <w:bottom w:color="1f1f1f" w:space="0" w:sz="8" w:val="single"/>
            </w:tcBorders>
            <w:tcMar>
              <w:top w:w="0.0" w:type="dxa"/>
              <w:left w:w="0.0" w:type="dxa"/>
              <w:bottom w:w="0.0" w:type="dxa"/>
              <w:right w:w="0.0" w:type="dxa"/>
            </w:tcMar>
            <w:vAlign w:val="top"/>
          </w:tcPr>
          <w:p w:rsidR="00000000" w:rsidDel="00000000" w:rsidP="00000000" w:rsidRDefault="00000000" w:rsidRPr="00000000" w14:paraId="000002A0">
            <w:pPr>
              <w:widowControl w:val="0"/>
              <w:spacing w:after="0" w:line="240" w:lineRule="auto"/>
              <w:jc w:val="center"/>
              <w:rPr>
                <w:color w:val="1f1f1f"/>
                <w:sz w:val="24"/>
                <w:szCs w:val="24"/>
              </w:rPr>
            </w:pPr>
            <w:r w:rsidDel="00000000" w:rsidR="00000000" w:rsidRPr="00000000">
              <w:rPr>
                <w:rtl w:val="0"/>
              </w:rPr>
            </w:r>
          </w:p>
        </w:tc>
        <w:tc>
          <w:tcPr>
            <w:tcBorders>
              <w:bottom w:color="1f1f1f" w:space="0" w:sz="8" w:val="single"/>
            </w:tcBorders>
            <w:tcMar>
              <w:top w:w="0.0" w:type="dxa"/>
              <w:left w:w="0.0" w:type="dxa"/>
              <w:bottom w:w="0.0" w:type="dxa"/>
              <w:right w:w="0.0" w:type="dxa"/>
            </w:tcMar>
            <w:vAlign w:val="top"/>
          </w:tcPr>
          <w:p w:rsidR="00000000" w:rsidDel="00000000" w:rsidP="00000000" w:rsidRDefault="00000000" w:rsidRPr="00000000" w14:paraId="000002A1">
            <w:pPr>
              <w:widowControl w:val="0"/>
              <w:spacing w:after="0" w:line="240" w:lineRule="auto"/>
              <w:jc w:val="center"/>
              <w:rPr>
                <w:color w:val="1f1f1f"/>
                <w:sz w:val="24"/>
                <w:szCs w:val="24"/>
              </w:rPr>
            </w:pPr>
            <w:r w:rsidDel="00000000" w:rsidR="00000000" w:rsidRPr="00000000">
              <w:rPr>
                <w:rtl w:val="0"/>
              </w:rPr>
            </w:r>
          </w:p>
        </w:tc>
        <w:tc>
          <w:tcPr>
            <w:tcBorders>
              <w:bottom w:color="1f1f1f" w:space="0" w:sz="8" w:val="single"/>
            </w:tcBorders>
            <w:tcMar>
              <w:top w:w="0.0" w:type="dxa"/>
              <w:left w:w="0.0" w:type="dxa"/>
              <w:bottom w:w="0.0" w:type="dxa"/>
              <w:right w:w="0.0" w:type="dxa"/>
            </w:tcMar>
            <w:vAlign w:val="top"/>
          </w:tcPr>
          <w:p w:rsidR="00000000" w:rsidDel="00000000" w:rsidP="00000000" w:rsidRDefault="00000000" w:rsidRPr="00000000" w14:paraId="000002A2">
            <w:pPr>
              <w:widowControl w:val="0"/>
              <w:spacing w:after="0" w:line="240" w:lineRule="auto"/>
              <w:jc w:val="center"/>
              <w:rPr>
                <w:color w:val="1f1f1f"/>
                <w:sz w:val="24"/>
                <w:szCs w:val="24"/>
              </w:rPr>
            </w:pPr>
            <w:r w:rsidDel="00000000" w:rsidR="00000000" w:rsidRPr="00000000">
              <w:rPr>
                <w:color w:val="1f1f1f"/>
                <w:sz w:val="24"/>
                <w:szCs w:val="24"/>
                <w:rtl w:val="0"/>
              </w:rPr>
              <w:t xml:space="preserve">(0.198)</w:t>
            </w:r>
          </w:p>
        </w:tc>
      </w:tr>
      <w:tr>
        <w:trPr>
          <w:cantSplit w:val="0"/>
          <w:trHeight w:val="144" w:hRule="atLeast"/>
          <w:tblHeader w:val="0"/>
        </w:trPr>
        <w:tc>
          <w:tcPr>
            <w:tcBorders>
              <w:top w:color="1f1f1f" w:space="0" w:sz="8" w:val="single"/>
            </w:tcBorders>
            <w:tcMar>
              <w:top w:w="0.0" w:type="dxa"/>
              <w:left w:w="0.0" w:type="dxa"/>
              <w:bottom w:w="0.0" w:type="dxa"/>
              <w:right w:w="0.0" w:type="dxa"/>
            </w:tcMar>
            <w:vAlign w:val="top"/>
          </w:tcPr>
          <w:p w:rsidR="00000000" w:rsidDel="00000000" w:rsidP="00000000" w:rsidRDefault="00000000" w:rsidRPr="00000000" w14:paraId="000002A3">
            <w:pPr>
              <w:widowControl w:val="0"/>
              <w:spacing w:after="0" w:line="240" w:lineRule="auto"/>
              <w:jc w:val="both"/>
              <w:rPr>
                <w:color w:val="1f1f1f"/>
                <w:sz w:val="24"/>
                <w:szCs w:val="24"/>
              </w:rPr>
            </w:pPr>
            <w:r w:rsidDel="00000000" w:rsidR="00000000" w:rsidRPr="00000000">
              <w:rPr>
                <w:b w:val="1"/>
                <w:bCs w:val="1"/>
                <w:color w:val="1f1f1f"/>
                <w:sz w:val="24"/>
                <w:szCs w:val="24"/>
                <w:rtl w:val="0"/>
              </w:rPr>
              <w:t xml:space="preserve">Estatísticas de Ajuste</w:t>
            </w:r>
            <w:r w:rsidDel="00000000" w:rsidR="00000000" w:rsidRPr="00000000">
              <w:rPr>
                <w:rtl w:val="0"/>
              </w:rPr>
            </w:r>
          </w:p>
        </w:tc>
        <w:tc>
          <w:tcPr>
            <w:tcBorders>
              <w:top w:color="1f1f1f" w:space="0" w:sz="8" w:val="single"/>
            </w:tcBorders>
            <w:tcMar>
              <w:top w:w="0.0" w:type="dxa"/>
              <w:left w:w="0.0" w:type="dxa"/>
              <w:bottom w:w="0.0" w:type="dxa"/>
              <w:right w:w="0.0" w:type="dxa"/>
            </w:tcMar>
            <w:vAlign w:val="top"/>
          </w:tcPr>
          <w:p w:rsidR="00000000" w:rsidDel="00000000" w:rsidP="00000000" w:rsidRDefault="00000000" w:rsidRPr="00000000" w14:paraId="000002A4">
            <w:pPr>
              <w:widowControl w:val="0"/>
              <w:spacing w:after="0" w:line="240" w:lineRule="auto"/>
              <w:jc w:val="center"/>
              <w:rPr>
                <w:color w:val="1f1f1f"/>
                <w:sz w:val="24"/>
                <w:szCs w:val="24"/>
              </w:rPr>
            </w:pPr>
            <w:r w:rsidDel="00000000" w:rsidR="00000000" w:rsidRPr="00000000">
              <w:rPr>
                <w:rtl w:val="0"/>
              </w:rPr>
            </w:r>
          </w:p>
        </w:tc>
        <w:tc>
          <w:tcPr>
            <w:tcBorders>
              <w:top w:color="1f1f1f" w:space="0" w:sz="8" w:val="single"/>
            </w:tcBorders>
            <w:tcMar>
              <w:top w:w="0.0" w:type="dxa"/>
              <w:left w:w="0.0" w:type="dxa"/>
              <w:bottom w:w="0.0" w:type="dxa"/>
              <w:right w:w="0.0" w:type="dxa"/>
            </w:tcMar>
            <w:vAlign w:val="top"/>
          </w:tcPr>
          <w:p w:rsidR="00000000" w:rsidDel="00000000" w:rsidP="00000000" w:rsidRDefault="00000000" w:rsidRPr="00000000" w14:paraId="000002A5">
            <w:pPr>
              <w:widowControl w:val="0"/>
              <w:spacing w:after="0" w:line="240" w:lineRule="auto"/>
              <w:jc w:val="center"/>
              <w:rPr>
                <w:color w:val="1f1f1f"/>
                <w:sz w:val="24"/>
                <w:szCs w:val="24"/>
              </w:rPr>
            </w:pPr>
            <w:r w:rsidDel="00000000" w:rsidR="00000000" w:rsidRPr="00000000">
              <w:rPr>
                <w:rtl w:val="0"/>
              </w:rPr>
            </w:r>
          </w:p>
        </w:tc>
        <w:tc>
          <w:tcPr>
            <w:tcBorders>
              <w:top w:color="1f1f1f" w:space="0" w:sz="8" w:val="single"/>
            </w:tcBorders>
            <w:tcMar>
              <w:top w:w="0.0" w:type="dxa"/>
              <w:left w:w="0.0" w:type="dxa"/>
              <w:bottom w:w="0.0" w:type="dxa"/>
              <w:right w:w="0.0" w:type="dxa"/>
            </w:tcMar>
            <w:vAlign w:val="top"/>
          </w:tcPr>
          <w:p w:rsidR="00000000" w:rsidDel="00000000" w:rsidP="00000000" w:rsidRDefault="00000000" w:rsidRPr="00000000" w14:paraId="000002A6">
            <w:pPr>
              <w:widowControl w:val="0"/>
              <w:spacing w:after="0" w:line="240" w:lineRule="auto"/>
              <w:jc w:val="center"/>
              <w:rPr>
                <w:color w:val="1f1f1f"/>
                <w:sz w:val="24"/>
                <w:szCs w:val="24"/>
              </w:rPr>
            </w:pPr>
            <w:r w:rsidDel="00000000" w:rsidR="00000000" w:rsidRPr="00000000">
              <w:rPr>
                <w:rtl w:val="0"/>
              </w:rPr>
            </w:r>
          </w:p>
        </w:tc>
      </w:tr>
      <w:tr>
        <w:trPr>
          <w:cantSplit w:val="0"/>
          <w:trHeight w:val="144" w:hRule="atLeast"/>
          <w:tblHeader w:val="0"/>
        </w:trPr>
        <w:tc>
          <w:tcPr>
            <w:tcMar>
              <w:top w:w="0.0" w:type="dxa"/>
              <w:left w:w="0.0" w:type="dxa"/>
              <w:bottom w:w="0.0" w:type="dxa"/>
              <w:right w:w="0.0" w:type="dxa"/>
            </w:tcMar>
            <w:vAlign w:val="top"/>
          </w:tcPr>
          <w:p w:rsidR="00000000" w:rsidDel="00000000" w:rsidP="00000000" w:rsidRDefault="00000000" w:rsidRPr="00000000" w14:paraId="000002A7">
            <w:pPr>
              <w:widowControl w:val="0"/>
              <w:spacing w:after="0" w:line="240" w:lineRule="auto"/>
              <w:jc w:val="both"/>
              <w:rPr>
                <w:color w:val="1f1f1f"/>
                <w:sz w:val="24"/>
                <w:szCs w:val="24"/>
              </w:rPr>
            </w:pPr>
            <w:r w:rsidDel="00000000" w:rsidR="00000000" w:rsidRPr="00000000">
              <w:rPr>
                <w:color w:val="1f1f1f"/>
                <w:sz w:val="24"/>
                <w:szCs w:val="24"/>
                <w:rtl w:val="0"/>
              </w:rPr>
              <w:t xml:space="preserve">    Tamanho da Amostra (</w:t>
            </w:r>
            <w:r w:rsidDel="00000000" w:rsidR="00000000" w:rsidRPr="00000000">
              <w:rPr>
                <w:i w:val="1"/>
                <w:iCs w:val="1"/>
                <w:color w:val="1f1f1f"/>
                <w:sz w:val="24"/>
                <w:szCs w:val="24"/>
                <w:rtl w:val="0"/>
              </w:rPr>
              <w:t xml:space="preserve">N</w:t>
            </w:r>
            <w:r w:rsidDel="00000000" w:rsidR="00000000" w:rsidRPr="00000000">
              <w:rPr>
                <w:color w:val="1f1f1f"/>
                <w:sz w:val="24"/>
                <w:szCs w:val="24"/>
                <w:rtl w:val="0"/>
              </w:rPr>
              <w:t xml:space="preserve">)</w:t>
            </w:r>
          </w:p>
        </w:tc>
        <w:tc>
          <w:tcPr>
            <w:tcMar>
              <w:top w:w="0.0" w:type="dxa"/>
              <w:left w:w="0.0" w:type="dxa"/>
              <w:bottom w:w="0.0" w:type="dxa"/>
              <w:right w:w="0.0" w:type="dxa"/>
            </w:tcMar>
            <w:vAlign w:val="top"/>
          </w:tcPr>
          <w:p w:rsidR="00000000" w:rsidDel="00000000" w:rsidP="00000000" w:rsidRDefault="00000000" w:rsidRPr="00000000" w14:paraId="000002A8">
            <w:pPr>
              <w:widowControl w:val="0"/>
              <w:spacing w:after="0" w:line="240" w:lineRule="auto"/>
              <w:jc w:val="center"/>
              <w:rPr>
                <w:color w:val="1f1f1f"/>
                <w:sz w:val="24"/>
                <w:szCs w:val="24"/>
              </w:rPr>
            </w:pPr>
            <w:r w:rsidDel="00000000" w:rsidR="00000000" w:rsidRPr="00000000">
              <w:rPr>
                <w:color w:val="1f1f1f"/>
                <w:sz w:val="24"/>
                <w:szCs w:val="24"/>
                <w:rtl w:val="0"/>
              </w:rPr>
              <w:t xml:space="preserve">296</w:t>
            </w:r>
          </w:p>
        </w:tc>
        <w:tc>
          <w:tcPr>
            <w:tcMar>
              <w:top w:w="0.0" w:type="dxa"/>
              <w:left w:w="0.0" w:type="dxa"/>
              <w:bottom w:w="0.0" w:type="dxa"/>
              <w:right w:w="0.0" w:type="dxa"/>
            </w:tcMar>
            <w:vAlign w:val="top"/>
          </w:tcPr>
          <w:p w:rsidR="00000000" w:rsidDel="00000000" w:rsidP="00000000" w:rsidRDefault="00000000" w:rsidRPr="00000000" w14:paraId="000002A9">
            <w:pPr>
              <w:widowControl w:val="0"/>
              <w:spacing w:after="0" w:line="240" w:lineRule="auto"/>
              <w:jc w:val="center"/>
              <w:rPr>
                <w:color w:val="1f1f1f"/>
                <w:sz w:val="24"/>
                <w:szCs w:val="24"/>
              </w:rPr>
            </w:pPr>
            <w:r w:rsidDel="00000000" w:rsidR="00000000" w:rsidRPr="00000000">
              <w:rPr>
                <w:color w:val="1f1f1f"/>
                <w:sz w:val="24"/>
                <w:szCs w:val="24"/>
                <w:rtl w:val="0"/>
              </w:rPr>
              <w:t xml:space="preserve">296</w:t>
            </w:r>
          </w:p>
        </w:tc>
        <w:tc>
          <w:tcPr>
            <w:tcMar>
              <w:top w:w="0.0" w:type="dxa"/>
              <w:left w:w="0.0" w:type="dxa"/>
              <w:bottom w:w="0.0" w:type="dxa"/>
              <w:right w:w="0.0" w:type="dxa"/>
            </w:tcMar>
            <w:vAlign w:val="top"/>
          </w:tcPr>
          <w:p w:rsidR="00000000" w:rsidDel="00000000" w:rsidP="00000000" w:rsidRDefault="00000000" w:rsidRPr="00000000" w14:paraId="000002AA">
            <w:pPr>
              <w:widowControl w:val="0"/>
              <w:spacing w:after="0" w:line="240" w:lineRule="auto"/>
              <w:jc w:val="center"/>
              <w:rPr>
                <w:color w:val="1f1f1f"/>
                <w:sz w:val="24"/>
                <w:szCs w:val="24"/>
              </w:rPr>
            </w:pPr>
            <w:r w:rsidDel="00000000" w:rsidR="00000000" w:rsidRPr="00000000">
              <w:rPr>
                <w:color w:val="1f1f1f"/>
                <w:sz w:val="24"/>
                <w:szCs w:val="24"/>
                <w:rtl w:val="0"/>
              </w:rPr>
              <w:t xml:space="preserve">296</w:t>
            </w:r>
          </w:p>
        </w:tc>
      </w:tr>
      <w:tr>
        <w:trPr>
          <w:cantSplit w:val="0"/>
          <w:trHeight w:val="144" w:hRule="atLeast"/>
          <w:tblHeader w:val="0"/>
        </w:trPr>
        <w:tc>
          <w:tcPr>
            <w:tcBorders>
              <w:bottom w:color="1f1f1f" w:space="0" w:sz="12" w:val="single"/>
            </w:tcBorders>
            <w:tcMar>
              <w:top w:w="0.0" w:type="dxa"/>
              <w:left w:w="0.0" w:type="dxa"/>
              <w:bottom w:w="0.0" w:type="dxa"/>
              <w:right w:w="0.0" w:type="dxa"/>
            </w:tcMar>
            <w:vAlign w:val="top"/>
          </w:tcPr>
          <w:p w:rsidR="00000000" w:rsidDel="00000000" w:rsidP="00000000" w:rsidRDefault="00000000" w:rsidRPr="00000000" w14:paraId="000002AB">
            <w:pPr>
              <w:widowControl w:val="0"/>
              <w:spacing w:after="0" w:line="240" w:lineRule="auto"/>
              <w:jc w:val="both"/>
              <w:rPr>
                <w:color w:val="1f1f1f"/>
                <w:sz w:val="24"/>
                <w:szCs w:val="24"/>
              </w:rPr>
            </w:pPr>
            <w:r w:rsidDel="00000000" w:rsidR="00000000" w:rsidRPr="00000000">
              <w:rPr>
                <w:color w:val="1f1f1f"/>
                <w:sz w:val="24"/>
                <w:szCs w:val="24"/>
                <w:rtl w:val="0"/>
              </w:rPr>
              <w:t xml:space="preserve">    Deviance</w:t>
            </w:r>
          </w:p>
        </w:tc>
        <w:tc>
          <w:tcPr>
            <w:tcBorders>
              <w:bottom w:color="1f1f1f" w:space="0" w:sz="12" w:val="single"/>
            </w:tcBorders>
            <w:tcMar>
              <w:top w:w="0.0" w:type="dxa"/>
              <w:left w:w="0.0" w:type="dxa"/>
              <w:bottom w:w="0.0" w:type="dxa"/>
              <w:right w:w="0.0" w:type="dxa"/>
            </w:tcMar>
            <w:vAlign w:val="top"/>
          </w:tcPr>
          <w:p w:rsidR="00000000" w:rsidDel="00000000" w:rsidP="00000000" w:rsidRDefault="00000000" w:rsidRPr="00000000" w14:paraId="000002AC">
            <w:pPr>
              <w:widowControl w:val="0"/>
              <w:spacing w:after="0" w:line="240" w:lineRule="auto"/>
              <w:jc w:val="center"/>
              <w:rPr>
                <w:color w:val="1f1f1f"/>
                <w:sz w:val="24"/>
                <w:szCs w:val="24"/>
              </w:rPr>
            </w:pPr>
            <w:r w:rsidDel="00000000" w:rsidR="00000000" w:rsidRPr="00000000">
              <w:rPr>
                <w:color w:val="1f1f1f"/>
                <w:sz w:val="24"/>
                <w:szCs w:val="24"/>
                <w:rtl w:val="0"/>
              </w:rPr>
              <w:t xml:space="preserve">116.71</w:t>
            </w:r>
          </w:p>
        </w:tc>
        <w:tc>
          <w:tcPr>
            <w:tcBorders>
              <w:bottom w:color="1f1f1f" w:space="0" w:sz="12" w:val="single"/>
            </w:tcBorders>
            <w:tcMar>
              <w:top w:w="0.0" w:type="dxa"/>
              <w:left w:w="0.0" w:type="dxa"/>
              <w:bottom w:w="0.0" w:type="dxa"/>
              <w:right w:w="0.0" w:type="dxa"/>
            </w:tcMar>
            <w:vAlign w:val="top"/>
          </w:tcPr>
          <w:p w:rsidR="00000000" w:rsidDel="00000000" w:rsidP="00000000" w:rsidRDefault="00000000" w:rsidRPr="00000000" w14:paraId="000002AD">
            <w:pPr>
              <w:widowControl w:val="0"/>
              <w:spacing w:after="0" w:line="240" w:lineRule="auto"/>
              <w:jc w:val="center"/>
              <w:rPr>
                <w:color w:val="1f1f1f"/>
                <w:sz w:val="24"/>
                <w:szCs w:val="24"/>
              </w:rPr>
            </w:pPr>
            <w:r w:rsidDel="00000000" w:rsidR="00000000" w:rsidRPr="00000000">
              <w:rPr>
                <w:color w:val="1f1f1f"/>
                <w:sz w:val="24"/>
                <w:szCs w:val="24"/>
                <w:rtl w:val="0"/>
              </w:rPr>
              <w:t xml:space="preserve">114.97</w:t>
            </w:r>
          </w:p>
        </w:tc>
        <w:tc>
          <w:tcPr>
            <w:tcBorders>
              <w:bottom w:color="1f1f1f" w:space="0" w:sz="12" w:val="single"/>
            </w:tcBorders>
            <w:tcMar>
              <w:top w:w="0.0" w:type="dxa"/>
              <w:left w:w="0.0" w:type="dxa"/>
              <w:bottom w:w="0.0" w:type="dxa"/>
              <w:right w:w="0.0" w:type="dxa"/>
            </w:tcMar>
            <w:vAlign w:val="top"/>
          </w:tcPr>
          <w:p w:rsidR="00000000" w:rsidDel="00000000" w:rsidP="00000000" w:rsidRDefault="00000000" w:rsidRPr="00000000" w14:paraId="000002AE">
            <w:pPr>
              <w:widowControl w:val="0"/>
              <w:spacing w:after="0" w:line="240" w:lineRule="auto"/>
              <w:jc w:val="center"/>
              <w:rPr>
                <w:color w:val="1f1f1f"/>
                <w:sz w:val="24"/>
                <w:szCs w:val="24"/>
              </w:rPr>
            </w:pPr>
            <w:r w:rsidDel="00000000" w:rsidR="00000000" w:rsidRPr="00000000">
              <w:rPr>
                <w:color w:val="1f1f1f"/>
                <w:sz w:val="24"/>
                <w:szCs w:val="24"/>
                <w:rtl w:val="0"/>
              </w:rPr>
              <w:t xml:space="preserve">114.83</w:t>
            </w:r>
          </w:p>
        </w:tc>
      </w:tr>
      <w:tr>
        <w:trPr>
          <w:cantSplit w:val="0"/>
          <w:trHeight w:val="144" w:hRule="atLeast"/>
          <w:tblHeader w:val="0"/>
        </w:trPr>
        <w:tc>
          <w:tcPr>
            <w:gridSpan w:val="4"/>
            <w:tcBorders>
              <w:top w:color="1f1f1f" w:space="0" w:sz="12" w:val="single"/>
            </w:tcBorders>
            <w:tcMar>
              <w:top w:w="0.0" w:type="dxa"/>
              <w:left w:w="0.0" w:type="dxa"/>
              <w:bottom w:w="0.0" w:type="dxa"/>
              <w:right w:w="0.0" w:type="dxa"/>
            </w:tcMar>
            <w:vAlign w:val="top"/>
          </w:tcPr>
          <w:p w:rsidR="00000000" w:rsidDel="00000000" w:rsidP="00000000" w:rsidRDefault="00000000" w:rsidRPr="00000000" w14:paraId="000002AF">
            <w:pPr>
              <w:widowControl w:val="0"/>
              <w:spacing w:after="0" w:line="240" w:lineRule="auto"/>
              <w:jc w:val="both"/>
              <w:rPr>
                <w:color w:val="1f1f1f"/>
                <w:sz w:val="24"/>
                <w:szCs w:val="24"/>
              </w:rPr>
            </w:pPr>
            <w:r w:rsidDel="00000000" w:rsidR="00000000" w:rsidRPr="00000000">
              <w:rPr>
                <w:i w:val="1"/>
                <w:iCs w:val="1"/>
                <w:color w:val="1f1f1f"/>
                <w:sz w:val="24"/>
                <w:szCs w:val="24"/>
                <w:rtl w:val="0"/>
              </w:rPr>
              <w:t xml:space="preserve">Nota.</w:t>
            </w:r>
            <w:r w:rsidDel="00000000" w:rsidR="00000000" w:rsidRPr="00000000">
              <w:rPr>
                <w:color w:val="1f1f1f"/>
                <w:sz w:val="24"/>
                <w:szCs w:val="24"/>
                <w:rtl w:val="0"/>
              </w:rPr>
              <w:t xml:space="preserve"> Os valores representam as Razões de Taxa de Incidência (</w:t>
            </w:r>
            <w:r w:rsidDel="00000000" w:rsidR="00000000" w:rsidRPr="00000000">
              <w:rPr>
                <w:i w:val="1"/>
                <w:iCs w:val="1"/>
                <w:color w:val="1f1f1f"/>
                <w:sz w:val="24"/>
                <w:szCs w:val="24"/>
                <w:rtl w:val="0"/>
              </w:rPr>
              <w:t xml:space="preserve">Incidence Rate Ratios</w:t>
            </w:r>
            <w:r w:rsidDel="00000000" w:rsidR="00000000" w:rsidRPr="00000000">
              <w:rPr>
                <w:color w:val="1f1f1f"/>
                <w:sz w:val="24"/>
                <w:szCs w:val="24"/>
                <w:rtl w:val="0"/>
              </w:rPr>
              <w:t xml:space="preserve"> - IRR), indicando o efeito multiplicativo sobre a frequência esperada de participação em chamadas. Erros padrão das estimativas logarítmicas estão apresentados entre parênteses abaixo dos coeficientes. A variável contínua (</w:t>
            </w:r>
            <w:r w:rsidDel="00000000" w:rsidR="00000000" w:rsidRPr="00000000">
              <w:rPr>
                <w:i w:val="1"/>
                <w:iCs w:val="1"/>
                <w:color w:val="1f1f1f"/>
                <w:sz w:val="24"/>
                <w:szCs w:val="24"/>
                <w:rtl w:val="0"/>
              </w:rPr>
              <w:t xml:space="preserve">h-index</w:t>
            </w:r>
            <w:r w:rsidDel="00000000" w:rsidR="00000000" w:rsidRPr="00000000">
              <w:rPr>
                <w:color w:val="1f1f1f"/>
                <w:sz w:val="24"/>
                <w:szCs w:val="24"/>
                <w:rtl w:val="0"/>
              </w:rPr>
              <w:t xml:space="preserve">) foi centralizada na média. </w:t>
            </w:r>
          </w:p>
          <w:p w:rsidR="00000000" w:rsidDel="00000000" w:rsidP="00000000" w:rsidRDefault="00000000" w:rsidRPr="00000000" w14:paraId="000002B0">
            <w:pPr>
              <w:widowControl w:val="0"/>
              <w:spacing w:after="0" w:line="240" w:lineRule="auto"/>
              <w:jc w:val="both"/>
              <w:rPr>
                <w:color w:val="1f1f1f"/>
                <w:sz w:val="24"/>
                <w:szCs w:val="24"/>
              </w:rPr>
            </w:pPr>
            <w:r w:rsidDel="00000000" w:rsidR="00000000" w:rsidRPr="00000000">
              <w:rPr>
                <w:i w:val="1"/>
                <w:iCs w:val="1"/>
                <w:color w:val="1f1f1f"/>
                <w:sz w:val="24"/>
                <w:szCs w:val="24"/>
                <w:rtl w:val="0"/>
              </w:rPr>
              <w:t xml:space="preserve">p</w:t>
            </w:r>
            <w:r w:rsidDel="00000000" w:rsidR="00000000" w:rsidRPr="00000000">
              <w:rPr>
                <w:color w:val="1f1f1f"/>
                <w:sz w:val="24"/>
                <w:szCs w:val="24"/>
                <w:rtl w:val="0"/>
              </w:rPr>
              <w:t xml:space="preserve"> &lt; .05. ** </w:t>
            </w:r>
            <w:r w:rsidDel="00000000" w:rsidR="00000000" w:rsidRPr="00000000">
              <w:rPr>
                <w:i w:val="1"/>
                <w:iCs w:val="1"/>
                <w:color w:val="1f1f1f"/>
                <w:sz w:val="24"/>
                <w:szCs w:val="24"/>
                <w:rtl w:val="0"/>
              </w:rPr>
              <w:t xml:space="preserve">p</w:t>
            </w:r>
            <w:r w:rsidDel="00000000" w:rsidR="00000000" w:rsidRPr="00000000">
              <w:rPr>
                <w:color w:val="1f1f1f"/>
                <w:sz w:val="24"/>
                <w:szCs w:val="24"/>
                <w:rtl w:val="0"/>
              </w:rPr>
              <w:t xml:space="preserve"> &lt; .01. *** </w:t>
            </w:r>
            <w:r w:rsidDel="00000000" w:rsidR="00000000" w:rsidRPr="00000000">
              <w:rPr>
                <w:i w:val="1"/>
                <w:iCs w:val="1"/>
                <w:color w:val="1f1f1f"/>
                <w:sz w:val="24"/>
                <w:szCs w:val="24"/>
                <w:rtl w:val="0"/>
              </w:rPr>
              <w:t xml:space="preserve">p</w:t>
            </w:r>
            <w:r w:rsidDel="00000000" w:rsidR="00000000" w:rsidRPr="00000000">
              <w:rPr>
                <w:color w:val="1f1f1f"/>
                <w:sz w:val="24"/>
                <w:szCs w:val="24"/>
                <w:rtl w:val="0"/>
              </w:rPr>
              <w:t xml:space="preserve"> &lt; .001.</w:t>
            </w:r>
          </w:p>
        </w:tc>
      </w:tr>
    </w:tbl>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943115234375" w:line="248.3023738861084" w:lineRule="auto"/>
        <w:ind w:left="8.503570556640625" w:right="42.537841796875" w:firstLine="711.496429443359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que os dados dessa subamostra mostram, há uma distinção institucional consistente. Tomando as Universidades Federais como referência, os modelos da Tabela 5 indicam que a vinculação a IF/CEFET está associada positivamente à recorrência no programa. No Modelo 1, a Razão de Taxa de Incidência é 1.15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IRR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150,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 &lt;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05), correspondente a frequência esperada cerca de 15% superior. Essa associação permanece após controles regionais (Modelo 2) e interações entre instituição e região (Modelo 3).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943115234375" w:line="248.3023738861084" w:lineRule="auto"/>
        <w:ind w:left="8.503570556640625" w:right="42.537841796875" w:firstLine="711.4964294433594"/>
        <w:jc w:val="both"/>
        <w:rPr>
          <w:sz w:val="24"/>
          <w:szCs w:val="24"/>
        </w:rPr>
      </w:pPr>
      <w:r w:rsidDel="00000000" w:rsidR="00000000" w:rsidRPr="00000000">
        <w:rPr>
          <w:sz w:val="24"/>
          <w:szCs w:val="24"/>
          <w:rtl w:val="0"/>
        </w:rPr>
        <w:t xml:space="preserve">Adicionalmente, a ausência de significância estatística nos coeficientes de região geográfica e nos termos de interação do Modelo 3 (Tabela 5) revela um achado substantivo para a avaliação da política. Em termos estatísticos, a inserção das interações produz uma redução apenas marginal na métrica Deviance (que passa de 114.97 no Modelo 2 para 114.83 no Modelo 3). Essa quase estagnação confirma que o cruzamento entre o tipo de instituição e a localização no território não acrescenta poder explicativo ao modelo.</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943115234375" w:line="248.3023738861084" w:lineRule="auto"/>
        <w:ind w:left="8.503570556640625" w:right="42.537841796875" w:firstLine="711.4964294433594"/>
        <w:jc w:val="both"/>
        <w:rPr>
          <w:sz w:val="24"/>
          <w:szCs w:val="24"/>
        </w:rPr>
      </w:pPr>
      <w:r w:rsidDel="00000000" w:rsidR="00000000" w:rsidRPr="00000000">
        <w:rPr>
          <w:sz w:val="24"/>
          <w:szCs w:val="24"/>
          <w:rtl w:val="0"/>
        </w:rPr>
        <w:t xml:space="preserve">Em termos interpretativos, isso significa que a vantagem comparativa da Rede IF/CEFET na retenção de pesquisadores não é um fenômeno regionalizado. Um docente vinculado a um Instituto Federal na região Norte ou Nordeste possui a mesma "facilidade" institucional de orientar de forma recorrente alunos do ensino médio do que um colega situado no Sul ou Sudeste. Os resultados sugerem, portanto, que a arquitetura institucional da Rede Federal possui força suficiente para "vencer" a barreira geográfica, mitigando assimetrias históricas de infraestrutura que frequentemente limitam a prática científica no país.</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38427734375" w:line="248.29891204833984" w:lineRule="auto"/>
        <w:ind w:left="15.49041748046875" w:right="0.224609375" w:firstLine="704.5095825195312"/>
        <w:jc w:val="both"/>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mesmo recorte, o Índice-H perde significância estatística estrita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IRR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004,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0</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086). Em termos interpretativos, esse resultado é compatível com a hipótese de redução de variabilidade no capital científico dentro da Rede Federal, onde os pesquisadores tendem a apresentar perfis de carreira mais homogêneos. Nesse contexto de maior paridade individual, as características do desenho organizacional</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 especial a arquitetura de verticalização do ensino nos IF/CEFETs</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emergem como o fator de diferenciação central para o engajamento contínuo dos docentes no programa.</w:t>
      </w:r>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70471191406" w:line="240" w:lineRule="auto"/>
        <w:ind w:left="20.726776123046875" w:right="42.76611328125" w:firstLine="699.273223876953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Como hipótese explicativa para essa variação na recorrência, considera-se o desenho organizacional</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 normativo do local de trabalho. Se pesquisadores de Universidades Federais e Institutos </w:t>
      </w:r>
      <w:r w:rsidDel="00000000" w:rsidR="00000000" w:rsidRPr="00000000">
        <w:rPr>
          <w:sz w:val="24"/>
          <w:szCs w:val="24"/>
          <w:rtl w:val="0"/>
        </w:rPr>
        <w:t xml:space="preserve">Federais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apresentam perfis de carreira relativamente próximos, a vantagem observada para IF/CEFET pode estar associada à arquitetura institucional da verticalização do ensino, prevista na Lei nº 11.892/2008 Brasil (2009). Nesse arranjo, a coexistência de diferentes níveis formativos na mesma instituição pode reduzir custos de coordenação para o orientador.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93701171875" w:line="248.30117225646973" w:lineRule="auto"/>
        <w:ind w:left="12.65472412109375" w:right="18.98193359375" w:firstLine="707.345275878906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literatura educacional recente aponta a disseminação de propostas pedagógicas de Iniciação </w:t>
      </w:r>
      <w:r w:rsidDel="00000000" w:rsidR="00000000" w:rsidRPr="00000000">
        <w:rPr>
          <w:sz w:val="24"/>
          <w:szCs w:val="24"/>
          <w:rtl w:val="0"/>
        </w:rPr>
        <w:t xml:space="preserve">Científica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na educação básica como tendência crescente (Oliveira &amp; Vasques, 2023), mas registra barreiras logísticas e culturais quando essas propostas dependem de instâncias externas à escola. Em termos interpretativos, o arranjo dos IFs pode atenuar parte desse impasse. </w:t>
      </w:r>
      <w:r w:rsidDel="00000000" w:rsidR="00000000" w:rsidRPr="00000000">
        <w:rPr>
          <w:sz w:val="24"/>
          <w:szCs w:val="24"/>
          <w:rtl w:val="0"/>
        </w:rPr>
        <w:t xml:space="preserve">Conforme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discutido por Rôças </w:t>
      </w:r>
      <w:r w:rsidDel="00000000" w:rsidR="00000000" w:rsidRPr="00000000">
        <w:rPr>
          <w:sz w:val="24"/>
          <w:szCs w:val="24"/>
          <w:rtl w:val="0"/>
        </w:rPr>
        <w:t xml:space="preserve">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Maia Do Bomfim (2017), a verticalização nos Institutos Federais envolve mais do que a coexistência de níveis de ensino no mesmo espaço físico, incluindo formas de engajamento docente que atravessam o ensino médio técnico e o ensino superior.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4453125" w:line="248.30254554748535" w:lineRule="auto"/>
        <w:ind w:left="12.65472412109375" w:right="18.98193359375" w:firstLine="707.345275878906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Como hipótese explicativa adicional, a orientação de estudantes do ensino médio em universidades tradicionais pode envolver custos de transação mais elevados (convênios externos, deslocamento e adaptação de rotinas laboratoriais). Em contraste, a verticalização dos Institutos Federais, </w:t>
      </w:r>
      <w:r w:rsidDel="00000000" w:rsidR="00000000" w:rsidRPr="00000000">
        <w:rPr>
          <w:sz w:val="24"/>
          <w:szCs w:val="24"/>
          <w:rtl w:val="0"/>
        </w:rPr>
        <w:t xml:space="preserve">associada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à formação humana integral (Zitzke &amp; Freitas, 2024), pode favorecer maior integração entre estudante e ambiente de pesquisa, com potencial redução de barreiras burocráticas e pedagógicas para participação recorrente no PIBIC-EM. </w:t>
      </w:r>
    </w:p>
    <w:p w:rsidR="00000000" w:rsidDel="00000000" w:rsidP="00000000" w:rsidRDefault="00000000" w:rsidRPr="00000000" w14:paraId="000002BB">
      <w:pPr>
        <w:pStyle w:val="Heading1"/>
        <w:widowControl w:val="0"/>
        <w:spacing w:before="627.8515625" w:line="240" w:lineRule="auto"/>
        <w:ind w:left="17.40386962890625" w:firstLine="0"/>
        <w:rPr>
          <w:sz w:val="24"/>
          <w:szCs w:val="24"/>
          <w:vertAlign w:val="baseline"/>
        </w:rPr>
      </w:pPr>
      <w:bookmarkStart w:colFirst="0" w:colLast="0" w:name="_bkg2mejduek7" w:id="12"/>
      <w:bookmarkEnd w:id="12"/>
      <w:r w:rsidDel="00000000" w:rsidR="00000000" w:rsidRPr="00000000">
        <w:rPr>
          <w:sz w:val="24"/>
          <w:szCs w:val="24"/>
          <w:vertAlign w:val="baseline"/>
          <w:rtl w:val="0"/>
        </w:rPr>
        <w:t xml:space="preserve">4. Conclusões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161865234375" w:line="248.3027458190918" w:lineRule="auto"/>
        <w:ind w:left="14.618377685546875" w:right="0.218505859375" w:firstLine="705.381622314453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literatura internacional tem debatido ativamente modelos de intervenção para mitigar o leaky pipeline de talentos em áreas STEM, frequentemente destacando a importância de parcerias e da aproximação precoce entre cientistas e estudantes da educação básica. Nesse cenário global, a experiência brasileira oferece uma contribuição ímpar: a institucionalização, em escala nacional, da Iniciação Científica Júnior, uma modalidade inspirada no bem-sucedido modelo de formação pela pesquisa já consolidado no nível de graduação. Contudo, ao apresentar as potencialidades do PIBIC-EM, este estudo partiu da premissa de que a formulação da política, por si só, não garante sua sustentabilidade. Em termos analíticos, o sucesso do programa parece estar fortemente associado à adesão e à permanência dos pesquisadores-orientadores. Assim, buscou-se compreender quais perfis acadêmicos e arranjos organizacionais apresentam evidências de maior capacidade de retenção de pesquisadores ao programa de formação científica voltado aos jovens do Ensino Médio.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9400634765625" w:line="248.30188751220703" w:lineRule="auto"/>
        <w:ind w:left="12.65472412109375" w:right="42.762451171875" w:firstLine="707.345275878906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que os dados mostram, a participação no programa permanece concentrada nas regiões Sul e Sudeste e no volume absoluto das Universidades Federais. Contudo, ao deslocar o foco para a taxa de recorrência, os modelos sugerem que geografia e prestígio institucional global não aparecem como preditores centrais. Em termos interpretativos, a concentração regional pode ser lida como barreira de entrada. Como hipótese explicativa para a continuidade após a entrada, os resultados são mais compatíveis com o papel de capital científico individual e arquitetura administrativa da instituição de vínculo.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947692871094" w:line="248.31679344177246" w:lineRule="auto"/>
        <w:ind w:left="14.618377685546875" w:right="42.763671875" w:firstLine="705.381622314453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recorte federal, os dados indicam vantagem de recorrência para pesquisadores vinculados a IF/CEFET em comparação com Universidades Federais. Em termos interpretativos, esse resultado é compatível com a ideia de que o arranjo institucional pode mediar, ao menos parcialmente, a exigência de alto capital científico individual para permanência contínua. Como hipótese explicativa, a verticalização do ensino pode reduzir custos de coordenação entre educação básica e pesquisa, favorecendo engajamento docente mais estável.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9248046875" w:line="248.30077171325684" w:lineRule="auto"/>
        <w:ind w:left="12.65472412109375" w:right="12.437744140625" w:firstLine="707.345275878906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Tais achados possuem implicações para o desenho de políticas públicas de CT&amp;I. Em termos </w:t>
      </w:r>
      <w:r w:rsidDel="00000000" w:rsidR="00000000" w:rsidRPr="00000000">
        <w:rPr>
          <w:sz w:val="24"/>
          <w:szCs w:val="24"/>
          <w:rtl w:val="0"/>
        </w:rPr>
        <w:t xml:space="preserve">interpretativos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os resultados sugerem que a transposição de modelos de iniciação científica para o ensino médio requer atenção contínua à infraestrutura organizacional que os abriga. Nesse cenário, a Rede Federal de Educação Profissional, Científica e Tecnológica aparece como ator relevante na interiorização e na democratização do acesso à ciência. No que os dados mostram, há </w:t>
      </w:r>
      <w:r w:rsidDel="00000000" w:rsidR="00000000" w:rsidRPr="00000000">
        <w:rPr>
          <w:sz w:val="24"/>
          <w:szCs w:val="24"/>
          <w:rtl w:val="0"/>
        </w:rPr>
        <w:t xml:space="preserve">associação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positiva entre vinculação aos IFs e recorrência de pesquisadores no programa; como hipótese de política, valorizar arranjos de verticalização entre escola e universidade pode contribuir para ampliar o incentivo de jovens estudantes a carreiras científicas.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4453125" w:line="248.302001953125" w:lineRule="auto"/>
        <w:ind w:left="6.97479248046875" w:right="42.762451171875" w:firstLine="713.025207519531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Por fim, reconhecem-se os limites deste recorte analítico e sinalizam-se rotas para uma agenda de pesquisa futura. Metodologicamente, a amostra em estudo contempla exclusivamente pesquisadores cujos projetos foram aprovados e homologados pelo CNPq, deixando de fora proponentes que não obtiveram êxito em suas submissões. Por esse motivo, o modelo não objetiva medir a probabilidade de aprovação inicial, mas sim aferir a taxa de recorrência e os fatores que induzem a permanência daqueles que já superaram a barreira de entrada do programa e continuam a submeter propostas voltadas aos jovens estudantes.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4453125" w:line="248.302001953125" w:lineRule="auto"/>
        <w:ind w:left="6.97479248046875" w:right="42.762451171875" w:firstLine="713.0252075195312"/>
        <w:jc w:val="both"/>
        <w:rPr>
          <w:sz w:val="24"/>
          <w:szCs w:val="24"/>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4453125" w:line="248.302001953125" w:lineRule="auto"/>
        <w:ind w:left="6.97479248046875" w:right="42.762451171875" w:firstLine="713.0252075195312"/>
        <w:jc w:val="both"/>
        <w:rPr>
          <w:sz w:val="24"/>
          <w:szCs w:val="24"/>
        </w:rPr>
      </w:pP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4453125" w:line="248.302001953125" w:lineRule="auto"/>
        <w:ind w:left="6.97479248046875" w:right="42.762451171875" w:firstLine="713.0252075195312"/>
        <w:jc w:val="both"/>
        <w:rPr>
          <w:sz w:val="24"/>
          <w:szCs w:val="24"/>
        </w:rPr>
      </w:pP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4453125" w:line="248.302001953125" w:lineRule="auto"/>
        <w:ind w:left="6.97479248046875" w:right="42.762451171875" w:firstLine="713.0252075195312"/>
        <w:jc w:val="both"/>
        <w:rPr>
          <w:sz w:val="24"/>
          <w:szCs w:val="24"/>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4453125" w:line="248.302001953125" w:lineRule="auto"/>
        <w:ind w:left="6.97479248046875" w:right="42.762451171875" w:firstLine="713.0252075195312"/>
        <w:jc w:val="both"/>
        <w:rPr>
          <w:sz w:val="24"/>
          <w:szCs w:val="24"/>
        </w:rPr>
      </w:pPr>
      <w:r w:rsidDel="00000000" w:rsidR="00000000" w:rsidRPr="00000000">
        <w:rPr>
          <w:rtl w:val="0"/>
        </w:rPr>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4453125" w:line="248.302001953125" w:lineRule="auto"/>
        <w:ind w:left="6.97479248046875" w:right="42.762451171875" w:firstLine="713.0252075195312"/>
        <w:jc w:val="both"/>
        <w:rPr>
          <w:sz w:val="24"/>
          <w:szCs w:val="24"/>
        </w:rPr>
      </w:pP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4453125" w:line="248.302001953125" w:lineRule="auto"/>
        <w:ind w:left="6.97479248046875" w:right="42.762451171875" w:firstLine="713.0252075195312"/>
        <w:jc w:val="both"/>
        <w:rPr>
          <w:sz w:val="24"/>
          <w:szCs w:val="24"/>
        </w:rPr>
      </w:pP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4453125" w:line="248.302001953125" w:lineRule="auto"/>
        <w:ind w:left="6.97479248046875" w:right="42.762451171875" w:firstLine="713.0252075195312"/>
        <w:jc w:val="both"/>
        <w:rPr>
          <w:sz w:val="24"/>
          <w:szCs w:val="24"/>
        </w:rPr>
      </w:pP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4453125" w:line="248.302001953125" w:lineRule="auto"/>
        <w:ind w:left="6.97479248046875" w:right="42.762451171875" w:firstLine="713.0252075195312"/>
        <w:jc w:val="both"/>
        <w:rPr>
          <w:sz w:val="24"/>
          <w:szCs w:val="24"/>
        </w:rPr>
      </w:pPr>
      <w:r w:rsidDel="00000000" w:rsidR="00000000" w:rsidRPr="00000000">
        <w:rPr>
          <w:rtl w:val="0"/>
        </w:rPr>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4453125" w:line="248.302001953125" w:lineRule="auto"/>
        <w:ind w:left="6.97479248046875" w:right="42.762451171875" w:firstLine="713.0252075195312"/>
        <w:jc w:val="both"/>
        <w:rPr>
          <w:sz w:val="24"/>
          <w:szCs w:val="24"/>
        </w:rPr>
      </w:pP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4453125" w:line="248.302001953125" w:lineRule="auto"/>
        <w:ind w:left="6.97479248046875" w:right="42.762451171875" w:firstLine="713.0252075195312"/>
        <w:jc w:val="both"/>
        <w:rPr>
          <w:sz w:val="24"/>
          <w:szCs w:val="24"/>
        </w:rPr>
      </w:pPr>
      <w:r w:rsidDel="00000000" w:rsidR="00000000" w:rsidRPr="00000000">
        <w:rPr>
          <w:rtl w:val="0"/>
        </w:rPr>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4453125" w:line="248.302001953125" w:lineRule="auto"/>
        <w:ind w:left="0" w:right="42.762451171875" w:firstLine="0"/>
        <w:jc w:val="both"/>
        <w:rPr>
          <w:sz w:val="24"/>
          <w:szCs w:val="24"/>
        </w:rPr>
      </w:pP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4453125" w:line="248.302001953125" w:lineRule="auto"/>
        <w:ind w:left="0" w:right="42.762451171875" w:firstLine="0"/>
        <w:jc w:val="both"/>
        <w:rPr>
          <w:sz w:val="24"/>
          <w:szCs w:val="24"/>
        </w:rPr>
      </w:pP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4453125" w:line="248.302001953125" w:lineRule="auto"/>
        <w:ind w:left="6.97479248046875" w:right="42.762451171875" w:firstLine="713.0252075195312"/>
        <w:jc w:val="both"/>
        <w:rPr>
          <w:sz w:val="24"/>
          <w:szCs w:val="24"/>
        </w:rPr>
      </w:pPr>
      <w:r w:rsidDel="00000000" w:rsidR="00000000" w:rsidRPr="00000000">
        <w:rPr>
          <w:rtl w:val="0"/>
        </w:rPr>
      </w:r>
    </w:p>
    <w:p w:rsidR="00000000" w:rsidDel="00000000" w:rsidP="00000000" w:rsidRDefault="00000000" w:rsidRPr="00000000" w14:paraId="000002CF">
      <w:pPr>
        <w:pStyle w:val="Heading1"/>
        <w:rPr>
          <w:sz w:val="24"/>
          <w:szCs w:val="24"/>
          <w:vertAlign w:val="baseline"/>
        </w:rPr>
      </w:pPr>
      <w:bookmarkStart w:colFirst="0" w:colLast="0" w:name="_gdaww57w9mgv" w:id="13"/>
      <w:bookmarkEnd w:id="13"/>
      <w:r w:rsidDel="00000000" w:rsidR="00000000" w:rsidRPr="00000000">
        <w:rPr>
          <w:sz w:val="24"/>
          <w:szCs w:val="24"/>
          <w:rtl w:val="0"/>
        </w:rPr>
        <w:t xml:space="preserve">5. </w:t>
      </w:r>
      <w:r w:rsidDel="00000000" w:rsidR="00000000" w:rsidRPr="00000000">
        <w:rPr>
          <w:sz w:val="24"/>
          <w:szCs w:val="24"/>
          <w:vertAlign w:val="baseline"/>
          <w:rtl w:val="0"/>
        </w:rPr>
        <w:t xml:space="preserve">Refer</w:t>
      </w:r>
      <w:r w:rsidDel="00000000" w:rsidR="00000000" w:rsidRPr="00000000">
        <w:rPr>
          <w:sz w:val="24"/>
          <w:szCs w:val="24"/>
          <w:rtl w:val="0"/>
        </w:rPr>
        <w:t xml:space="preserve">ências</w:t>
      </w:r>
      <w:r w:rsidDel="00000000" w:rsidR="00000000" w:rsidRPr="00000000">
        <w:rPr>
          <w:sz w:val="24"/>
          <w:szCs w:val="24"/>
          <w:vertAlign w:val="baseline"/>
          <w:rtl w:val="0"/>
        </w:rPr>
        <w:t xml:space="preserve">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8831787109375" w:line="248.29922676086426" w:lineRule="auto"/>
        <w:ind w:left="728.2968139648438" w:right="12.4365234375" w:hanging="712.8057861328125"/>
        <w:jc w:val="both"/>
        <w:rPr/>
      </w:pPr>
      <w:r w:rsidDel="00000000" w:rsidR="00000000" w:rsidRPr="00000000">
        <w:rPr>
          <w:rtl w:val="0"/>
        </w:rPr>
        <w:t xml:space="preserve">Almeida, V. H. D., &amp; Longhin, S. R. (2024). A iniciação científica no ensino médio: Reflexões e práticas nas escolas públicas brasileiras. </w:t>
      </w:r>
      <w:r w:rsidDel="00000000" w:rsidR="00000000" w:rsidRPr="00000000">
        <w:rPr>
          <w:i w:val="1"/>
          <w:iCs w:val="1"/>
          <w:rtl w:val="0"/>
        </w:rPr>
        <w:t xml:space="preserve">Contribuciones A Las Ciencias Sociales</w:t>
      </w:r>
      <w:r w:rsidDel="00000000" w:rsidR="00000000" w:rsidRPr="00000000">
        <w:rPr>
          <w:rtl w:val="0"/>
        </w:rPr>
        <w:t xml:space="preserve">, </w:t>
      </w:r>
      <w:r w:rsidDel="00000000" w:rsidR="00000000" w:rsidRPr="00000000">
        <w:rPr>
          <w:i w:val="1"/>
          <w:iCs w:val="1"/>
          <w:rtl w:val="0"/>
        </w:rPr>
        <w:t xml:space="preserve">17</w:t>
      </w:r>
      <w:r w:rsidDel="00000000" w:rsidR="00000000" w:rsidRPr="00000000">
        <w:rPr>
          <w:rtl w:val="0"/>
        </w:rPr>
        <w:t xml:space="preserve">(9), e10422. </w:t>
      </w:r>
      <w:hyperlink r:id="rId8">
        <w:r w:rsidDel="00000000" w:rsidR="00000000" w:rsidRPr="00000000">
          <w:rPr>
            <w:color w:val="1155cc"/>
            <w:u w:val="single"/>
            <w:rtl w:val="0"/>
          </w:rPr>
          <w:t xml:space="preserve">https://doi.org/10.55905/revconv.17n.9-115</w:t>
        </w:r>
      </w:hyperlink>
      <w:r w:rsidDel="00000000" w:rsidR="00000000" w:rsidRPr="00000000">
        <w:rPr>
          <w:rtl w:val="0"/>
        </w:rPr>
        <w:t xml:space="preserve">  </w:t>
      </w:r>
    </w:p>
    <w:p w:rsidR="00000000" w:rsidDel="00000000" w:rsidP="00000000" w:rsidRDefault="00000000" w:rsidRPr="00000000" w14:paraId="000002D1">
      <w:pPr>
        <w:widowControl w:val="0"/>
        <w:spacing w:before="8.8165283203125" w:line="248.30520629882812" w:lineRule="auto"/>
        <w:ind w:left="730.0291442871094" w:right="0.313720703125" w:hanging="719.1273498535156"/>
        <w:jc w:val="both"/>
        <w:rPr/>
      </w:pPr>
      <w:r w:rsidDel="00000000" w:rsidR="00000000" w:rsidRPr="00000000">
        <w:rPr>
          <w:rtl w:val="0"/>
        </w:rPr>
        <w:t xml:space="preserve">Al-thani, N. J., Siby, N., Saad, A., Bhadra, J., Qahtani, N., Sellami, A., &amp; Ahmad, Z. (2025). Meta analysis of chemistry-based interdisciplinary informal research experience program for high school students. </w:t>
      </w:r>
      <w:r w:rsidDel="00000000" w:rsidR="00000000" w:rsidRPr="00000000">
        <w:rPr>
          <w:i w:val="1"/>
          <w:iCs w:val="1"/>
          <w:rtl w:val="0"/>
        </w:rPr>
        <w:t xml:space="preserve">Evaluation and Program Planning</w:t>
      </w:r>
      <w:r w:rsidDel="00000000" w:rsidR="00000000" w:rsidRPr="00000000">
        <w:rPr>
          <w:rtl w:val="0"/>
        </w:rPr>
        <w:t xml:space="preserve">, </w:t>
      </w:r>
      <w:r w:rsidDel="00000000" w:rsidR="00000000" w:rsidRPr="00000000">
        <w:rPr>
          <w:i w:val="1"/>
          <w:iCs w:val="1"/>
          <w:rtl w:val="0"/>
        </w:rPr>
        <w:t xml:space="preserve">108</w:t>
      </w:r>
      <w:r w:rsidDel="00000000" w:rsidR="00000000" w:rsidRPr="00000000">
        <w:rPr>
          <w:rtl w:val="0"/>
        </w:rPr>
        <w:t xml:space="preserve">, 102517. </w:t>
      </w:r>
      <w:hyperlink r:id="rId9">
        <w:r w:rsidDel="00000000" w:rsidR="00000000" w:rsidRPr="00000000">
          <w:rPr>
            <w:color w:val="1155cc"/>
            <w:u w:val="single"/>
            <w:rtl w:val="0"/>
          </w:rPr>
          <w:t xml:space="preserve">https://doi.org/10.1016/j.Evalprogplan.2024.102517</w:t>
        </w:r>
      </w:hyperlink>
      <w:r w:rsidDel="00000000" w:rsidR="00000000" w:rsidRPr="00000000">
        <w:rPr>
          <w:rtl w:val="0"/>
        </w:rPr>
        <w:t xml:space="preserve">   </w:t>
      </w:r>
    </w:p>
    <w:p w:rsidR="00000000" w:rsidDel="00000000" w:rsidP="00000000" w:rsidRDefault="00000000" w:rsidRPr="00000000" w14:paraId="000002D2">
      <w:pPr>
        <w:widowControl w:val="0"/>
        <w:spacing w:before="8.8128662109375" w:line="248.29922676086426" w:lineRule="auto"/>
        <w:ind w:left="730.2433776855469" w:right="41.13525390625" w:hanging="718.4687805175781"/>
        <w:jc w:val="both"/>
        <w:rPr/>
      </w:pPr>
      <w:r w:rsidDel="00000000" w:rsidR="00000000" w:rsidRPr="00000000">
        <w:rPr>
          <w:rtl w:val="0"/>
        </w:rPr>
        <w:t xml:space="preserve">Bessa, E. G. (2015). </w:t>
      </w:r>
      <w:r w:rsidDel="00000000" w:rsidR="00000000" w:rsidRPr="00000000">
        <w:rPr>
          <w:i w:val="1"/>
          <w:iCs w:val="1"/>
          <w:rtl w:val="0"/>
        </w:rPr>
        <w:t xml:space="preserve">Desenvolvimento de um projeto científico prático em biotecnologia para alunos do ensino médio</w:t>
      </w:r>
      <w:r w:rsidDel="00000000" w:rsidR="00000000" w:rsidRPr="00000000">
        <w:rPr>
          <w:rtl w:val="0"/>
        </w:rPr>
        <w:t xml:space="preserve"> [Dissertação de mestrado, Universidade Federal do Rio de Janeiro]. </w:t>
      </w:r>
    </w:p>
    <w:p w:rsidR="00000000" w:rsidDel="00000000" w:rsidP="00000000" w:rsidRDefault="00000000" w:rsidRPr="00000000" w14:paraId="000002D3">
      <w:pPr>
        <w:widowControl w:val="0"/>
        <w:spacing w:before="8.836669921875" w:line="248.29922676086426" w:lineRule="auto"/>
        <w:ind w:left="720" w:right="42.763671875"/>
        <w:rPr/>
      </w:pPr>
      <w:r w:rsidDel="00000000" w:rsidR="00000000" w:rsidRPr="00000000">
        <w:rPr>
          <w:rtl w:val="0"/>
        </w:rPr>
        <w:t xml:space="preserve">Bessa, E. G., &amp; Lima, I. V. D. L. (2017). A história e os objetivos da iniciação científica no ensino médio: Uma análise a partir dos programas do estado do Rio de Janeiro. </w:t>
      </w:r>
      <w:r w:rsidDel="00000000" w:rsidR="00000000" w:rsidRPr="00000000">
        <w:rPr>
          <w:i w:val="1"/>
          <w:iCs w:val="1"/>
          <w:rtl w:val="0"/>
        </w:rPr>
        <w:t xml:space="preserve">Revista Sobretudo, 8</w:t>
      </w:r>
      <w:r w:rsidDel="00000000" w:rsidR="00000000" w:rsidRPr="00000000">
        <w:rPr>
          <w:rtl w:val="0"/>
        </w:rPr>
        <w:t xml:space="preserve">(2), 18–42.</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https://ojs.sites.ufsc.br/index.php/sobretudo/article/view/2371</w:t>
        </w:r>
      </w:hyperlink>
      <w:r w:rsidDel="00000000" w:rsidR="00000000" w:rsidRPr="00000000">
        <w:rPr>
          <w:rtl w:val="0"/>
        </w:rPr>
      </w:r>
    </w:p>
    <w:p w:rsidR="00000000" w:rsidDel="00000000" w:rsidP="00000000" w:rsidRDefault="00000000" w:rsidRPr="00000000" w14:paraId="000002D4">
      <w:pPr>
        <w:widowControl w:val="0"/>
        <w:spacing w:before="8.8165283203125" w:line="248.29891204833984" w:lineRule="auto"/>
        <w:ind w:left="732.4290466308594" w:right="12.43896484375" w:hanging="720.6544494628906"/>
        <w:jc w:val="both"/>
        <w:rPr/>
      </w:pPr>
      <w:r w:rsidDel="00000000" w:rsidR="00000000" w:rsidRPr="00000000">
        <w:rPr>
          <w:rtl w:val="0"/>
        </w:rPr>
        <w:t xml:space="preserve">Bianchetti, L., Oliveira, A. D., Silva, E. L. D., &amp; Turnes, L. (2012). A iniciação à pesquisa no Brasil: políticas de formação de jovens pesquisadores. </w:t>
      </w:r>
      <w:r w:rsidDel="00000000" w:rsidR="00000000" w:rsidRPr="00000000">
        <w:rPr>
          <w:i w:val="1"/>
          <w:iCs w:val="1"/>
          <w:rtl w:val="0"/>
        </w:rPr>
        <w:t xml:space="preserve">Educação (UFSM)</w:t>
      </w:r>
      <w:r w:rsidDel="00000000" w:rsidR="00000000" w:rsidRPr="00000000">
        <w:rPr>
          <w:rtl w:val="0"/>
        </w:rPr>
        <w:t xml:space="preserve">, </w:t>
      </w:r>
      <w:r w:rsidDel="00000000" w:rsidR="00000000" w:rsidRPr="00000000">
        <w:rPr>
          <w:i w:val="1"/>
          <w:iCs w:val="1"/>
          <w:rtl w:val="0"/>
        </w:rPr>
        <w:t xml:space="preserve">37</w:t>
      </w:r>
      <w:r w:rsidDel="00000000" w:rsidR="00000000" w:rsidRPr="00000000">
        <w:rPr>
          <w:rtl w:val="0"/>
        </w:rPr>
        <w:t xml:space="preserve">(3), 569–584. </w:t>
      </w:r>
      <w:hyperlink r:id="rId12">
        <w:r w:rsidDel="00000000" w:rsidR="00000000" w:rsidRPr="00000000">
          <w:rPr>
            <w:color w:val="1155cc"/>
            <w:u w:val="single"/>
            <w:rtl w:val="0"/>
          </w:rPr>
          <w:t xml:space="preserve">https://doi.org/10.5902/198464445012</w:t>
        </w:r>
      </w:hyperlink>
      <w:r w:rsidDel="00000000" w:rsidR="00000000" w:rsidRPr="00000000">
        <w:rPr>
          <w:rtl w:val="0"/>
        </w:rPr>
        <w:t xml:space="preserve">  </w:t>
      </w:r>
    </w:p>
    <w:p w:rsidR="00000000" w:rsidDel="00000000" w:rsidP="00000000" w:rsidRDefault="00000000" w:rsidRPr="00000000" w14:paraId="000002D5">
      <w:pPr>
        <w:widowControl w:val="0"/>
        <w:spacing w:before="8.83636474609375" w:line="248.29891204833984" w:lineRule="auto"/>
        <w:ind w:left="730.9017944335938" w:right="0.22216796875" w:hanging="714.7636413574219"/>
        <w:jc w:val="both"/>
        <w:rPr/>
      </w:pPr>
      <w:r w:rsidDel="00000000" w:rsidR="00000000" w:rsidRPr="00000000">
        <w:rPr>
          <w:rtl w:val="0"/>
        </w:rPr>
        <w:t xml:space="preserve">Committee on Effective Mentoring in STEMM, Board on Higher Education and Workforce, Policy and Global Affairs, &amp; National Academies of Sciences, Engineering, and Medicine. (2019, December). </w:t>
      </w:r>
      <w:r w:rsidDel="00000000" w:rsidR="00000000" w:rsidRPr="00000000">
        <w:rPr>
          <w:i w:val="1"/>
          <w:iCs w:val="1"/>
          <w:rtl w:val="0"/>
        </w:rPr>
        <w:t xml:space="preserve">The Science of Effective Mentorship in STEMM </w:t>
      </w:r>
      <w:r w:rsidDel="00000000" w:rsidR="00000000" w:rsidRPr="00000000">
        <w:rPr>
          <w:rtl w:val="0"/>
        </w:rPr>
        <w:t xml:space="preserve">(A. Byars-Winston &amp; M. L. Dahlberg, Eds.) [Pages: 25568]. National Academies Press. </w:t>
      </w:r>
      <w:hyperlink r:id="rId13">
        <w:r w:rsidDel="00000000" w:rsidR="00000000" w:rsidRPr="00000000">
          <w:rPr>
            <w:color w:val="1155cc"/>
            <w:u w:val="single"/>
            <w:rtl w:val="0"/>
          </w:rPr>
          <w:t xml:space="preserve">https://doi.org/10.17226/25568</w:t>
        </w:r>
      </w:hyperlink>
      <w:r w:rsidDel="00000000" w:rsidR="00000000" w:rsidRPr="00000000">
        <w:rPr>
          <w:rtl w:val="0"/>
        </w:rPr>
        <w:t xml:space="preserve">  </w:t>
      </w:r>
    </w:p>
    <w:p w:rsidR="00000000" w:rsidDel="00000000" w:rsidP="00000000" w:rsidRDefault="00000000" w:rsidRPr="00000000" w14:paraId="000002D6">
      <w:pPr>
        <w:widowControl w:val="0"/>
        <w:spacing w:before="8.817138671875" w:line="248.3027458190918" w:lineRule="auto"/>
        <w:ind w:left="728.5018920898438" w:right="0.216064453125" w:hanging="712.3637390136719"/>
        <w:jc w:val="both"/>
        <w:rPr/>
      </w:pPr>
      <w:r w:rsidDel="00000000" w:rsidR="00000000" w:rsidRPr="00000000">
        <w:rPr>
          <w:rtl w:val="0"/>
        </w:rPr>
        <w:t xml:space="preserve">Conselho Nacional de Desenvolvimento Científico e Tecnológico (CNPq). (2024). </w:t>
      </w:r>
      <w:r w:rsidDel="00000000" w:rsidR="00000000" w:rsidRPr="00000000">
        <w:rPr>
          <w:i w:val="1"/>
          <w:iCs w:val="1"/>
          <w:rtl w:val="0"/>
        </w:rPr>
        <w:t xml:space="preserve">Pibic completa 36 anos consolidando-se como um dos principais programas de incentivo à ciência no brasil</w:t>
      </w:r>
      <w:r w:rsidDel="00000000" w:rsidR="00000000" w:rsidRPr="00000000">
        <w:rPr>
          <w:rtl w:val="0"/>
        </w:rPr>
        <w:t xml:space="preserve">. Retrieved February 6, 2026, from </w:t>
      </w:r>
      <w:hyperlink r:id="rId14">
        <w:r w:rsidDel="00000000" w:rsidR="00000000" w:rsidRPr="00000000">
          <w:rPr>
            <w:color w:val="1155cc"/>
            <w:u w:val="single"/>
            <w:rtl w:val="0"/>
          </w:rPr>
          <w:t xml:space="preserve">https://www.gov.br/cnpq/pt-br/assuntos/noticias/pibiccompleta-36-anos-consolidando-se-como-um-dos-principais-programas-de-incentivo-aciencia-no-brasil</w:t>
        </w:r>
      </w:hyperlink>
      <w:r w:rsidDel="00000000" w:rsidR="00000000" w:rsidRPr="00000000">
        <w:rPr>
          <w:rtl w:val="0"/>
        </w:rPr>
        <w:t xml:space="preserve">    </w:t>
      </w:r>
    </w:p>
    <w:p w:rsidR="00000000" w:rsidDel="00000000" w:rsidP="00000000" w:rsidRDefault="00000000" w:rsidRPr="00000000" w14:paraId="000002D7">
      <w:pPr>
        <w:widowControl w:val="0"/>
        <w:spacing w:before="8.8134765625" w:line="248.3045196533203" w:lineRule="auto"/>
        <w:ind w:left="725.4470825195312" w:right="28.138427734375" w:hanging="713.8906860351562"/>
        <w:jc w:val="both"/>
        <w:rPr/>
      </w:pPr>
      <w:r w:rsidDel="00000000" w:rsidR="00000000" w:rsidRPr="00000000">
        <w:rPr>
          <w:rtl w:val="0"/>
        </w:rPr>
        <w:t xml:space="preserve">Delgado, D. N., Pérez, P. C., Tinajero, J. V., Boland, T., &amp; Morera, O. F. (2025). Latinx High School Students’ Reflections About a University Summer Research Program Support the Use of Asset Bundles in Designing Programs for Broadening STEM Pipelines. </w:t>
      </w:r>
      <w:r w:rsidDel="00000000" w:rsidR="00000000" w:rsidRPr="00000000">
        <w:rPr>
          <w:i w:val="1"/>
          <w:iCs w:val="1"/>
          <w:rtl w:val="0"/>
        </w:rPr>
        <w:t xml:space="preserve">Journal of Latinos and Education</w:t>
      </w:r>
      <w:r w:rsidDel="00000000" w:rsidR="00000000" w:rsidRPr="00000000">
        <w:rPr>
          <w:rtl w:val="0"/>
        </w:rPr>
        <w:t xml:space="preserve">, </w:t>
      </w:r>
      <w:r w:rsidDel="00000000" w:rsidR="00000000" w:rsidRPr="00000000">
        <w:rPr>
          <w:i w:val="1"/>
          <w:iCs w:val="1"/>
          <w:rtl w:val="0"/>
        </w:rPr>
        <w:t xml:space="preserve">24</w:t>
      </w:r>
      <w:r w:rsidDel="00000000" w:rsidR="00000000" w:rsidRPr="00000000">
        <w:rPr>
          <w:rtl w:val="0"/>
        </w:rPr>
        <w:t xml:space="preserve">(3), 688–700. </w:t>
      </w:r>
      <w:hyperlink r:id="rId15">
        <w:r w:rsidDel="00000000" w:rsidR="00000000" w:rsidRPr="00000000">
          <w:rPr>
            <w:color w:val="1155cc"/>
            <w:u w:val="single"/>
            <w:rtl w:val="0"/>
          </w:rPr>
          <w:t xml:space="preserve">https://doi.org/10.1080/15348431.2024.2413530</w:t>
        </w:r>
      </w:hyperlink>
      <w:r w:rsidDel="00000000" w:rsidR="00000000" w:rsidRPr="00000000">
        <w:rPr>
          <w:rtl w:val="0"/>
        </w:rPr>
        <w:t xml:space="preserve">  </w:t>
      </w:r>
    </w:p>
    <w:p w:rsidR="00000000" w:rsidDel="00000000" w:rsidP="00000000" w:rsidRDefault="00000000" w:rsidRPr="00000000" w14:paraId="000002D8">
      <w:pPr>
        <w:widowControl w:val="0"/>
        <w:spacing w:before="8.812255859375" w:line="248.3074951171875" w:lineRule="auto"/>
        <w:ind w:left="730.0291442871094" w:right="12.43896484375" w:hanging="718.4727478027344"/>
        <w:jc w:val="both"/>
        <w:rPr/>
      </w:pPr>
      <w:r w:rsidDel="00000000" w:rsidR="00000000" w:rsidRPr="00000000">
        <w:rPr>
          <w:rtl w:val="0"/>
        </w:rPr>
        <w:t xml:space="preserve">Dresser, M., Miller, K., Sonnert, G., &amp; Sadler, P. (2025). Increasing STEM career interest: The role of out-of-school time STEM programs designed for underrepresented minorities (K. Buffardi, Ed.). </w:t>
      </w:r>
      <w:r w:rsidDel="00000000" w:rsidR="00000000" w:rsidRPr="00000000">
        <w:rPr>
          <w:i w:val="1"/>
          <w:iCs w:val="1"/>
          <w:rtl w:val="0"/>
        </w:rPr>
        <w:t xml:space="preserve">PLOS One</w:t>
      </w:r>
      <w:r w:rsidDel="00000000" w:rsidR="00000000" w:rsidRPr="00000000">
        <w:rPr>
          <w:rtl w:val="0"/>
        </w:rPr>
        <w:t xml:space="preserve">, </w:t>
      </w:r>
      <w:r w:rsidDel="00000000" w:rsidR="00000000" w:rsidRPr="00000000">
        <w:rPr>
          <w:i w:val="1"/>
          <w:iCs w:val="1"/>
          <w:rtl w:val="0"/>
        </w:rPr>
        <w:t xml:space="preserve">20</w:t>
      </w:r>
      <w:r w:rsidDel="00000000" w:rsidR="00000000" w:rsidRPr="00000000">
        <w:rPr>
          <w:rtl w:val="0"/>
        </w:rPr>
        <w:t xml:space="preserve">(11), e0336418. </w:t>
      </w:r>
      <w:hyperlink r:id="rId16">
        <w:r w:rsidDel="00000000" w:rsidR="00000000" w:rsidRPr="00000000">
          <w:rPr>
            <w:color w:val="1155cc"/>
            <w:u w:val="single"/>
            <w:rtl w:val="0"/>
          </w:rPr>
          <w:t xml:space="preserve">https://doi.org/10.1371/journal.pone.0336418</w:t>
        </w:r>
      </w:hyperlink>
      <w:r w:rsidDel="00000000" w:rsidR="00000000" w:rsidRPr="00000000">
        <w:rPr>
          <w:rtl w:val="0"/>
        </w:rPr>
        <w:t xml:space="preserve">  </w:t>
      </w:r>
    </w:p>
    <w:p w:rsidR="00000000" w:rsidDel="00000000" w:rsidP="00000000" w:rsidRDefault="00000000" w:rsidRPr="00000000" w14:paraId="000002D9">
      <w:pPr>
        <w:widowControl w:val="0"/>
        <w:spacing w:before="8.80859375" w:line="248.29882621765137" w:lineRule="auto"/>
        <w:ind w:left="731.9926452636719" w:right="0.240478515625" w:hanging="720.8726501464844"/>
        <w:jc w:val="both"/>
        <w:rPr/>
      </w:pPr>
      <w:r w:rsidDel="00000000" w:rsidR="00000000" w:rsidRPr="00000000">
        <w:rPr>
          <w:rtl w:val="0"/>
        </w:rPr>
        <w:t xml:space="preserve">Estrada, M., Hernandez, P. R., &amp; Schultz, P. W. (2018). A Longitudinal Study of How Quality Mentorship and Research Experience Integrate Underrepresented Minorities into STEM Careers (J. Herrera, Ed.). </w:t>
      </w:r>
      <w:r w:rsidDel="00000000" w:rsidR="00000000" w:rsidRPr="00000000">
        <w:rPr>
          <w:i w:val="1"/>
          <w:iCs w:val="1"/>
          <w:rtl w:val="0"/>
        </w:rPr>
        <w:t xml:space="preserve">CBE—Life Sciences Education</w:t>
      </w:r>
      <w:r w:rsidDel="00000000" w:rsidR="00000000" w:rsidRPr="00000000">
        <w:rPr>
          <w:rtl w:val="0"/>
        </w:rPr>
        <w:t xml:space="preserve">, </w:t>
      </w:r>
      <w:r w:rsidDel="00000000" w:rsidR="00000000" w:rsidRPr="00000000">
        <w:rPr>
          <w:i w:val="1"/>
          <w:iCs w:val="1"/>
          <w:rtl w:val="0"/>
        </w:rPr>
        <w:t xml:space="preserve">17</w:t>
      </w:r>
      <w:r w:rsidDel="00000000" w:rsidR="00000000" w:rsidRPr="00000000">
        <w:rPr>
          <w:rtl w:val="0"/>
        </w:rPr>
        <w:t xml:space="preserve">(1), ar9. </w:t>
      </w:r>
      <w:hyperlink r:id="rId17">
        <w:r w:rsidDel="00000000" w:rsidR="00000000" w:rsidRPr="00000000">
          <w:rPr>
            <w:color w:val="1155cc"/>
            <w:u w:val="single"/>
            <w:rtl w:val="0"/>
          </w:rPr>
          <w:t xml:space="preserve">https://doi.org/10.1187/cbe.17-04-0066</w:t>
        </w:r>
      </w:hyperlink>
      <w:r w:rsidDel="00000000" w:rsidR="00000000" w:rsidRPr="00000000">
        <w:rPr>
          <w:rtl w:val="0"/>
        </w:rPr>
        <w:t xml:space="preserve">   </w:t>
      </w:r>
    </w:p>
    <w:p w:rsidR="00000000" w:rsidDel="00000000" w:rsidP="00000000" w:rsidRDefault="00000000" w:rsidRPr="00000000" w14:paraId="000002DA">
      <w:pPr>
        <w:widowControl w:val="0"/>
        <w:spacing w:before="8.837890625" w:line="248.3027172088623" w:lineRule="auto"/>
        <w:ind w:left="720" w:right="16.556396484375"/>
        <w:rPr/>
      </w:pPr>
      <w:r w:rsidDel="00000000" w:rsidR="00000000" w:rsidRPr="00000000">
        <w:rPr>
          <w:rtl w:val="0"/>
        </w:rPr>
        <w:t xml:space="preserve">Filipecki, A., Barros, S. D. S., &amp; Elia, M. D. F. (2006). A visão dos pesquisadores-orientadores de um programa de vocação científica sobre a iniciação científica de estudantes de ensino médio. </w:t>
      </w:r>
      <w:r w:rsidDel="00000000" w:rsidR="00000000" w:rsidRPr="00000000">
        <w:rPr>
          <w:i w:val="1"/>
          <w:iCs w:val="1"/>
          <w:rtl w:val="0"/>
        </w:rPr>
        <w:t xml:space="preserve">Ciência &amp; Educação (Bauru)</w:t>
      </w:r>
      <w:r w:rsidDel="00000000" w:rsidR="00000000" w:rsidRPr="00000000">
        <w:rPr>
          <w:rtl w:val="0"/>
        </w:rPr>
        <w:t xml:space="preserve">, </w:t>
      </w:r>
      <w:r w:rsidDel="00000000" w:rsidR="00000000" w:rsidRPr="00000000">
        <w:rPr>
          <w:i w:val="1"/>
          <w:iCs w:val="1"/>
          <w:rtl w:val="0"/>
        </w:rPr>
        <w:t xml:space="preserve">12</w:t>
      </w:r>
      <w:r w:rsidDel="00000000" w:rsidR="00000000" w:rsidRPr="00000000">
        <w:rPr>
          <w:rtl w:val="0"/>
        </w:rPr>
        <w:t xml:space="preserve">(2), 199–217. </w:t>
      </w:r>
      <w:hyperlink r:id="rId18">
        <w:r w:rsidDel="00000000" w:rsidR="00000000" w:rsidRPr="00000000">
          <w:rPr>
            <w:color w:val="1155cc"/>
            <w:u w:val="single"/>
            <w:rtl w:val="0"/>
          </w:rPr>
          <w:t xml:space="preserve">https://doi.org/10.1590/S1516-73132006000200007</w:t>
        </w:r>
      </w:hyperlink>
      <w:r w:rsidDel="00000000" w:rsidR="00000000" w:rsidRPr="00000000">
        <w:rPr>
          <w:rtl w:val="0"/>
        </w:rPr>
        <w:t xml:space="preserve">   </w:t>
      </w:r>
    </w:p>
    <w:p w:rsidR="00000000" w:rsidDel="00000000" w:rsidP="00000000" w:rsidRDefault="00000000" w:rsidRPr="00000000" w14:paraId="000002DB">
      <w:pPr>
        <w:widowControl w:val="0"/>
        <w:spacing w:before="8.8134765625" w:line="248.29922676086426" w:lineRule="auto"/>
        <w:ind w:left="733.9474487304688" w:right="0.2197265625" w:hanging="722.8274536132812"/>
        <w:jc w:val="both"/>
        <w:rPr/>
      </w:pPr>
      <w:r w:rsidDel="00000000" w:rsidR="00000000" w:rsidRPr="00000000">
        <w:rPr>
          <w:rtl w:val="0"/>
        </w:rPr>
        <w:t xml:space="preserve">Flowers, S. K., Beyer, K. M., Pérez, M., &amp; Jeffe, D. B. (2016). Early Environmental Field Research Career Exploration: An Analysis of Impacts on Precollege Apprentices (M. Shuster, Ed.). </w:t>
      </w:r>
      <w:r w:rsidDel="00000000" w:rsidR="00000000" w:rsidRPr="00000000">
        <w:rPr>
          <w:i w:val="1"/>
          <w:iCs w:val="1"/>
          <w:rtl w:val="0"/>
        </w:rPr>
        <w:t xml:space="preserve">CBE—Life Sciences Education</w:t>
      </w:r>
      <w:r w:rsidDel="00000000" w:rsidR="00000000" w:rsidRPr="00000000">
        <w:rPr>
          <w:rtl w:val="0"/>
        </w:rPr>
        <w:t xml:space="preserve">, </w:t>
      </w:r>
      <w:r w:rsidDel="00000000" w:rsidR="00000000" w:rsidRPr="00000000">
        <w:rPr>
          <w:i w:val="1"/>
          <w:iCs w:val="1"/>
          <w:rtl w:val="0"/>
        </w:rPr>
        <w:t xml:space="preserve">15</w:t>
      </w:r>
      <w:r w:rsidDel="00000000" w:rsidR="00000000" w:rsidRPr="00000000">
        <w:rPr>
          <w:rtl w:val="0"/>
        </w:rPr>
        <w:t xml:space="preserve">(4), ar67. </w:t>
      </w:r>
      <w:hyperlink r:id="rId19">
        <w:r w:rsidDel="00000000" w:rsidR="00000000" w:rsidRPr="00000000">
          <w:rPr>
            <w:color w:val="1155cc"/>
            <w:u w:val="single"/>
            <w:rtl w:val="0"/>
          </w:rPr>
          <w:t xml:space="preserve">https://doi.org/10.1187/cbe.15-11-0230</w:t>
        </w:r>
      </w:hyperlink>
      <w:r w:rsidDel="00000000" w:rsidR="00000000" w:rsidRPr="00000000">
        <w:rPr>
          <w:rtl w:val="0"/>
        </w:rPr>
        <w:t xml:space="preserve">  </w:t>
      </w:r>
    </w:p>
    <w:p w:rsidR="00000000" w:rsidDel="00000000" w:rsidP="00000000" w:rsidRDefault="00000000" w:rsidRPr="00000000" w14:paraId="000002DC">
      <w:pPr>
        <w:widowControl w:val="0"/>
        <w:spacing w:before="8.8165283203125" w:line="248.30371856689453" w:lineRule="auto"/>
        <w:ind w:left="730.0291442871094" w:right="10.15380859375" w:hanging="718.9091491699219"/>
        <w:jc w:val="both"/>
        <w:rPr/>
      </w:pPr>
      <w:r w:rsidDel="00000000" w:rsidR="00000000" w:rsidRPr="00000000">
        <w:rPr>
          <w:rtl w:val="0"/>
        </w:rPr>
        <w:t xml:space="preserve">Friedman, A. D., Melendez, C. R., Bush, A. A., Lai, S. K., &amp; McLaughlin, J. E. (2017). The Young Innovators Program at the Eshelman Institute for Innovation: A case study examining the role of a professional pharmacy school in enhancing STEM pursuits among secondary school students. </w:t>
      </w:r>
      <w:r w:rsidDel="00000000" w:rsidR="00000000" w:rsidRPr="00000000">
        <w:rPr>
          <w:i w:val="1"/>
          <w:iCs w:val="1"/>
          <w:rtl w:val="0"/>
        </w:rPr>
        <w:t xml:space="preserve">International Journal of STEM Education</w:t>
      </w:r>
      <w:r w:rsidDel="00000000" w:rsidR="00000000" w:rsidRPr="00000000">
        <w:rPr>
          <w:rtl w:val="0"/>
        </w:rPr>
        <w:t xml:space="preserve">, </w:t>
      </w:r>
      <w:r w:rsidDel="00000000" w:rsidR="00000000" w:rsidRPr="00000000">
        <w:rPr>
          <w:i w:val="1"/>
          <w:iCs w:val="1"/>
          <w:rtl w:val="0"/>
        </w:rPr>
        <w:t xml:space="preserve">4</w:t>
      </w:r>
      <w:r w:rsidDel="00000000" w:rsidR="00000000" w:rsidRPr="00000000">
        <w:rPr>
          <w:rtl w:val="0"/>
        </w:rPr>
        <w:t xml:space="preserve">(1), 17. </w:t>
      </w:r>
      <w:hyperlink r:id="rId20">
        <w:r w:rsidDel="00000000" w:rsidR="00000000" w:rsidRPr="00000000">
          <w:rPr>
            <w:color w:val="1155cc"/>
            <w:u w:val="single"/>
            <w:rtl w:val="0"/>
          </w:rPr>
          <w:t xml:space="preserve">https://doi.org/10.1186/s40594-017-0081-4</w:t>
        </w:r>
      </w:hyperlink>
      <w:r w:rsidDel="00000000" w:rsidR="00000000" w:rsidRPr="00000000">
        <w:rPr>
          <w:rtl w:val="0"/>
        </w:rPr>
        <w:t xml:space="preserve">   </w:t>
      </w:r>
    </w:p>
    <w:p w:rsidR="00000000" w:rsidDel="00000000" w:rsidP="00000000" w:rsidRDefault="00000000" w:rsidRPr="00000000" w14:paraId="000002DD">
      <w:pPr>
        <w:widowControl w:val="0"/>
        <w:spacing w:before="8.8128662109375" w:line="248.30803871154785" w:lineRule="auto"/>
        <w:ind w:left="731.3381958007812" w:right="16.67724609375" w:hanging="720.2182006835938"/>
        <w:jc w:val="both"/>
        <w:rPr/>
      </w:pPr>
      <w:r w:rsidDel="00000000" w:rsidR="00000000" w:rsidRPr="00000000">
        <w:rPr>
          <w:rtl w:val="0"/>
        </w:rPr>
        <w:t xml:space="preserve">Fuentes-Rojas, M., &amp; Gemma, S. F. B. (2021). Iniciação científica no ensino médio: Refletir para construir o futuro. </w:t>
      </w:r>
      <w:r w:rsidDel="00000000" w:rsidR="00000000" w:rsidRPr="00000000">
        <w:rPr>
          <w:i w:val="1"/>
          <w:iCs w:val="1"/>
          <w:rtl w:val="0"/>
        </w:rPr>
        <w:t xml:space="preserve">Pro-Posições</w:t>
      </w:r>
      <w:r w:rsidDel="00000000" w:rsidR="00000000" w:rsidRPr="00000000">
        <w:rPr>
          <w:rtl w:val="0"/>
        </w:rPr>
        <w:t xml:space="preserve">, </w:t>
      </w:r>
      <w:r w:rsidDel="00000000" w:rsidR="00000000" w:rsidRPr="00000000">
        <w:rPr>
          <w:i w:val="1"/>
          <w:iCs w:val="1"/>
          <w:rtl w:val="0"/>
        </w:rPr>
        <w:t xml:space="preserve">32</w:t>
      </w:r>
      <w:r w:rsidDel="00000000" w:rsidR="00000000" w:rsidRPr="00000000">
        <w:rPr>
          <w:rtl w:val="0"/>
        </w:rPr>
        <w:t xml:space="preserve">, e20180083. </w:t>
      </w:r>
      <w:hyperlink r:id="rId21">
        <w:r w:rsidDel="00000000" w:rsidR="00000000" w:rsidRPr="00000000">
          <w:rPr>
            <w:color w:val="1155cc"/>
            <w:u w:val="single"/>
            <w:rtl w:val="0"/>
          </w:rPr>
          <w:t xml:space="preserve">https://doi.org/10.1590/1980-6248-2018-0083</w:t>
        </w:r>
      </w:hyperlink>
      <w:r w:rsidDel="00000000" w:rsidR="00000000" w:rsidRPr="00000000">
        <w:rPr>
          <w:rtl w:val="0"/>
        </w:rPr>
        <w:t xml:space="preserve">   </w:t>
      </w:r>
    </w:p>
    <w:p w:rsidR="00000000" w:rsidDel="00000000" w:rsidP="00000000" w:rsidRDefault="00000000" w:rsidRPr="00000000" w14:paraId="000002DE">
      <w:pPr>
        <w:widowControl w:val="0"/>
        <w:spacing w:before="8.80889892578125" w:line="248.29833984375" w:lineRule="auto"/>
        <w:ind w:left="730.9017944335938" w:right="18.980712890625" w:hanging="714.7636413574219"/>
        <w:rPr/>
      </w:pPr>
      <w:r w:rsidDel="00000000" w:rsidR="00000000" w:rsidRPr="00000000">
        <w:rPr>
          <w:rtl w:val="0"/>
        </w:rPr>
        <w:t xml:space="preserve">Gatti, B. A. (2001). Reflexão sobre os desafios da pós-graduação: Novas perspectivas sociais, conhecimento e poder. </w:t>
      </w:r>
      <w:r w:rsidDel="00000000" w:rsidR="00000000" w:rsidRPr="00000000">
        <w:rPr>
          <w:i w:val="1"/>
          <w:iCs w:val="1"/>
          <w:rtl w:val="0"/>
        </w:rPr>
        <w:t xml:space="preserve">Revista Brasileira de Educação</w:t>
      </w:r>
      <w:r w:rsidDel="00000000" w:rsidR="00000000" w:rsidRPr="00000000">
        <w:rPr>
          <w:rtl w:val="0"/>
        </w:rPr>
        <w:t xml:space="preserve">, (18), 108–116.</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https://doi.org/10.1590/S1413-24782001000300010</w:t>
        </w:r>
      </w:hyperlink>
      <w:r w:rsidDel="00000000" w:rsidR="00000000" w:rsidRPr="00000000">
        <w:rPr>
          <w:rtl w:val="0"/>
        </w:rPr>
      </w:r>
    </w:p>
    <w:p w:rsidR="00000000" w:rsidDel="00000000" w:rsidP="00000000" w:rsidRDefault="00000000" w:rsidRPr="00000000" w14:paraId="000002DF">
      <w:pPr>
        <w:widowControl w:val="0"/>
        <w:spacing w:before="8.8177490234375" w:line="248.30337524414062" w:lineRule="auto"/>
        <w:ind w:left="720" w:right="10.238037109375" w:hanging="703.8618469238281"/>
        <w:jc w:val="both"/>
        <w:rPr/>
      </w:pPr>
      <w:r w:rsidDel="00000000" w:rsidR="00000000" w:rsidRPr="00000000">
        <w:rPr>
          <w:rtl w:val="0"/>
        </w:rPr>
        <w:t xml:space="preserve">Ghani, N., Baker, H., Huntsinger, A., Chen, T., Familara, T. D., Itorralba, J. Y., Vanderford, F., Zhuang, X., Chang, C.-L., Vo, V., &amp; Oh, E. C. (2024). Science Education for the Youth (SEFTY): A Neuroscience Outreach Program for High School Students in Southern Nevada during the COVID-19 Pandemic. </w:t>
      </w:r>
      <w:r w:rsidDel="00000000" w:rsidR="00000000" w:rsidRPr="00000000">
        <w:rPr>
          <w:i w:val="1"/>
          <w:iCs w:val="1"/>
          <w:rtl w:val="0"/>
        </w:rPr>
        <w:t xml:space="preserve">eneuro</w:t>
      </w:r>
      <w:r w:rsidDel="00000000" w:rsidR="00000000" w:rsidRPr="00000000">
        <w:rPr>
          <w:rtl w:val="0"/>
        </w:rPr>
        <w:t xml:space="preserve">, </w:t>
      </w:r>
      <w:r w:rsidDel="00000000" w:rsidR="00000000" w:rsidRPr="00000000">
        <w:rPr>
          <w:i w:val="1"/>
          <w:iCs w:val="1"/>
          <w:rtl w:val="0"/>
        </w:rPr>
        <w:t xml:space="preserve">11</w:t>
      </w:r>
      <w:r w:rsidDel="00000000" w:rsidR="00000000" w:rsidRPr="00000000">
        <w:rPr>
          <w:rtl w:val="0"/>
        </w:rPr>
        <w:t xml:space="preserve">(4), ENEURO.0039–24.2024. </w:t>
      </w:r>
      <w:hyperlink r:id="rId24">
        <w:r w:rsidDel="00000000" w:rsidR="00000000" w:rsidRPr="00000000">
          <w:rPr>
            <w:color w:val="1155cc"/>
            <w:u w:val="single"/>
            <w:rtl w:val="0"/>
          </w:rPr>
          <w:t xml:space="preserve">https://doi.org/10.1523/ENEURO.0039-24.2024</w:t>
        </w:r>
      </w:hyperlink>
      <w:r w:rsidDel="00000000" w:rsidR="00000000" w:rsidRPr="00000000">
        <w:rPr>
          <w:rtl w:val="0"/>
        </w:rPr>
        <w:t xml:space="preserve">   </w:t>
      </w:r>
    </w:p>
    <w:p w:rsidR="00000000" w:rsidDel="00000000" w:rsidP="00000000" w:rsidRDefault="00000000" w:rsidRPr="00000000" w14:paraId="000002E0">
      <w:pPr>
        <w:widowControl w:val="0"/>
        <w:spacing w:before="8.81195068359375" w:line="248.3078384399414" w:lineRule="auto"/>
        <w:ind w:left="730.0297546386719" w:right="0.22705078125" w:hanging="718.9097595214844"/>
        <w:jc w:val="both"/>
        <w:rPr/>
      </w:pPr>
      <w:r w:rsidDel="00000000" w:rsidR="00000000" w:rsidRPr="00000000">
        <w:rPr>
          <w:rtl w:val="0"/>
        </w:rPr>
        <w:t xml:space="preserve">Katzenmeyer, C., &amp; Lawrenz, F. (2006). National science foundation perspectives on the nature of STEM program evaluation. </w:t>
      </w:r>
      <w:r w:rsidDel="00000000" w:rsidR="00000000" w:rsidRPr="00000000">
        <w:rPr>
          <w:i w:val="1"/>
          <w:iCs w:val="1"/>
          <w:rtl w:val="0"/>
        </w:rPr>
        <w:t xml:space="preserve">New Directions for Evaluation</w:t>
      </w:r>
      <w:r w:rsidDel="00000000" w:rsidR="00000000" w:rsidRPr="00000000">
        <w:rPr>
          <w:rtl w:val="0"/>
        </w:rPr>
        <w:t xml:space="preserve">, </w:t>
      </w:r>
      <w:r w:rsidDel="00000000" w:rsidR="00000000" w:rsidRPr="00000000">
        <w:rPr>
          <w:i w:val="1"/>
          <w:iCs w:val="1"/>
          <w:rtl w:val="0"/>
        </w:rPr>
        <w:t xml:space="preserve">2006</w:t>
      </w:r>
      <w:r w:rsidDel="00000000" w:rsidR="00000000" w:rsidRPr="00000000">
        <w:rPr>
          <w:rtl w:val="0"/>
        </w:rPr>
        <w:t xml:space="preserve">(109), 7–18. </w:t>
      </w:r>
      <w:hyperlink r:id="rId25">
        <w:r w:rsidDel="00000000" w:rsidR="00000000" w:rsidRPr="00000000">
          <w:rPr>
            <w:color w:val="1155cc"/>
            <w:u w:val="single"/>
            <w:rtl w:val="0"/>
          </w:rPr>
          <w:t xml:space="preserve">https://doi.org/10.1002/ev.175</w:t>
        </w:r>
      </w:hyperlink>
      <w:r w:rsidDel="00000000" w:rsidR="00000000" w:rsidRPr="00000000">
        <w:rPr>
          <w:rtl w:val="0"/>
        </w:rPr>
        <w:t xml:space="preserve">   </w:t>
      </w:r>
    </w:p>
    <w:p w:rsidR="00000000" w:rsidDel="00000000" w:rsidP="00000000" w:rsidRDefault="00000000" w:rsidRPr="00000000" w14:paraId="000002E1">
      <w:pPr>
        <w:widowControl w:val="0"/>
        <w:spacing w:before="8.81195068359375" w:line="248.3078384399414" w:lineRule="auto"/>
        <w:ind w:left="730.0297546386719" w:right="0.22705078125" w:hanging="718.9097595214844"/>
        <w:jc w:val="both"/>
        <w:rPr/>
      </w:pPr>
      <w:r w:rsidDel="00000000" w:rsidR="00000000" w:rsidRPr="00000000">
        <w:rPr>
          <w:rtl w:val="0"/>
        </w:rPr>
        <w:t xml:space="preserve">Kitchen, J. A., Sonnert, G., &amp; Sadler, P. M. (2018). The impact of college‐ and university‐run high school summer programs on students’ end of high school STEM career aspirations. </w:t>
      </w:r>
      <w:r w:rsidDel="00000000" w:rsidR="00000000" w:rsidRPr="00000000">
        <w:rPr>
          <w:i w:val="1"/>
          <w:iCs w:val="1"/>
          <w:rtl w:val="0"/>
        </w:rPr>
        <w:t xml:space="preserve">Science Education</w:t>
      </w:r>
      <w:r w:rsidDel="00000000" w:rsidR="00000000" w:rsidRPr="00000000">
        <w:rPr>
          <w:rtl w:val="0"/>
        </w:rPr>
        <w:t xml:space="preserve">, </w:t>
      </w:r>
      <w:r w:rsidDel="00000000" w:rsidR="00000000" w:rsidRPr="00000000">
        <w:rPr>
          <w:i w:val="1"/>
          <w:iCs w:val="1"/>
          <w:rtl w:val="0"/>
        </w:rPr>
        <w:t xml:space="preserve">102</w:t>
      </w:r>
      <w:r w:rsidDel="00000000" w:rsidR="00000000" w:rsidRPr="00000000">
        <w:rPr>
          <w:rtl w:val="0"/>
        </w:rPr>
        <w:t xml:space="preserve">(3), 529–547. </w:t>
      </w:r>
      <w:hyperlink r:id="rId26">
        <w:r w:rsidDel="00000000" w:rsidR="00000000" w:rsidRPr="00000000">
          <w:rPr>
            <w:color w:val="1155cc"/>
            <w:u w:val="single"/>
            <w:rtl w:val="0"/>
          </w:rPr>
          <w:t xml:space="preserve">https://doi.org/10.1002/sce.21332</w:t>
        </w:r>
      </w:hyperlink>
      <w:r w:rsidDel="00000000" w:rsidR="00000000" w:rsidRPr="00000000">
        <w:rPr>
          <w:rtl w:val="0"/>
        </w:rPr>
        <w:t xml:space="preserve">  </w:t>
      </w:r>
    </w:p>
    <w:p w:rsidR="00000000" w:rsidDel="00000000" w:rsidP="00000000" w:rsidRDefault="00000000" w:rsidRPr="00000000" w14:paraId="000002E2">
      <w:pPr>
        <w:widowControl w:val="0"/>
        <w:spacing w:before="8.817138671875" w:line="248.30188751220703" w:lineRule="auto"/>
        <w:ind w:left="720" w:right="12.43896484375"/>
        <w:rPr/>
      </w:pPr>
      <w:r w:rsidDel="00000000" w:rsidR="00000000" w:rsidRPr="00000000">
        <w:rPr>
          <w:rtl w:val="0"/>
        </w:rPr>
        <w:t xml:space="preserve">Knaggård, Å. (2015). The Multiple Streams Framework and the problem broker. </w:t>
      </w:r>
      <w:r w:rsidDel="00000000" w:rsidR="00000000" w:rsidRPr="00000000">
        <w:rPr>
          <w:i w:val="1"/>
          <w:iCs w:val="1"/>
          <w:rtl w:val="0"/>
        </w:rPr>
        <w:t xml:space="preserve">European Journal of Political Research</w:t>
      </w:r>
      <w:r w:rsidDel="00000000" w:rsidR="00000000" w:rsidRPr="00000000">
        <w:rPr>
          <w:rtl w:val="0"/>
        </w:rPr>
        <w:t xml:space="preserve">, </w:t>
      </w:r>
      <w:r w:rsidDel="00000000" w:rsidR="00000000" w:rsidRPr="00000000">
        <w:rPr>
          <w:i w:val="1"/>
          <w:iCs w:val="1"/>
          <w:rtl w:val="0"/>
        </w:rPr>
        <w:t xml:space="preserve">54</w:t>
      </w:r>
      <w:r w:rsidDel="00000000" w:rsidR="00000000" w:rsidRPr="00000000">
        <w:rPr>
          <w:rtl w:val="0"/>
        </w:rPr>
        <w:t xml:space="preserve">(3), 450–465. </w:t>
      </w:r>
      <w:hyperlink r:id="rId27">
        <w:r w:rsidDel="00000000" w:rsidR="00000000" w:rsidRPr="00000000">
          <w:rPr>
            <w:color w:val="1155cc"/>
            <w:u w:val="single"/>
            <w:rtl w:val="0"/>
          </w:rPr>
          <w:t xml:space="preserve">https://doi.org/10.1111/1475-6765.12097</w:t>
        </w:r>
      </w:hyperlink>
      <w:r w:rsidDel="00000000" w:rsidR="00000000" w:rsidRPr="00000000">
        <w:rPr>
          <w:rtl w:val="0"/>
        </w:rPr>
      </w:r>
    </w:p>
    <w:p w:rsidR="00000000" w:rsidDel="00000000" w:rsidP="00000000" w:rsidRDefault="00000000" w:rsidRPr="00000000" w14:paraId="000002E3">
      <w:pPr>
        <w:widowControl w:val="0"/>
        <w:spacing w:before="8.817138671875" w:line="248.30188751220703" w:lineRule="auto"/>
        <w:ind w:left="720" w:right="12.43896484375"/>
        <w:rPr/>
      </w:pPr>
      <w:r w:rsidDel="00000000" w:rsidR="00000000" w:rsidRPr="00000000">
        <w:rPr>
          <w:rtl w:val="0"/>
        </w:rPr>
        <w:t xml:space="preserve">Kuchynka, S. L., Reifsteck, T. V., Gates, A. E., &amp; Rivera, L. M. (2022). Which STEM relationships promote science identities, attitudes, and social belonging? A longitudinal investigation with high school students from underrepresented groups. </w:t>
      </w:r>
      <w:r w:rsidDel="00000000" w:rsidR="00000000" w:rsidRPr="00000000">
        <w:rPr>
          <w:i w:val="1"/>
          <w:iCs w:val="1"/>
          <w:rtl w:val="0"/>
        </w:rPr>
        <w:t xml:space="preserve">Social Psychology of Education</w:t>
      </w:r>
      <w:r w:rsidDel="00000000" w:rsidR="00000000" w:rsidRPr="00000000">
        <w:rPr>
          <w:rtl w:val="0"/>
        </w:rPr>
        <w:t xml:space="preserve">, </w:t>
      </w:r>
      <w:r w:rsidDel="00000000" w:rsidR="00000000" w:rsidRPr="00000000">
        <w:rPr>
          <w:i w:val="1"/>
          <w:iCs w:val="1"/>
          <w:rtl w:val="0"/>
        </w:rPr>
        <w:t xml:space="preserve">25</w:t>
      </w:r>
      <w:r w:rsidDel="00000000" w:rsidR="00000000" w:rsidRPr="00000000">
        <w:rPr>
          <w:rtl w:val="0"/>
        </w:rPr>
        <w:t xml:space="preserve">(4), 819–843. </w:t>
      </w:r>
      <w:hyperlink r:id="rId28">
        <w:r w:rsidDel="00000000" w:rsidR="00000000" w:rsidRPr="00000000">
          <w:rPr>
            <w:color w:val="1155cc"/>
            <w:u w:val="single"/>
            <w:rtl w:val="0"/>
          </w:rPr>
          <w:t xml:space="preserve">https://doi.org/10.1007/s11218-022-09705-7</w:t>
        </w:r>
      </w:hyperlink>
      <w:r w:rsidDel="00000000" w:rsidR="00000000" w:rsidRPr="00000000">
        <w:rPr>
          <w:rtl w:val="0"/>
        </w:rPr>
        <w:t xml:space="preserve">  </w:t>
      </w:r>
    </w:p>
    <w:p w:rsidR="00000000" w:rsidDel="00000000" w:rsidP="00000000" w:rsidRDefault="00000000" w:rsidRPr="00000000" w14:paraId="000002E4">
      <w:pPr>
        <w:widowControl w:val="0"/>
        <w:spacing w:before="8.834228515625" w:line="248.30214500427246" w:lineRule="auto"/>
        <w:ind w:left="720" w:right="34.473876953125"/>
        <w:rPr/>
      </w:pPr>
      <w:r w:rsidDel="00000000" w:rsidR="00000000" w:rsidRPr="00000000">
        <w:rPr>
          <w:rtl w:val="0"/>
        </w:rPr>
        <w:t xml:space="preserve"> Liu, A. S., &amp; Schunn, C. D. (2020). Predicting pathways to optional summer science experiences by socioeconomic status and the impact on science attitudes and skills. </w:t>
      </w:r>
      <w:r w:rsidDel="00000000" w:rsidR="00000000" w:rsidRPr="00000000">
        <w:rPr>
          <w:i w:val="1"/>
          <w:iCs w:val="1"/>
          <w:rtl w:val="0"/>
        </w:rPr>
        <w:t xml:space="preserve">International Journal of STEM Education, 7</w:t>
      </w:r>
      <w:r w:rsidDel="00000000" w:rsidR="00000000" w:rsidRPr="00000000">
        <w:rPr>
          <w:rtl w:val="0"/>
        </w:rPr>
        <w:t xml:space="preserve">(1), Article 49.</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https://doi.org/10.1186/s40594-020-00247-y</w:t>
        </w:r>
      </w:hyperlink>
      <w:r w:rsidDel="00000000" w:rsidR="00000000" w:rsidRPr="00000000">
        <w:rPr>
          <w:rtl w:val="0"/>
        </w:rPr>
      </w:r>
    </w:p>
    <w:p w:rsidR="00000000" w:rsidDel="00000000" w:rsidP="00000000" w:rsidRDefault="00000000" w:rsidRPr="00000000" w14:paraId="000002E5">
      <w:pPr>
        <w:widowControl w:val="0"/>
        <w:spacing w:before="8.8134765625" w:line="248.29862594604492" w:lineRule="auto"/>
        <w:ind w:left="730.0291442871094" w:right="16.624755859375" w:hanging="718.9091491699219"/>
        <w:jc w:val="both"/>
        <w:rPr/>
      </w:pPr>
      <w:r w:rsidDel="00000000" w:rsidR="00000000" w:rsidRPr="00000000">
        <w:rPr>
          <w:rtl w:val="0"/>
        </w:rPr>
        <w:t xml:space="preserve">Lüdke, M., &amp; Cruz, G. B. D. (2005). Aproximando universidade e escola de educação básica pela pesquisa. </w:t>
      </w:r>
      <w:r w:rsidDel="00000000" w:rsidR="00000000" w:rsidRPr="00000000">
        <w:rPr>
          <w:i w:val="1"/>
          <w:iCs w:val="1"/>
          <w:rtl w:val="0"/>
        </w:rPr>
        <w:t xml:space="preserve">Cadernos de Pesquisa</w:t>
      </w:r>
      <w:r w:rsidDel="00000000" w:rsidR="00000000" w:rsidRPr="00000000">
        <w:rPr>
          <w:rtl w:val="0"/>
        </w:rPr>
        <w:t xml:space="preserve">, </w:t>
      </w:r>
      <w:r w:rsidDel="00000000" w:rsidR="00000000" w:rsidRPr="00000000">
        <w:rPr>
          <w:i w:val="1"/>
          <w:iCs w:val="1"/>
          <w:rtl w:val="0"/>
        </w:rPr>
        <w:t xml:space="preserve">35</w:t>
      </w:r>
      <w:r w:rsidDel="00000000" w:rsidR="00000000" w:rsidRPr="00000000">
        <w:rPr>
          <w:rtl w:val="0"/>
        </w:rPr>
        <w:t xml:space="preserve">(125), 81–109. </w:t>
      </w:r>
      <w:hyperlink r:id="rId31">
        <w:r w:rsidDel="00000000" w:rsidR="00000000" w:rsidRPr="00000000">
          <w:rPr>
            <w:color w:val="1155cc"/>
            <w:u w:val="single"/>
            <w:rtl w:val="0"/>
          </w:rPr>
          <w:t xml:space="preserve">https://doi.org/10.1590/S0100-15742005000200006</w:t>
        </w:r>
      </w:hyperlink>
      <w:r w:rsidDel="00000000" w:rsidR="00000000" w:rsidRPr="00000000">
        <w:rPr>
          <w:rtl w:val="0"/>
        </w:rPr>
        <w:t xml:space="preserve">   </w:t>
      </w:r>
    </w:p>
    <w:p w:rsidR="00000000" w:rsidDel="00000000" w:rsidP="00000000" w:rsidRDefault="00000000" w:rsidRPr="00000000" w14:paraId="000002E6">
      <w:pPr>
        <w:widowControl w:val="0"/>
        <w:spacing w:before="8.8177490234375" w:line="248.3081817626953" w:lineRule="auto"/>
        <w:ind w:left="729.3692016601562" w:right="16.514892578125" w:hanging="718.2492065429688"/>
        <w:jc w:val="both"/>
        <w:rPr/>
      </w:pPr>
      <w:r w:rsidDel="00000000" w:rsidR="00000000" w:rsidRPr="00000000">
        <w:rPr>
          <w:rtl w:val="0"/>
        </w:rPr>
        <w:t xml:space="preserve">Lüdke, M., Cruz, G. B. D., &amp; Boing, L. A. (2009). A pesquisa do professor da educação básica em questão. </w:t>
      </w:r>
      <w:r w:rsidDel="00000000" w:rsidR="00000000" w:rsidRPr="00000000">
        <w:rPr>
          <w:i w:val="1"/>
          <w:iCs w:val="1"/>
          <w:rtl w:val="0"/>
        </w:rPr>
        <w:t xml:space="preserve">Revista Brasileira de Educação</w:t>
      </w:r>
      <w:r w:rsidDel="00000000" w:rsidR="00000000" w:rsidRPr="00000000">
        <w:rPr>
          <w:rtl w:val="0"/>
        </w:rPr>
        <w:t xml:space="preserve">, </w:t>
      </w:r>
      <w:r w:rsidDel="00000000" w:rsidR="00000000" w:rsidRPr="00000000">
        <w:rPr>
          <w:i w:val="1"/>
          <w:iCs w:val="1"/>
          <w:rtl w:val="0"/>
        </w:rPr>
        <w:t xml:space="preserve">14</w:t>
      </w:r>
      <w:r w:rsidDel="00000000" w:rsidR="00000000" w:rsidRPr="00000000">
        <w:rPr>
          <w:rtl w:val="0"/>
        </w:rPr>
        <w:t xml:space="preserve">(42), 456–468. </w:t>
      </w:r>
      <w:hyperlink r:id="rId32">
        <w:r w:rsidDel="00000000" w:rsidR="00000000" w:rsidRPr="00000000">
          <w:rPr>
            <w:color w:val="1155cc"/>
            <w:u w:val="single"/>
            <w:rtl w:val="0"/>
          </w:rPr>
          <w:t xml:space="preserve">https://doi.org/10.1590/S1413-24782009000300005</w:t>
        </w:r>
      </w:hyperlink>
      <w:r w:rsidDel="00000000" w:rsidR="00000000" w:rsidRPr="00000000">
        <w:rPr>
          <w:rtl w:val="0"/>
        </w:rPr>
        <w:t xml:space="preserve">    </w:t>
      </w:r>
    </w:p>
    <w:p w:rsidR="00000000" w:rsidDel="00000000" w:rsidP="00000000" w:rsidRDefault="00000000" w:rsidRPr="00000000" w14:paraId="000002E7">
      <w:pPr>
        <w:widowControl w:val="0"/>
        <w:spacing w:before="8.8092041015625" w:line="248.30357551574707" w:lineRule="auto"/>
        <w:ind w:left="720" w:right="0.263671875"/>
        <w:rPr/>
      </w:pPr>
      <w:r w:rsidDel="00000000" w:rsidR="00000000" w:rsidRPr="00000000">
        <w:rPr>
          <w:rtl w:val="0"/>
        </w:rPr>
        <w:t xml:space="preserve">Mazzei, L. D. (2013). Iniciação cienơfica na escola: Uma abordagem pluralista. </w:t>
      </w:r>
      <w:r w:rsidDel="00000000" w:rsidR="00000000" w:rsidRPr="00000000">
        <w:rPr>
          <w:i w:val="1"/>
          <w:iCs w:val="1"/>
          <w:rtl w:val="0"/>
        </w:rPr>
        <w:t xml:space="preserve">26</w:t>
      </w:r>
      <w:r w:rsidDel="00000000" w:rsidR="00000000" w:rsidRPr="00000000">
        <w:rPr>
          <w:rtl w:val="0"/>
        </w:rPr>
        <w:t xml:space="preserve">(2). Mims, P. J., Lee, L. E., Kuldell, N., &amp; Franklin, C. (2025). Strengthening the STEM pipeline: Impact of project-based synthetic biology program on high school students’ science identity and competency. </w:t>
      </w:r>
      <w:r w:rsidDel="00000000" w:rsidR="00000000" w:rsidRPr="00000000">
        <w:rPr>
          <w:i w:val="1"/>
          <w:iCs w:val="1"/>
          <w:rtl w:val="0"/>
        </w:rPr>
        <w:t xml:space="preserve">Frontiers in Education</w:t>
      </w:r>
      <w:r w:rsidDel="00000000" w:rsidR="00000000" w:rsidRPr="00000000">
        <w:rPr>
          <w:rtl w:val="0"/>
        </w:rPr>
        <w:t xml:space="preserve">, </w:t>
      </w:r>
      <w:r w:rsidDel="00000000" w:rsidR="00000000" w:rsidRPr="00000000">
        <w:rPr>
          <w:i w:val="1"/>
          <w:iCs w:val="1"/>
          <w:rtl w:val="0"/>
        </w:rPr>
        <w:t xml:space="preserve">9</w:t>
      </w:r>
      <w:r w:rsidDel="00000000" w:rsidR="00000000" w:rsidRPr="00000000">
        <w:rPr>
          <w:rtl w:val="0"/>
        </w:rPr>
        <w:t xml:space="preserve">, </w:t>
      </w:r>
      <w:hyperlink r:id="rId33">
        <w:r w:rsidDel="00000000" w:rsidR="00000000" w:rsidRPr="00000000">
          <w:rPr>
            <w:color w:val="1155cc"/>
            <w:u w:val="single"/>
            <w:rtl w:val="0"/>
          </w:rPr>
          <w:t xml:space="preserve">https://doi.org/10.3389/feduc.2024.1493356</w:t>
        </w:r>
      </w:hyperlink>
      <w:r w:rsidDel="00000000" w:rsidR="00000000" w:rsidRPr="00000000">
        <w:rPr>
          <w:rtl w:val="0"/>
        </w:rPr>
      </w:r>
    </w:p>
    <w:p w:rsidR="00000000" w:rsidDel="00000000" w:rsidP="00000000" w:rsidRDefault="00000000" w:rsidRPr="00000000" w14:paraId="000002E8">
      <w:pPr>
        <w:widowControl w:val="0"/>
        <w:spacing w:before="8.8092041015625" w:line="248.30357551574707" w:lineRule="auto"/>
        <w:ind w:left="720" w:right="0.263671875"/>
        <w:rPr/>
      </w:pPr>
      <w:r w:rsidDel="00000000" w:rsidR="00000000" w:rsidRPr="00000000">
        <w:rPr>
          <w:rtl w:val="0"/>
        </w:rPr>
        <w:t xml:space="preserve">Ministério da Ciência e Tecnologia, &amp; Academia Brasileira de Ciências. (2001). </w:t>
      </w:r>
      <w:r w:rsidDel="00000000" w:rsidR="00000000" w:rsidRPr="00000000">
        <w:rPr>
          <w:i w:val="1"/>
          <w:iCs w:val="1"/>
          <w:rtl w:val="0"/>
        </w:rPr>
        <w:t xml:space="preserve">Ciência, tecnologia e inovação: Desafio para a sociedade brasileira: Livro verde</w:t>
      </w:r>
      <w:r w:rsidDel="00000000" w:rsidR="00000000" w:rsidRPr="00000000">
        <w:rPr>
          <w:rtl w:val="0"/>
        </w:rPr>
        <w:t xml:space="preserve">.</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https://livroaberto.ibict.br/handle/123456789/859</w:t>
        </w:r>
      </w:hyperlink>
      <w:r w:rsidDel="00000000" w:rsidR="00000000" w:rsidRPr="00000000">
        <w:rPr>
          <w:rtl w:val="0"/>
        </w:rPr>
      </w:r>
    </w:p>
    <w:p w:rsidR="00000000" w:rsidDel="00000000" w:rsidP="00000000" w:rsidRDefault="00000000" w:rsidRPr="00000000" w14:paraId="000002E9">
      <w:pPr>
        <w:widowControl w:val="0"/>
        <w:spacing w:before="8.8092041015625" w:line="248.30357551574707" w:lineRule="auto"/>
        <w:ind w:left="720" w:right="0.263671875"/>
        <w:rPr/>
      </w:pPr>
      <w:r w:rsidDel="00000000" w:rsidR="00000000" w:rsidRPr="00000000">
        <w:rPr>
          <w:rtl w:val="0"/>
        </w:rPr>
        <w:t xml:space="preserve">Ministério da Ciência e Tecnologia. (2002). </w:t>
      </w:r>
      <w:r w:rsidDel="00000000" w:rsidR="00000000" w:rsidRPr="00000000">
        <w:rPr>
          <w:i w:val="1"/>
          <w:iCs w:val="1"/>
          <w:rtl w:val="0"/>
        </w:rPr>
        <w:t xml:space="preserve">Livro branco: Ciência, tecnologia e inovação</w:t>
      </w:r>
      <w:r w:rsidDel="00000000" w:rsidR="00000000" w:rsidRPr="00000000">
        <w:rPr>
          <w:rtl w:val="0"/>
        </w:rPr>
        <w:t xml:space="preserve">.</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https://livroaberto.ibict.br/handle/123456789/720</w:t>
        </w:r>
      </w:hyperlink>
      <w:r w:rsidDel="00000000" w:rsidR="00000000" w:rsidRPr="00000000">
        <w:rPr>
          <w:rtl w:val="0"/>
        </w:rPr>
      </w:r>
    </w:p>
    <w:p w:rsidR="00000000" w:rsidDel="00000000" w:rsidP="00000000" w:rsidRDefault="00000000" w:rsidRPr="00000000" w14:paraId="000002EA">
      <w:pPr>
        <w:widowControl w:val="0"/>
        <w:spacing w:before="8.8092041015625" w:line="248.30357551574707" w:lineRule="auto"/>
        <w:ind w:left="720" w:right="0.263671875"/>
        <w:rPr/>
      </w:pPr>
      <w:r w:rsidDel="00000000" w:rsidR="00000000" w:rsidRPr="00000000">
        <w:rPr>
          <w:rtl w:val="0"/>
        </w:rPr>
        <w:t xml:space="preserve">Ministério da Ciência e Tecnologia, &amp; Centro de Gestão e Estudos Estratégicos. (2010). </w:t>
      </w:r>
      <w:r w:rsidDel="00000000" w:rsidR="00000000" w:rsidRPr="00000000">
        <w:rPr>
          <w:i w:val="1"/>
          <w:iCs w:val="1"/>
          <w:rtl w:val="0"/>
        </w:rPr>
        <w:t xml:space="preserve">Livro azul: 4ª conferência nacional de ciência, tecnologia e inovação para o desenvolvimento sustentável</w:t>
      </w:r>
      <w:r w:rsidDel="00000000" w:rsidR="00000000" w:rsidRPr="00000000">
        <w:rPr>
          <w:rtl w:val="0"/>
        </w:rPr>
        <w:t xml:space="preserve">.</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https://livroaberto.ibict.br/handle/123456789/677</w:t>
        </w:r>
      </w:hyperlink>
      <w:r w:rsidDel="00000000" w:rsidR="00000000" w:rsidRPr="00000000">
        <w:rPr>
          <w:rtl w:val="0"/>
        </w:rPr>
      </w:r>
    </w:p>
    <w:p w:rsidR="00000000" w:rsidDel="00000000" w:rsidP="00000000" w:rsidRDefault="00000000" w:rsidRPr="00000000" w14:paraId="000002EB">
      <w:pPr>
        <w:widowControl w:val="0"/>
        <w:spacing w:before="8.8134765625" w:line="248.30520629882812" w:lineRule="auto"/>
        <w:ind w:left="715.4109191894531" w:right="0.216064453125" w:hanging="704.2909240722656"/>
        <w:jc w:val="both"/>
        <w:rPr/>
      </w:pPr>
      <w:r w:rsidDel="00000000" w:rsidR="00000000" w:rsidRPr="00000000">
        <w:rPr>
          <w:rtl w:val="0"/>
        </w:rPr>
        <w:t xml:space="preserve">Nery Furlan Mendes, A., &amp; Goulart, D. (2021). Contribuições do Projeto de Iniciação Científica júnior (Pic-jr) para o ensino aprendizagem de química e formação dos alunos bolsistas da ed ucação básica. </w:t>
      </w:r>
      <w:r w:rsidDel="00000000" w:rsidR="00000000" w:rsidRPr="00000000">
        <w:rPr>
          <w:i w:val="1"/>
          <w:iCs w:val="1"/>
          <w:rtl w:val="0"/>
        </w:rPr>
        <w:t xml:space="preserve">Anais do 20º Encontro Nacional de Ensino de Química (ENEQ Pernambuco)</w:t>
      </w:r>
      <w:r w:rsidDel="00000000" w:rsidR="00000000" w:rsidRPr="00000000">
        <w:rPr>
          <w:rtl w:val="0"/>
        </w:rPr>
        <w:t xml:space="preserve">. </w:t>
      </w:r>
      <w:hyperlink r:id="rId40">
        <w:r w:rsidDel="00000000" w:rsidR="00000000" w:rsidRPr="00000000">
          <w:rPr>
            <w:color w:val="1155cc"/>
            <w:u w:val="single"/>
            <w:rtl w:val="0"/>
          </w:rPr>
          <w:t xml:space="preserve">https://doi.org/10.29327/ENEQPE2020.246442</w:t>
        </w:r>
      </w:hyperlink>
      <w:r w:rsidDel="00000000" w:rsidR="00000000" w:rsidRPr="00000000">
        <w:rPr>
          <w:rtl w:val="0"/>
        </w:rPr>
        <w:t xml:space="preserve">  </w:t>
      </w:r>
    </w:p>
    <w:p w:rsidR="00000000" w:rsidDel="00000000" w:rsidP="00000000" w:rsidRDefault="00000000" w:rsidRPr="00000000" w14:paraId="000002EC">
      <w:pPr>
        <w:widowControl w:val="0"/>
        <w:spacing w:before="8.8165283203125" w:line="248.3081817626953" w:lineRule="auto"/>
        <w:ind w:left="730.9017944335938" w:right="0.283203125" w:hanging="714.7636413574219"/>
        <w:jc w:val="both"/>
        <w:rPr/>
      </w:pPr>
      <w:r w:rsidDel="00000000" w:rsidR="00000000" w:rsidRPr="00000000">
        <w:rPr>
          <w:rtl w:val="0"/>
        </w:rPr>
        <w:t xml:space="preserve">Oliveira, A. D., &amp; Bianchetti, L. (2018). Iniciação Científica Júnior: Desafios à materialização de um círculo virtuoso. </w:t>
      </w:r>
      <w:r w:rsidDel="00000000" w:rsidR="00000000" w:rsidRPr="00000000">
        <w:rPr>
          <w:i w:val="1"/>
          <w:iCs w:val="1"/>
          <w:rtl w:val="0"/>
        </w:rPr>
        <w:t xml:space="preserve">Ensaio: Avaliação e Políticas Públicas em Educação</w:t>
      </w:r>
      <w:r w:rsidDel="00000000" w:rsidR="00000000" w:rsidRPr="00000000">
        <w:rPr>
          <w:rtl w:val="0"/>
        </w:rPr>
        <w:t xml:space="preserve">, </w:t>
      </w:r>
      <w:r w:rsidDel="00000000" w:rsidR="00000000" w:rsidRPr="00000000">
        <w:rPr>
          <w:i w:val="1"/>
          <w:iCs w:val="1"/>
          <w:rtl w:val="0"/>
        </w:rPr>
        <w:t xml:space="preserve">26</w:t>
      </w:r>
      <w:r w:rsidDel="00000000" w:rsidR="00000000" w:rsidRPr="00000000">
        <w:rPr>
          <w:rtl w:val="0"/>
        </w:rPr>
        <w:t xml:space="preserve">(98), 133–162. </w:t>
      </w:r>
      <w:hyperlink r:id="rId41">
        <w:r w:rsidDel="00000000" w:rsidR="00000000" w:rsidRPr="00000000">
          <w:rPr>
            <w:color w:val="1155cc"/>
            <w:u w:val="single"/>
            <w:rtl w:val="0"/>
          </w:rPr>
          <w:t xml:space="preserve">https://doi.org/10.1590/s0104-40362018002600952</w:t>
        </w:r>
      </w:hyperlink>
      <w:r w:rsidDel="00000000" w:rsidR="00000000" w:rsidRPr="00000000">
        <w:rPr>
          <w:rtl w:val="0"/>
        </w:rPr>
        <w:t xml:space="preserve">  </w:t>
      </w:r>
    </w:p>
    <w:p w:rsidR="00000000" w:rsidDel="00000000" w:rsidP="00000000" w:rsidRDefault="00000000" w:rsidRPr="00000000" w14:paraId="000002ED">
      <w:pPr>
        <w:widowControl w:val="0"/>
        <w:spacing w:before="8.80889892578125" w:line="248.29862594604492" w:lineRule="auto"/>
        <w:ind w:left="730.6924438476562" w:right="37.816162109375" w:hanging="714.5542907714844"/>
        <w:jc w:val="both"/>
        <w:rPr/>
      </w:pPr>
      <w:r w:rsidDel="00000000" w:rsidR="00000000" w:rsidRPr="00000000">
        <w:rPr>
          <w:rtl w:val="0"/>
        </w:rPr>
        <w:t xml:space="preserve">Oliveira, J. D. A., &amp; Silva, Y. F. D. O. E. (2021). Orientações Político Pedagógicas Da Educação Profissional Técnica. </w:t>
      </w:r>
      <w:r w:rsidDel="00000000" w:rsidR="00000000" w:rsidRPr="00000000">
        <w:rPr>
          <w:i w:val="1"/>
          <w:iCs w:val="1"/>
          <w:rtl w:val="0"/>
        </w:rPr>
        <w:t xml:space="preserve">Revista Brasileira da Educação Profissional e Tecnológica</w:t>
      </w:r>
      <w:r w:rsidDel="00000000" w:rsidR="00000000" w:rsidRPr="00000000">
        <w:rPr>
          <w:rtl w:val="0"/>
        </w:rPr>
        <w:t xml:space="preserve">, </w:t>
      </w:r>
      <w:r w:rsidDel="00000000" w:rsidR="00000000" w:rsidRPr="00000000">
        <w:rPr>
          <w:i w:val="1"/>
          <w:iCs w:val="1"/>
          <w:rtl w:val="0"/>
        </w:rPr>
        <w:t xml:space="preserve">1</w:t>
      </w:r>
      <w:r w:rsidDel="00000000" w:rsidR="00000000" w:rsidRPr="00000000">
        <w:rPr>
          <w:rtl w:val="0"/>
        </w:rPr>
        <w:t xml:space="preserve">(20), e9757. </w:t>
      </w:r>
      <w:hyperlink r:id="rId42">
        <w:r w:rsidDel="00000000" w:rsidR="00000000" w:rsidRPr="00000000">
          <w:rPr>
            <w:color w:val="1155cc"/>
            <w:u w:val="single"/>
            <w:rtl w:val="0"/>
          </w:rPr>
          <w:t xml:space="preserve">https://doi.org/10.15628/rbept.2021.9757</w:t>
        </w:r>
      </w:hyperlink>
      <w:r w:rsidDel="00000000" w:rsidR="00000000" w:rsidRPr="00000000">
        <w:rPr>
          <w:rtl w:val="0"/>
        </w:rPr>
        <w:t xml:space="preserve">  </w:t>
      </w:r>
    </w:p>
    <w:p w:rsidR="00000000" w:rsidDel="00000000" w:rsidP="00000000" w:rsidRDefault="00000000" w:rsidRPr="00000000" w14:paraId="000002EE">
      <w:pPr>
        <w:widowControl w:val="0"/>
        <w:spacing w:before="8.81744384765625" w:line="248.3078384399414" w:lineRule="auto"/>
        <w:ind w:left="730.9017944335938" w:right="0.355224609375" w:hanging="714.7636413574219"/>
        <w:jc w:val="both"/>
        <w:rPr/>
      </w:pPr>
      <w:r w:rsidDel="00000000" w:rsidR="00000000" w:rsidRPr="00000000">
        <w:rPr>
          <w:rtl w:val="0"/>
        </w:rPr>
        <w:t xml:space="preserve">Oliveira, V. H. N. O., &amp; Vasques, D. G. (2023). Estado do conhecimento sobre iniciação científica na educação básica. </w:t>
      </w:r>
      <w:r w:rsidDel="00000000" w:rsidR="00000000" w:rsidRPr="00000000">
        <w:rPr>
          <w:i w:val="1"/>
          <w:iCs w:val="1"/>
          <w:rtl w:val="0"/>
        </w:rPr>
        <w:t xml:space="preserve">Revista Eletrônica de Educação</w:t>
      </w:r>
      <w:r w:rsidDel="00000000" w:rsidR="00000000" w:rsidRPr="00000000">
        <w:rPr>
          <w:rtl w:val="0"/>
        </w:rPr>
        <w:t xml:space="preserve">, </w:t>
      </w:r>
      <w:r w:rsidDel="00000000" w:rsidR="00000000" w:rsidRPr="00000000">
        <w:rPr>
          <w:i w:val="1"/>
          <w:iCs w:val="1"/>
          <w:rtl w:val="0"/>
        </w:rPr>
        <w:t xml:space="preserve">17</w:t>
      </w:r>
      <w:r w:rsidDel="00000000" w:rsidR="00000000" w:rsidRPr="00000000">
        <w:rPr>
          <w:rtl w:val="0"/>
        </w:rPr>
        <w:t xml:space="preserve">, e5292104. </w:t>
      </w:r>
      <w:hyperlink r:id="rId43">
        <w:r w:rsidDel="00000000" w:rsidR="00000000" w:rsidRPr="00000000">
          <w:rPr>
            <w:color w:val="1155cc"/>
            <w:u w:val="single"/>
            <w:rtl w:val="0"/>
          </w:rPr>
          <w:t xml:space="preserve">https://doi.org/10.14244/198271995292</w:t>
        </w:r>
      </w:hyperlink>
      <w:r w:rsidDel="00000000" w:rsidR="00000000" w:rsidRPr="00000000">
        <w:rPr>
          <w:rtl w:val="0"/>
        </w:rPr>
        <w:t xml:space="preserve">  </w:t>
      </w:r>
    </w:p>
    <w:p w:rsidR="00000000" w:rsidDel="00000000" w:rsidP="00000000" w:rsidRDefault="00000000" w:rsidRPr="00000000" w14:paraId="000002EF">
      <w:pPr>
        <w:widowControl w:val="0"/>
        <w:spacing w:before="8.8092041015625" w:line="248.30486297607422" w:lineRule="auto"/>
        <w:ind w:left="730.0291442871094" w:right="10.03662109375" w:hanging="718.4727478027344"/>
        <w:jc w:val="both"/>
        <w:rPr/>
      </w:pPr>
      <w:r w:rsidDel="00000000" w:rsidR="00000000" w:rsidRPr="00000000">
        <w:rPr>
          <w:rtl w:val="0"/>
        </w:rPr>
        <w:t xml:space="preserve">Peters‐Burton, E., Rich, P. J., Kitsantas, A., Stehle, S. M., &amp; Laclede, L. (2023). High school biol ogy teachers’ integration of computational thinking into data practices to support student investigations. </w:t>
      </w:r>
      <w:r w:rsidDel="00000000" w:rsidR="00000000" w:rsidRPr="00000000">
        <w:rPr>
          <w:i w:val="1"/>
          <w:iCs w:val="1"/>
          <w:rtl w:val="0"/>
        </w:rPr>
        <w:t xml:space="preserve">Journal of Research in Science Teaching</w:t>
      </w:r>
      <w:r w:rsidDel="00000000" w:rsidR="00000000" w:rsidRPr="00000000">
        <w:rPr>
          <w:rtl w:val="0"/>
        </w:rPr>
        <w:t xml:space="preserve">, </w:t>
      </w:r>
      <w:r w:rsidDel="00000000" w:rsidR="00000000" w:rsidRPr="00000000">
        <w:rPr>
          <w:i w:val="1"/>
          <w:iCs w:val="1"/>
          <w:rtl w:val="0"/>
        </w:rPr>
        <w:t xml:space="preserve">60</w:t>
      </w:r>
      <w:r w:rsidDel="00000000" w:rsidR="00000000" w:rsidRPr="00000000">
        <w:rPr>
          <w:rtl w:val="0"/>
        </w:rPr>
        <w:t xml:space="preserve">(6), 1353–1384. </w:t>
      </w:r>
      <w:hyperlink r:id="rId44">
        <w:r w:rsidDel="00000000" w:rsidR="00000000" w:rsidRPr="00000000">
          <w:rPr>
            <w:color w:val="1155cc"/>
            <w:u w:val="single"/>
            <w:rtl w:val="0"/>
          </w:rPr>
          <w:t xml:space="preserve">https://doi.org/10.1002/tea.21834</w:t>
        </w:r>
      </w:hyperlink>
      <w:r w:rsidDel="00000000" w:rsidR="00000000" w:rsidRPr="00000000">
        <w:rPr>
          <w:rtl w:val="0"/>
        </w:rPr>
        <w:t xml:space="preserve">   </w:t>
      </w:r>
    </w:p>
    <w:p w:rsidR="00000000" w:rsidDel="00000000" w:rsidP="00000000" w:rsidRDefault="00000000" w:rsidRPr="00000000" w14:paraId="000002F0">
      <w:pPr>
        <w:widowControl w:val="0"/>
        <w:spacing w:before="8.810577392578125" w:line="248.29891204833984" w:lineRule="auto"/>
        <w:ind w:left="736.1381530761719" w:right="0.218505859375" w:hanging="720"/>
        <w:rPr/>
      </w:pPr>
      <w:r w:rsidDel="00000000" w:rsidR="00000000" w:rsidRPr="00000000">
        <w:rPr>
          <w:rtl w:val="0"/>
        </w:rPr>
        <w:t xml:space="preserve">Saw, G., Swagerty, B., Brewington, S., Chang, C.-N., &amp; Culbertson, R. (2019). Out-of-school time STEM program: Students’ attitudes toward and career interests in mathematics and science. </w:t>
      </w:r>
      <w:r w:rsidDel="00000000" w:rsidR="00000000" w:rsidRPr="00000000">
        <w:rPr>
          <w:i w:val="1"/>
          <w:iCs w:val="1"/>
          <w:rtl w:val="0"/>
        </w:rPr>
        <w:t xml:space="preserve">International Journal of Evaluation and Research in Education (IJERE)</w:t>
      </w:r>
      <w:r w:rsidDel="00000000" w:rsidR="00000000" w:rsidRPr="00000000">
        <w:rPr>
          <w:rtl w:val="0"/>
        </w:rPr>
        <w:t xml:space="preserve">, </w:t>
      </w:r>
      <w:r w:rsidDel="00000000" w:rsidR="00000000" w:rsidRPr="00000000">
        <w:rPr>
          <w:i w:val="1"/>
          <w:iCs w:val="1"/>
          <w:rtl w:val="0"/>
        </w:rPr>
        <w:t xml:space="preserve">8</w:t>
      </w:r>
      <w:r w:rsidDel="00000000" w:rsidR="00000000" w:rsidRPr="00000000">
        <w:rPr>
          <w:rtl w:val="0"/>
        </w:rPr>
        <w:t xml:space="preserve">(2), 356. https: //</w:t>
      </w:r>
      <w:hyperlink r:id="rId45">
        <w:r w:rsidDel="00000000" w:rsidR="00000000" w:rsidRPr="00000000">
          <w:rPr>
            <w:color w:val="1155cc"/>
            <w:u w:val="single"/>
            <w:rtl w:val="0"/>
          </w:rPr>
          <w:t xml:space="preserve">doi.org/10.11591/ijere.v8i2.18702</w:t>
        </w:r>
      </w:hyperlink>
      <w:r w:rsidDel="00000000" w:rsidR="00000000" w:rsidRPr="00000000">
        <w:rPr>
          <w:rtl w:val="0"/>
        </w:rPr>
        <w:t xml:space="preserve">   </w:t>
      </w:r>
    </w:p>
    <w:p w:rsidR="00000000" w:rsidDel="00000000" w:rsidP="00000000" w:rsidRDefault="00000000" w:rsidRPr="00000000" w14:paraId="000002F1">
      <w:pPr>
        <w:widowControl w:val="0"/>
        <w:spacing w:before="8.817138671875" w:line="248.3045196533203" w:lineRule="auto"/>
        <w:ind w:left="714.3180847167969" w:right="12.535400390625" w:hanging="698.179931640625"/>
        <w:jc w:val="both"/>
        <w:rPr/>
      </w:pPr>
      <w:r w:rsidDel="00000000" w:rsidR="00000000" w:rsidRPr="00000000">
        <w:rPr>
          <w:rtl w:val="0"/>
        </w:rPr>
        <w:t xml:space="preserve">Schiffer, J. M., Lyman, J., Byrd, D., Silverstein, H., &amp; Halls, M. D. (2020). Microplastics Out reach Program: A Systems-Thinking Approach To Teach High School Students about the Chemistry and Impacts of Plastics. </w:t>
      </w:r>
      <w:r w:rsidDel="00000000" w:rsidR="00000000" w:rsidRPr="00000000">
        <w:rPr>
          <w:i w:val="1"/>
          <w:iCs w:val="1"/>
          <w:rtl w:val="0"/>
        </w:rPr>
        <w:t xml:space="preserve">Journal of Chemical Education</w:t>
      </w:r>
      <w:r w:rsidDel="00000000" w:rsidR="00000000" w:rsidRPr="00000000">
        <w:rPr>
          <w:rtl w:val="0"/>
        </w:rPr>
        <w:t xml:space="preserve">, </w:t>
      </w:r>
      <w:r w:rsidDel="00000000" w:rsidR="00000000" w:rsidRPr="00000000">
        <w:rPr>
          <w:i w:val="1"/>
          <w:iCs w:val="1"/>
          <w:rtl w:val="0"/>
        </w:rPr>
        <w:t xml:space="preserve">97</w:t>
      </w:r>
      <w:r w:rsidDel="00000000" w:rsidR="00000000" w:rsidRPr="00000000">
        <w:rPr>
          <w:rtl w:val="0"/>
        </w:rPr>
        <w:t xml:space="preserve">(1), 137–142. https: //</w:t>
      </w:r>
      <w:hyperlink r:id="rId46">
        <w:r w:rsidDel="00000000" w:rsidR="00000000" w:rsidRPr="00000000">
          <w:rPr>
            <w:color w:val="1155cc"/>
            <w:u w:val="single"/>
            <w:rtl w:val="0"/>
          </w:rPr>
          <w:t xml:space="preserve">doi.org/10.1021/acs.jchemed.9b00249</w:t>
        </w:r>
      </w:hyperlink>
      <w:r w:rsidDel="00000000" w:rsidR="00000000" w:rsidRPr="00000000">
        <w:rPr>
          <w:rtl w:val="0"/>
        </w:rPr>
        <w:t xml:space="preserve">  </w:t>
      </w:r>
    </w:p>
    <w:p w:rsidR="00000000" w:rsidDel="00000000" w:rsidP="00000000" w:rsidRDefault="00000000" w:rsidRPr="00000000" w14:paraId="000002F2">
      <w:pPr>
        <w:widowControl w:val="0"/>
        <w:spacing w:before="8.812255859375" w:line="248.2979965209961" w:lineRule="auto"/>
        <w:ind w:left="731.3381958007812" w:right="0.21728515625" w:hanging="715.2000427246094"/>
        <w:jc w:val="both"/>
        <w:rPr/>
      </w:pPr>
      <w:r w:rsidDel="00000000" w:rsidR="00000000" w:rsidRPr="00000000">
        <w:rPr>
          <w:rtl w:val="0"/>
        </w:rPr>
        <w:t xml:space="preserve">Silva, C. G. da, &amp; Melo, L. C. P. de (Eds.). (2001). </w:t>
      </w:r>
      <w:r w:rsidDel="00000000" w:rsidR="00000000" w:rsidRPr="00000000">
        <w:rPr>
          <w:i w:val="1"/>
          <w:iCs w:val="1"/>
          <w:rtl w:val="0"/>
        </w:rPr>
        <w:t xml:space="preserve">Ciência, tecnologia e inovação: Desafio para a sociedade brasileira: Livro verde</w:t>
      </w:r>
      <w:r w:rsidDel="00000000" w:rsidR="00000000" w:rsidRPr="00000000">
        <w:rPr>
          <w:rtl w:val="0"/>
        </w:rPr>
        <w:t xml:space="preserve">. Ministério da Ciência e Tecnologia; Academia Brasileira de Ciências.</w:t>
      </w:r>
      <w:hyperlink r:id="rId47">
        <w:r w:rsidDel="00000000" w:rsidR="00000000" w:rsidRPr="00000000">
          <w:rPr>
            <w:rtl w:val="0"/>
          </w:rPr>
          <w:t xml:space="preserve"> </w:t>
        </w:r>
      </w:hyperlink>
      <w:hyperlink r:id="rId48">
        <w:r w:rsidDel="00000000" w:rsidR="00000000" w:rsidRPr="00000000">
          <w:rPr>
            <w:color w:val="1155cc"/>
            <w:u w:val="single"/>
            <w:rtl w:val="0"/>
          </w:rPr>
          <w:t xml:space="preserve">https://livroaberto.ibict.br/handle/123456789/859</w:t>
        </w:r>
      </w:hyperlink>
      <w:r w:rsidDel="00000000" w:rsidR="00000000" w:rsidRPr="00000000">
        <w:rPr>
          <w:rtl w:val="0"/>
        </w:rPr>
      </w:r>
    </w:p>
    <w:p w:rsidR="00000000" w:rsidDel="00000000" w:rsidP="00000000" w:rsidRDefault="00000000" w:rsidRPr="00000000" w14:paraId="000002F3">
      <w:pPr>
        <w:widowControl w:val="0"/>
        <w:spacing w:before="8.836669921875" w:line="248.29854011535645" w:lineRule="auto"/>
        <w:ind w:left="731.1199951171875" w:right="18.763427734375" w:hanging="714.9818420410156"/>
        <w:rPr/>
      </w:pPr>
      <w:r w:rsidDel="00000000" w:rsidR="00000000" w:rsidRPr="00000000">
        <w:rPr>
          <w:rtl w:val="0"/>
        </w:rPr>
        <w:t xml:space="preserve">Silva, K. L. (2023). </w:t>
      </w:r>
      <w:r w:rsidDel="00000000" w:rsidR="00000000" w:rsidRPr="00000000">
        <w:rPr>
          <w:i w:val="1"/>
          <w:iCs w:val="1"/>
          <w:rtl w:val="0"/>
        </w:rPr>
        <w:t xml:space="preserve">Contribuições e desafios da iniciação científica júnior</w:t>
      </w:r>
      <w:r w:rsidDel="00000000" w:rsidR="00000000" w:rsidRPr="00000000">
        <w:rPr>
          <w:rtl w:val="0"/>
        </w:rPr>
        <w:t xml:space="preserve"> [Dissertação de mestrado, Universidade Federal de Viçosa]. Locus Repositório Institucional da UFV.</w:t>
      </w:r>
      <w:hyperlink r:id="rId49">
        <w:r w:rsidDel="00000000" w:rsidR="00000000" w:rsidRPr="00000000">
          <w:rPr>
            <w:rtl w:val="0"/>
          </w:rPr>
          <w:t xml:space="preserve"> </w:t>
        </w:r>
      </w:hyperlink>
      <w:hyperlink r:id="rId50">
        <w:r w:rsidDel="00000000" w:rsidR="00000000" w:rsidRPr="00000000">
          <w:rPr>
            <w:color w:val="1155cc"/>
            <w:u w:val="single"/>
            <w:rtl w:val="0"/>
          </w:rPr>
          <w:t xml:space="preserve">https://locus.ufv.br//handle/123456789/31917</w:t>
        </w:r>
      </w:hyperlink>
      <w:r w:rsidDel="00000000" w:rsidR="00000000" w:rsidRPr="00000000">
        <w:rPr>
          <w:rtl w:val="0"/>
        </w:rPr>
      </w:r>
    </w:p>
    <w:p w:rsidR="00000000" w:rsidDel="00000000" w:rsidP="00000000" w:rsidRDefault="00000000" w:rsidRPr="00000000" w14:paraId="000002F4">
      <w:pPr>
        <w:widowControl w:val="0"/>
        <w:spacing w:before="8.817138671875" w:line="248.3048915863037" w:lineRule="auto"/>
        <w:ind w:left="630" w:right="12.435302734375"/>
        <w:rPr/>
      </w:pPr>
      <w:r w:rsidDel="00000000" w:rsidR="00000000" w:rsidRPr="00000000">
        <w:rPr>
          <w:rtl w:val="0"/>
        </w:rPr>
        <w:t xml:space="preserve">Silveira, Z. S. (2015). Formação científica no nível médio de ensino: Primeiras aproximações. </w:t>
      </w:r>
      <w:r w:rsidDel="00000000" w:rsidR="00000000" w:rsidRPr="00000000">
        <w:rPr>
          <w:i w:val="1"/>
          <w:iCs w:val="1"/>
          <w:rtl w:val="0"/>
        </w:rPr>
        <w:t xml:space="preserve">Boletim Técnico do Senac, 41</w:t>
      </w:r>
      <w:r w:rsidDel="00000000" w:rsidR="00000000" w:rsidRPr="00000000">
        <w:rPr>
          <w:rtl w:val="0"/>
        </w:rPr>
        <w:t xml:space="preserve">(1), 36–57.</w:t>
      </w:r>
      <w:hyperlink r:id="rId51">
        <w:r w:rsidDel="00000000" w:rsidR="00000000" w:rsidRPr="00000000">
          <w:rPr>
            <w:rtl w:val="0"/>
          </w:rPr>
          <w:t xml:space="preserve"> </w:t>
        </w:r>
      </w:hyperlink>
      <w:hyperlink r:id="rId52">
        <w:r w:rsidDel="00000000" w:rsidR="00000000" w:rsidRPr="00000000">
          <w:rPr>
            <w:color w:val="1155cc"/>
            <w:u w:val="single"/>
            <w:rtl w:val="0"/>
          </w:rPr>
          <w:t xml:space="preserve">https://www.bts.senac.br/bts/article/view/55</w:t>
        </w:r>
      </w:hyperlink>
      <w:r w:rsidDel="00000000" w:rsidR="00000000" w:rsidRPr="00000000">
        <w:rPr>
          <w:rtl w:val="0"/>
        </w:rPr>
      </w:r>
    </w:p>
    <w:p w:rsidR="00000000" w:rsidDel="00000000" w:rsidP="00000000" w:rsidRDefault="00000000" w:rsidRPr="00000000" w14:paraId="000002F5">
      <w:pPr>
        <w:widowControl w:val="0"/>
        <w:spacing w:before="8.817138671875" w:line="248.3048915863037" w:lineRule="auto"/>
        <w:ind w:left="630" w:right="12.435302734375"/>
        <w:rPr/>
      </w:pPr>
      <w:r w:rsidDel="00000000" w:rsidR="00000000" w:rsidRPr="00000000">
        <w:rPr>
          <w:rtl w:val="0"/>
        </w:rPr>
        <w:t xml:space="preserve">Snitynsky, R. B., Rose, K., &amp; Pegg, J. M. (2019). Partnering Teachers and Scientists: Translating Carbohydrate Research into Curriculum Resources for Secondary Science Classrooms. </w:t>
      </w:r>
      <w:r w:rsidDel="00000000" w:rsidR="00000000" w:rsidRPr="00000000">
        <w:rPr>
          <w:i w:val="1"/>
          <w:iCs w:val="1"/>
          <w:rtl w:val="0"/>
        </w:rPr>
        <w:t xml:space="preserve">Jour nal of Chemical Education</w:t>
      </w:r>
      <w:r w:rsidDel="00000000" w:rsidR="00000000" w:rsidRPr="00000000">
        <w:rPr>
          <w:rtl w:val="0"/>
        </w:rPr>
        <w:t xml:space="preserve">, </w:t>
      </w:r>
      <w:r w:rsidDel="00000000" w:rsidR="00000000" w:rsidRPr="00000000">
        <w:rPr>
          <w:i w:val="1"/>
          <w:iCs w:val="1"/>
          <w:rtl w:val="0"/>
        </w:rPr>
        <w:t xml:space="preserve">96</w:t>
      </w:r>
      <w:r w:rsidDel="00000000" w:rsidR="00000000" w:rsidRPr="00000000">
        <w:rPr>
          <w:rtl w:val="0"/>
        </w:rPr>
        <w:t xml:space="preserve">(4), 685–690. </w:t>
      </w:r>
      <w:hyperlink r:id="rId53">
        <w:r w:rsidDel="00000000" w:rsidR="00000000" w:rsidRPr="00000000">
          <w:rPr>
            <w:color w:val="1155cc"/>
            <w:u w:val="single"/>
            <w:rtl w:val="0"/>
          </w:rPr>
          <w:t xml:space="preserve">https://doi.org/10.1021/acs.jchemed.8b00793</w:t>
        </w:r>
      </w:hyperlink>
      <w:r w:rsidDel="00000000" w:rsidR="00000000" w:rsidRPr="00000000">
        <w:rPr>
          <w:rtl w:val="0"/>
        </w:rPr>
        <w:t xml:space="preserve">  </w:t>
      </w:r>
    </w:p>
    <w:p w:rsidR="00000000" w:rsidDel="00000000" w:rsidP="00000000" w:rsidRDefault="00000000" w:rsidRPr="00000000" w14:paraId="000002F6">
      <w:pPr>
        <w:widowControl w:val="0"/>
        <w:spacing w:before="8.817138671875" w:line="248.3048915863037" w:lineRule="auto"/>
        <w:ind w:left="630" w:right="12.435302734375"/>
        <w:rPr/>
      </w:pPr>
      <w:r w:rsidDel="00000000" w:rsidR="00000000" w:rsidRPr="00000000">
        <w:rPr>
          <w:rtl w:val="0"/>
        </w:rPr>
        <w:t xml:space="preserve">Souza, R. M. D. Q., Couto, J. C. D., &amp; Couto, L. S. M. D. (2021). Iniciação científica para alunos da educação básica: Uma pesquisa-ação em Escolas Públicas Paulistas. </w:t>
      </w:r>
      <w:r w:rsidDel="00000000" w:rsidR="00000000" w:rsidRPr="00000000">
        <w:rPr>
          <w:i w:val="1"/>
          <w:iCs w:val="1"/>
          <w:rtl w:val="0"/>
        </w:rPr>
        <w:t xml:space="preserve">Cadernos CERU</w:t>
      </w:r>
      <w:r w:rsidDel="00000000" w:rsidR="00000000" w:rsidRPr="00000000">
        <w:rPr>
          <w:rtl w:val="0"/>
        </w:rPr>
        <w:t xml:space="preserve">, </w:t>
      </w:r>
      <w:r w:rsidDel="00000000" w:rsidR="00000000" w:rsidRPr="00000000">
        <w:rPr>
          <w:i w:val="1"/>
          <w:iCs w:val="1"/>
          <w:rtl w:val="0"/>
        </w:rPr>
        <w:t xml:space="preserve">32</w:t>
      </w:r>
      <w:r w:rsidDel="00000000" w:rsidR="00000000" w:rsidRPr="00000000">
        <w:rPr>
          <w:rtl w:val="0"/>
        </w:rPr>
        <w:t xml:space="preserve">(1), 253–263. </w:t>
      </w:r>
      <w:hyperlink r:id="rId54">
        <w:r w:rsidDel="00000000" w:rsidR="00000000" w:rsidRPr="00000000">
          <w:rPr>
            <w:color w:val="1155cc"/>
            <w:u w:val="single"/>
            <w:rtl w:val="0"/>
          </w:rPr>
          <w:t xml:space="preserve">https://doi.org/10.11606/issn.2595-2536.v32i1p253-263</w:t>
        </w:r>
      </w:hyperlink>
      <w:r w:rsidDel="00000000" w:rsidR="00000000" w:rsidRPr="00000000">
        <w:rPr>
          <w:rtl w:val="0"/>
        </w:rPr>
        <w:t xml:space="preserve">  </w:t>
      </w:r>
    </w:p>
    <w:p w:rsidR="00000000" w:rsidDel="00000000" w:rsidP="00000000" w:rsidRDefault="00000000" w:rsidRPr="00000000" w14:paraId="000002F7">
      <w:pPr>
        <w:widowControl w:val="0"/>
        <w:spacing w:before="8.812255859375" w:line="248.29922676086426" w:lineRule="auto"/>
        <w:ind w:left="730.0291442871094" w:right="12.440185546875" w:hanging="718.2545471191406"/>
        <w:jc w:val="both"/>
        <w:rPr/>
      </w:pPr>
      <w:r w:rsidDel="00000000" w:rsidR="00000000" w:rsidRPr="00000000">
        <w:rPr>
          <w:rtl w:val="0"/>
        </w:rPr>
        <w:t xml:space="preserve">Taylor, J. A., Adams, C. T., Westbrook, A. L., Creasap Gee, J., Spybrook, J. K., Kowalski, S. M., Gardner, A. L., &amp; Bloom, M. (2022). The effect of a student–teacher–scientist partnership program on high school students’ science achievement and attitudes about scientists. </w:t>
      </w:r>
      <w:r w:rsidDel="00000000" w:rsidR="00000000" w:rsidRPr="00000000">
        <w:rPr>
          <w:i w:val="1"/>
          <w:iCs w:val="1"/>
          <w:rtl w:val="0"/>
        </w:rPr>
        <w:t xml:space="preserve">Journal of Research in Science Teaching</w:t>
      </w:r>
      <w:r w:rsidDel="00000000" w:rsidR="00000000" w:rsidRPr="00000000">
        <w:rPr>
          <w:rtl w:val="0"/>
        </w:rPr>
        <w:t xml:space="preserve">, </w:t>
      </w:r>
      <w:r w:rsidDel="00000000" w:rsidR="00000000" w:rsidRPr="00000000">
        <w:rPr>
          <w:i w:val="1"/>
          <w:iCs w:val="1"/>
          <w:rtl w:val="0"/>
        </w:rPr>
        <w:t xml:space="preserve">59</w:t>
      </w:r>
      <w:r w:rsidDel="00000000" w:rsidR="00000000" w:rsidRPr="00000000">
        <w:rPr>
          <w:rtl w:val="0"/>
        </w:rPr>
        <w:t xml:space="preserve">(3), 423–457. </w:t>
      </w:r>
      <w:hyperlink r:id="rId55">
        <w:r w:rsidDel="00000000" w:rsidR="00000000" w:rsidRPr="00000000">
          <w:rPr>
            <w:color w:val="1155cc"/>
            <w:u w:val="single"/>
            <w:rtl w:val="0"/>
          </w:rPr>
          <w:t xml:space="preserve">https://doi.org/10.1002/tea.21733</w:t>
        </w:r>
      </w:hyperlink>
      <w:r w:rsidDel="00000000" w:rsidR="00000000" w:rsidRPr="00000000">
        <w:rPr>
          <w:rtl w:val="0"/>
        </w:rPr>
        <w:t xml:space="preserve">  </w:t>
      </w:r>
    </w:p>
    <w:p w:rsidR="00000000" w:rsidDel="00000000" w:rsidP="00000000" w:rsidRDefault="00000000" w:rsidRPr="00000000" w14:paraId="000002F8">
      <w:pPr>
        <w:widowControl w:val="0"/>
        <w:spacing w:before="8.836669921875" w:line="248.2990550994873" w:lineRule="auto"/>
        <w:ind w:left="720" w:right="12.43896484375"/>
        <w:rPr/>
      </w:pPr>
      <w:r w:rsidDel="00000000" w:rsidR="00000000" w:rsidRPr="00000000">
        <w:rPr>
          <w:rtl w:val="0"/>
        </w:rPr>
        <w:t xml:space="preserve">Vasques, D. G., &amp; Oliveira, V. H. N. (2020). Scientific initiation in basic school: State of knowledge from scientific articles 2010-2020. </w:t>
      </w:r>
      <w:r w:rsidDel="00000000" w:rsidR="00000000" w:rsidRPr="00000000">
        <w:rPr>
          <w:i w:val="1"/>
          <w:iCs w:val="1"/>
          <w:rtl w:val="0"/>
        </w:rPr>
        <w:t xml:space="preserve">12</w:t>
      </w:r>
      <w:r w:rsidDel="00000000" w:rsidR="00000000" w:rsidRPr="00000000">
        <w:rPr>
          <w:rtl w:val="0"/>
        </w:rPr>
        <w:t xml:space="preserve">. </w:t>
      </w:r>
    </w:p>
    <w:p w:rsidR="00000000" w:rsidDel="00000000" w:rsidP="00000000" w:rsidRDefault="00000000" w:rsidRPr="00000000" w14:paraId="000002F9">
      <w:pPr>
        <w:widowControl w:val="0"/>
        <w:spacing w:before="8.817138671875" w:line="248.3081817626953" w:lineRule="auto"/>
        <w:ind w:left="729.368896484375" w:right="0.40771484375" w:hanging="721.3034057617188"/>
        <w:jc w:val="both"/>
        <w:rPr>
          <w:sz w:val="21.818199157714844"/>
          <w:szCs w:val="21.818199157714844"/>
        </w:rPr>
      </w:pPr>
      <w:r w:rsidDel="00000000" w:rsidR="00000000" w:rsidRPr="00000000">
        <w:rPr>
          <w:rtl w:val="0"/>
        </w:rPr>
        <w:t xml:space="preserve">Vasques, D. G., &amp; Oliveira, V. H. N. (2023). Orientação em Iniciação Científica Júnior: Reflexões e processos de uma pesquisa-ação. </w:t>
      </w:r>
      <w:r w:rsidDel="00000000" w:rsidR="00000000" w:rsidRPr="00000000">
        <w:rPr>
          <w:i w:val="1"/>
          <w:iCs w:val="1"/>
          <w:rtl w:val="0"/>
        </w:rPr>
        <w:t xml:space="preserve">Retratos da Escola</w:t>
      </w:r>
      <w:r w:rsidDel="00000000" w:rsidR="00000000" w:rsidRPr="00000000">
        <w:rPr>
          <w:rtl w:val="0"/>
        </w:rPr>
        <w:t xml:space="preserve">, </w:t>
      </w:r>
      <w:r w:rsidDel="00000000" w:rsidR="00000000" w:rsidRPr="00000000">
        <w:rPr>
          <w:i w:val="1"/>
          <w:iCs w:val="1"/>
          <w:rtl w:val="0"/>
        </w:rPr>
        <w:t xml:space="preserve">17</w:t>
      </w:r>
      <w:r w:rsidDel="00000000" w:rsidR="00000000" w:rsidRPr="00000000">
        <w:rPr>
          <w:rtl w:val="0"/>
        </w:rPr>
        <w:t xml:space="preserve">(37), 351–372. </w:t>
      </w:r>
      <w:hyperlink r:id="rId56">
        <w:r w:rsidDel="00000000" w:rsidR="00000000" w:rsidRPr="00000000">
          <w:rPr>
            <w:color w:val="1155cc"/>
            <w:u w:val="single"/>
            <w:rtl w:val="0"/>
          </w:rPr>
          <w:t xml:space="preserve">https://doi.org/10.22420/rde.v17i37.1506</w:t>
        </w:r>
      </w:hyperlink>
      <w:r w:rsidDel="00000000" w:rsidR="00000000" w:rsidRPr="00000000">
        <w:rPr>
          <w:rtl w:val="0"/>
        </w:rPr>
        <w:t xml:space="preserve">   </w:t>
      </w:r>
      <w:r w:rsidDel="00000000" w:rsidR="00000000" w:rsidRPr="00000000">
        <w:rPr>
          <w:rtl w:val="0"/>
        </w:rPr>
      </w:r>
    </w:p>
    <w:sectPr>
      <w:type w:val="continuous"/>
      <w:pgSz w:h="15840" w:w="12240" w:orient="portrait"/>
      <w:pgMar w:bottom="842.239990234375" w:top="1372.255859375" w:left="1440" w:right="1397.22900390625" w:header="0" w:footer="720"/>
      <w:cols w:equalWidth="0" w:num="1">
        <w:col w:space="0" w:w="9402.76"/>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1">
    <w:p w:rsidR="00000000" w:rsidDel="00000000" w:rsidP="00000000" w:rsidRDefault="00000000" w:rsidRPr="00000000" w14:paraId="000002F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As informações institucionais foram cruzadas com a base de dados do sistema e-MEC. </w:t>
      </w:r>
    </w:p>
  </w:footnote>
  <w:footnote w:id="2">
    <w:p w:rsidR="00000000" w:rsidDel="00000000" w:rsidP="00000000" w:rsidRDefault="00000000" w:rsidRPr="00000000" w14:paraId="000002FB">
      <w:pPr>
        <w:spacing w:line="240" w:lineRule="auto"/>
        <w:jc w:val="both"/>
        <w:rPr>
          <w:vertAlign w:val="superscript"/>
        </w:rPr>
      </w:pPr>
      <w:r w:rsidDel="00000000" w:rsidR="00000000" w:rsidRPr="00000000">
        <w:rPr>
          <w:rStyle w:val="FootnoteReference"/>
          <w:vertAlign w:val="superscript"/>
        </w:rPr>
        <w:footnoteRef/>
      </w:r>
      <w:r w:rsidDel="00000000" w:rsidR="00000000" w:rsidRPr="00000000">
        <w:rPr>
          <w:vertAlign w:val="superscript"/>
          <w:rtl w:val="0"/>
        </w:rPr>
        <w:t xml:space="preserve"> </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O Índice Geral de Cursos (IGC), utilizado pelo Ministério da Educação (MEC), é um indicador de qualidade que avalia as instituições de ensino superior brasileiras, tanto públicas quanto privadas, em uma escala de 1 a 5.</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Calculado por meio de uma média ponderada, o IGC sintetiza a qualidade dos cursos de graduação e de pós-graduação </w:t>
      </w:r>
      <w:r w:rsidDel="00000000" w:rsidR="00000000" w:rsidRPr="00000000">
        <w:rPr>
          <w:rFonts w:ascii="Arial" w:cs="Arial" w:eastAsia="Arial" w:hAnsi="Arial"/>
          <w:b w:val="0"/>
          <w:bCs w:val="0"/>
          <w:i w:val="1"/>
          <w:iCs w:val="1"/>
          <w:smallCaps w:val="0"/>
          <w:strike w:val="0"/>
          <w:color w:val="000000"/>
          <w:u w:val="none"/>
          <w:shd w:fill="auto" w:val="clear"/>
          <w:vertAlign w:val="baseline"/>
          <w:rtl w:val="0"/>
        </w:rPr>
        <w:t xml:space="preserve">stricto sensu</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sendo fundamental para o credenciamento institucional e para auxiliar a escolha dos estudantes.</w:t>
      </w:r>
      <w:r w:rsidDel="00000000" w:rsidR="00000000" w:rsidRPr="00000000">
        <w:rPr>
          <w:rtl w:val="0"/>
        </w:rPr>
      </w:r>
    </w:p>
  </w:footnote>
  <w:footnote w:id="3">
    <w:p w:rsidR="00000000" w:rsidDel="00000000" w:rsidP="00000000" w:rsidRDefault="00000000" w:rsidRPr="00000000" w14:paraId="000002F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Para este modelo, utilizou-se </w:t>
      </w:r>
      <w:r w:rsidDel="00000000" w:rsidR="00000000" w:rsidRPr="00000000">
        <w:rPr>
          <w:i w:val="1"/>
          <w:iCs w:val="1"/>
          <w:sz w:val="20"/>
          <w:szCs w:val="20"/>
          <w:rtl w:val="0"/>
        </w:rPr>
        <w:t xml:space="preserve">N=496</w:t>
      </w:r>
      <w:r w:rsidDel="00000000" w:rsidR="00000000" w:rsidRPr="00000000">
        <w:rPr>
          <w:sz w:val="20"/>
          <w:szCs w:val="20"/>
          <w:rtl w:val="0"/>
        </w:rPr>
        <w:t xml:space="preserve"> em razão do filtro amostral, que restringiu a análise aos pesquisadores vinculados a Instituições de Ensino Superior com notas no IGC disponíveis no banco de dados do E-MEC.</w:t>
      </w:r>
    </w:p>
  </w:footnote>
  <w:footnote w:id="0">
    <w:p w:rsidR="00000000" w:rsidDel="00000000" w:rsidP="00000000" w:rsidRDefault="00000000" w:rsidRPr="00000000" w14:paraId="000002F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Indicador bibliométrico que combina produtividade de publicações e impacto de citações do pesquisador.</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29327/ENEQPE2020.246442" TargetMode="External"/><Relationship Id="rId42" Type="http://schemas.openxmlformats.org/officeDocument/2006/relationships/hyperlink" Target="https://doi.org/10.15628/rbept.2021.9757" TargetMode="External"/><Relationship Id="rId41" Type="http://schemas.openxmlformats.org/officeDocument/2006/relationships/hyperlink" Target="https://doi.org/10.1590/s0104-40362018002600952" TargetMode="External"/><Relationship Id="rId44" Type="http://schemas.openxmlformats.org/officeDocument/2006/relationships/hyperlink" Target="https://doi.org/10.1002/tea.21834" TargetMode="External"/><Relationship Id="rId43" Type="http://schemas.openxmlformats.org/officeDocument/2006/relationships/hyperlink" Target="https://doi.org/10.14244/198271995292" TargetMode="External"/><Relationship Id="rId46" Type="http://schemas.openxmlformats.org/officeDocument/2006/relationships/hyperlink" Target="http://doi.org/10.1021/acs.jchemed.9b00249" TargetMode="External"/><Relationship Id="rId45" Type="http://schemas.openxmlformats.org/officeDocument/2006/relationships/hyperlink" Target="http://doi.org/10.11591/ijere.v8i2.1870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doi.org/10.1016/j.Evalprogplan.2024.102517" TargetMode="External"/><Relationship Id="rId48" Type="http://schemas.openxmlformats.org/officeDocument/2006/relationships/hyperlink" Target="https://livroaberto.ibict.br/handle/123456789/859" TargetMode="External"/><Relationship Id="rId47" Type="http://schemas.openxmlformats.org/officeDocument/2006/relationships/hyperlink" Target="https://livroaberto.ibict.br/handle/123456789/859" TargetMode="External"/><Relationship Id="rId49" Type="http://schemas.openxmlformats.org/officeDocument/2006/relationships/hyperlink" Target="https://locus.ufv.br//handle/123456789/31917"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yperlink" Target="https://doi.org/10.55905/revconv.17n.9-115" TargetMode="External"/><Relationship Id="rId31" Type="http://schemas.openxmlformats.org/officeDocument/2006/relationships/hyperlink" Target="https://doi.org/10.1590/S0100-15742005000200006" TargetMode="External"/><Relationship Id="rId30" Type="http://schemas.openxmlformats.org/officeDocument/2006/relationships/hyperlink" Target="https://doi.org/10.1186/s40594-020-00247-y" TargetMode="External"/><Relationship Id="rId33" Type="http://schemas.openxmlformats.org/officeDocument/2006/relationships/hyperlink" Target="https://doi.org/10.3389/feduc.2024.1493356" TargetMode="External"/><Relationship Id="rId32" Type="http://schemas.openxmlformats.org/officeDocument/2006/relationships/hyperlink" Target="https://doi.org/10.1590/S1413-24782009000300005" TargetMode="External"/><Relationship Id="rId35" Type="http://schemas.openxmlformats.org/officeDocument/2006/relationships/hyperlink" Target="https://livroaberto.ibict.br/handle/123456789/859" TargetMode="External"/><Relationship Id="rId34" Type="http://schemas.openxmlformats.org/officeDocument/2006/relationships/hyperlink" Target="https://livroaberto.ibict.br/handle/123456789/859" TargetMode="External"/><Relationship Id="rId37" Type="http://schemas.openxmlformats.org/officeDocument/2006/relationships/hyperlink" Target="https://livroaberto.ibict.br/handle/123456789/720" TargetMode="External"/><Relationship Id="rId36" Type="http://schemas.openxmlformats.org/officeDocument/2006/relationships/hyperlink" Target="https://livroaberto.ibict.br/handle/123456789/720" TargetMode="External"/><Relationship Id="rId39" Type="http://schemas.openxmlformats.org/officeDocument/2006/relationships/hyperlink" Target="https://livroaberto.ibict.br/handle/123456789/677" TargetMode="External"/><Relationship Id="rId38" Type="http://schemas.openxmlformats.org/officeDocument/2006/relationships/hyperlink" Target="https://livroaberto.ibict.br/handle/123456789/677" TargetMode="External"/><Relationship Id="rId20" Type="http://schemas.openxmlformats.org/officeDocument/2006/relationships/hyperlink" Target="https://doi.org/10.1186/s40594-017-0081-4" TargetMode="External"/><Relationship Id="rId22" Type="http://schemas.openxmlformats.org/officeDocument/2006/relationships/hyperlink" Target="https://doi.org/10.1590/S1413-24782001000300010" TargetMode="External"/><Relationship Id="rId21" Type="http://schemas.openxmlformats.org/officeDocument/2006/relationships/hyperlink" Target="https://doi.org/10.1590/1980-6248-2018-0083" TargetMode="External"/><Relationship Id="rId24" Type="http://schemas.openxmlformats.org/officeDocument/2006/relationships/hyperlink" Target="https://doi.org/10.1523/ENEURO.0039-24.2024" TargetMode="External"/><Relationship Id="rId23" Type="http://schemas.openxmlformats.org/officeDocument/2006/relationships/hyperlink" Target="https://doi.org/10.1590/S1413-24782001000300010" TargetMode="External"/><Relationship Id="rId26" Type="http://schemas.openxmlformats.org/officeDocument/2006/relationships/hyperlink" Target="https://doi.org/10.1002/sce.21332" TargetMode="External"/><Relationship Id="rId25" Type="http://schemas.openxmlformats.org/officeDocument/2006/relationships/hyperlink" Target="https://doi.org/10.1002/ev.175" TargetMode="External"/><Relationship Id="rId28" Type="http://schemas.openxmlformats.org/officeDocument/2006/relationships/hyperlink" Target="https://doi.org/10.1007/s11218-022-09705-7" TargetMode="External"/><Relationship Id="rId27" Type="http://schemas.openxmlformats.org/officeDocument/2006/relationships/hyperlink" Target="https://doi.org/10.1111/1475-6765.12097" TargetMode="External"/><Relationship Id="rId29" Type="http://schemas.openxmlformats.org/officeDocument/2006/relationships/hyperlink" Target="https://doi.org/10.1186/s40594-020-00247-y" TargetMode="External"/><Relationship Id="rId51" Type="http://schemas.openxmlformats.org/officeDocument/2006/relationships/hyperlink" Target="https://www.bts.senac.br/bts/article/view/55" TargetMode="External"/><Relationship Id="rId50" Type="http://schemas.openxmlformats.org/officeDocument/2006/relationships/hyperlink" Target="https://locus.ufv.br//handle/123456789/31917" TargetMode="External"/><Relationship Id="rId53" Type="http://schemas.openxmlformats.org/officeDocument/2006/relationships/hyperlink" Target="https://doi.org/10.1021/acs.jchemed.8b00793" TargetMode="External"/><Relationship Id="rId52" Type="http://schemas.openxmlformats.org/officeDocument/2006/relationships/hyperlink" Target="https://www.bts.senac.br/bts/article/view/55" TargetMode="External"/><Relationship Id="rId11" Type="http://schemas.openxmlformats.org/officeDocument/2006/relationships/hyperlink" Target="https://ojs.sites.ufsc.br/index.php/sobretudo/article/view/2371" TargetMode="External"/><Relationship Id="rId55" Type="http://schemas.openxmlformats.org/officeDocument/2006/relationships/hyperlink" Target="https://doi.org/10.1002/tea.21733" TargetMode="External"/><Relationship Id="rId10" Type="http://schemas.openxmlformats.org/officeDocument/2006/relationships/hyperlink" Target="https://ojs.sites.ufsc.br/index.php/sobretudo/article/view/2371" TargetMode="External"/><Relationship Id="rId54" Type="http://schemas.openxmlformats.org/officeDocument/2006/relationships/hyperlink" Target="https://doi.org/10.11606/issn.2595-2536.v32i1p253-263" TargetMode="External"/><Relationship Id="rId13" Type="http://schemas.openxmlformats.org/officeDocument/2006/relationships/hyperlink" Target="https://doi.org/10.17226/25568" TargetMode="External"/><Relationship Id="rId12" Type="http://schemas.openxmlformats.org/officeDocument/2006/relationships/hyperlink" Target="https://doi.org/10.5902/198464445012" TargetMode="External"/><Relationship Id="rId56" Type="http://schemas.openxmlformats.org/officeDocument/2006/relationships/hyperlink" Target="https://doi.org/10.22420/rde.v17i37.1506" TargetMode="External"/><Relationship Id="rId15" Type="http://schemas.openxmlformats.org/officeDocument/2006/relationships/hyperlink" Target="https://doi.org/10.1080/15348431.2024.2413530" TargetMode="External"/><Relationship Id="rId14" Type="http://schemas.openxmlformats.org/officeDocument/2006/relationships/hyperlink" Target="https://www.gov.br/cnpq/pt-br/assuntos/noticias/pibiccompleta-36-anos-consolidando-se-como-um-dos-principais-programas-de-incentivo-aciencia-no-brasil" TargetMode="External"/><Relationship Id="rId17" Type="http://schemas.openxmlformats.org/officeDocument/2006/relationships/hyperlink" Target="https://doi.org/10.1187/cbe.17-04-0066" TargetMode="External"/><Relationship Id="rId16" Type="http://schemas.openxmlformats.org/officeDocument/2006/relationships/hyperlink" Target="https://doi.org/10.1371/journal.pone.0336418" TargetMode="External"/><Relationship Id="rId19" Type="http://schemas.openxmlformats.org/officeDocument/2006/relationships/hyperlink" Target="https://doi.org/10.1187/cbe.15-11-0230" TargetMode="External"/><Relationship Id="rId18" Type="http://schemas.openxmlformats.org/officeDocument/2006/relationships/hyperlink" Target="https://doi.org/10.1590/S1516-731320060002000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