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D4ED8"/>
          <w:sz w:val="48"/>
        </w:rPr>
        <w:t>Engenharia da Solução</w:t>
      </w:r>
    </w:p>
    <w:p>
      <w:pPr>
        <w:jc w:val="center"/>
      </w:pPr>
      <w:r>
        <w:rPr>
          <w:color w:val="555555"/>
          <w:sz w:val="28"/>
        </w:rPr>
        <w:t>Como o frontend zero-build e o backend serverless são construídos, por dentro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MWRPG — A Coroa Enterrada de Ys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Autoria</w:t>
            </w:r>
          </w:p>
        </w:tc>
        <w:tc>
          <w:tcPr>
            <w:tcW w:type="dxa" w:w="4320"/>
          </w:tcPr>
          <w:p>
            <w:r>
              <w:t>Claude (Anthropic), sob coordenação de Tiago Bocchino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2026-08-31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"1-4" \h \z \u</w:instrText>
        <w:fldChar w:fldCharType="separate"/>
        <w:t>Clique com o botão direito e escolha "Atualizar campo" para gerar o sumário.</w:t>
        <w:fldChar w:fldCharType="end"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 xml:space="preserve">Este documento descreve </w:t>
      </w:r>
      <w:r>
        <w:rPr>
          <w:b/>
        </w:rPr>
        <w:t>como o código é organizado e escrito</w:t>
      </w:r>
      <w:r>
        <w:t xml:space="preserve"> — as</w:t>
        <w:br/>
        <w:t>duas Vercel Functions que fazem o papel de backend, e o padrão do</w:t>
        <w:br/>
        <w:t>frontend zero-build. É complementar ao Documento 05 (Arquitetura da</w:t>
        <w:br/>
        <w:t>Solução), que olha para componentes de sistema e infraestrutura, não</w:t>
        <w:br/>
        <w:t>para a organização interna do código.</w:t>
      </w:r>
    </w:p>
    <w:p>
      <w:pPr>
        <w:pStyle w:val="Heading1"/>
      </w:pPr>
      <w:r>
        <w:t>2. Backend: duas Vercel Functions, sem servidor próprio</w:t>
      </w:r>
    </w:p>
    <w:p>
      <w:r>
        <w:t>Não existe backend no sentido tradicional (processo próprio, framework</w:t>
        <w:br/>
        <w:t xml:space="preserve">web, banco de conexão persistente) — existem </w:t>
      </w:r>
      <w:r>
        <w:rPr>
          <w:b/>
        </w:rPr>
        <w:t>duas</w:t>
      </w:r>
      <w:r>
        <w:t xml:space="preserve"> Vercel Functions</w:t>
        <w:br/>
        <w:t>serverless, cada uma resolvendo exatamente um problema de exposição de</w:t>
        <w:br/>
        <w:t>segredo.</w:t>
      </w:r>
    </w:p>
    <w:p>
      <w:r>
        <w:drawing>
          <wp:inline xmlns:a="http://schemas.openxmlformats.org/drawingml/2006/main" xmlns:pic="http://schemas.openxmlformats.org/drawingml/2006/picture">
            <wp:extent cx="5486400" cy="26032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madas-back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3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Camadas do backend</w:t>
      </w:r>
    </w:p>
    <w:p>
      <w:r>
        <w:rPr>
          <w:i/>
        </w:rPr>
        <w:t>Figura 1 — api/master.js e api/config.js, e o Supabase acessado direto do navegador.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Função</w:t>
            </w:r>
          </w:p>
        </w:tc>
        <w:tc>
          <w:tcPr>
            <w:tcW w:type="dxa" w:w="2880"/>
          </w:tcPr>
          <w:p>
            <w:r>
              <w:t>Linhas</w:t>
            </w:r>
          </w:p>
        </w:tc>
        <w:tc>
          <w:tcPr>
            <w:tcW w:type="dxa" w:w="2880"/>
          </w:tcPr>
          <w:p>
            <w:r>
              <w:t>Problema que resolve</w:t>
            </w:r>
          </w:p>
        </w:tc>
      </w:tr>
      <w:tr>
        <w:tc>
          <w:tcPr>
            <w:tcW w:type="dxa" w:w="2880"/>
          </w:tcPr>
          <w:p>
            <w:r>
              <w:t>api/master.js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Esconder GROQ_API_KEY — o navegador nunca vê a chave da Groq</w:t>
            </w:r>
          </w:p>
        </w:tc>
      </w:tr>
      <w:tr>
        <w:tc>
          <w:tcPr>
            <w:tcW w:type="dxa" w:w="2880"/>
          </w:tcPr>
          <w:p>
            <w:r>
              <w:t>api/config.js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Expor SUPABASE_URL/SUPABASE_PUBLISHABLE_KEY — seguro expor, é a chave pública por design do Supabase</w:t>
            </w:r>
          </w:p>
        </w:tc>
      </w:tr>
    </w:tbl>
    <w:p>
      <w:r>
        <w:t xml:space="preserve">Note a assimetria: </w:t>
      </w:r>
      <w:r>
        <w:rPr>
          <w:rFonts w:ascii="Consolas" w:hAnsi="Consolas"/>
          <w:sz w:val="19"/>
        </w:rPr>
        <w:t>api/master.js</w:t>
      </w:r>
      <w:r>
        <w:t xml:space="preserve"> existe porque o segredo real</w:t>
        <w:br/>
        <w:t>(</w:t>
      </w:r>
      <w:r>
        <w:rPr>
          <w:rFonts w:ascii="Consolas" w:hAnsi="Consolas"/>
          <w:sz w:val="19"/>
        </w:rPr>
        <w:t>GROQ_API_KEY</w:t>
      </w:r>
      <w:r>
        <w:t xml:space="preserve">) não pode chegar ao cliente; </w:t>
      </w:r>
      <w:r>
        <w:rPr>
          <w:rFonts w:ascii="Consolas" w:hAnsi="Consolas"/>
          <w:sz w:val="19"/>
        </w:rPr>
        <w:t>api/config.js</w:t>
      </w:r>
      <w:r>
        <w:t xml:space="preserve"> existe</w:t>
        <w:br/>
        <w:t xml:space="preserve">pelo motivo </w:t>
      </w:r>
      <w:r>
        <w:rPr>
          <w:b/>
        </w:rPr>
        <w:t>oposto</w:t>
      </w:r>
      <w:r>
        <w:t xml:space="preserve"> — não é segredo, mas hardcodar a chave pública</w:t>
        <w:br/>
        <w:t xml:space="preserve">direto em </w:t>
      </w:r>
      <w:r>
        <w:rPr>
          <w:rFonts w:ascii="Consolas" w:hAnsi="Consolas"/>
          <w:sz w:val="19"/>
        </w:rPr>
        <w:t>index.html</w:t>
      </w:r>
      <w:r>
        <w:t xml:space="preserve"> impediria trocar de projeto Supabase sem novo</w:t>
        <w:br/>
        <w:t>deploy de código. Fora essas duas rotas, o Supabase (Auth, CRUD de</w:t>
        <w:br/>
      </w:r>
      <w:r>
        <w:rPr>
          <w:rFonts w:ascii="Consolas" w:hAnsi="Consolas"/>
          <w:sz w:val="19"/>
        </w:rPr>
        <w:t>campaign_sessions</w:t>
      </w:r>
      <w:r>
        <w:t xml:space="preserve">) é chamado </w:t>
      </w:r>
      <w:r>
        <w:rPr>
          <w:b/>
        </w:rPr>
        <w:t>direto do navegador</w:t>
      </w:r>
      <w:r>
        <w:t xml:space="preserve"> — não passa por</w:t>
        <w:br/>
        <w:t>nenhuma API própria, porque Row Level Security no próprio Postgres já</w:t>
        <w:br/>
        <w:t>garante o isolamento por usuário (Documento 02, Seção 2).</w:t>
      </w:r>
    </w:p>
    <w:p>
      <w:pPr>
        <w:pStyle w:val="Heading2"/>
      </w:pPr>
      <w:r>
        <w:t>2.1 api/master.js — tratamento de erro por status HTTP</w:t>
      </w:r>
    </w:p>
    <w:p>
      <w:pPr>
        <w:ind w:left="283"/>
      </w:pPr>
      <w:r>
        <w:rPr>
          <w:rFonts w:ascii="Consolas" w:hAnsi="Consolas"/>
          <w:sz w:val="17"/>
        </w:rPr>
        <w:t>if (!groqRes.ok) {</w:t>
        <w:br/>
        <w:t xml:space="preserve">  if (groqRes.status === 429) {</w:t>
        <w:br/>
        <w:t xml:space="preserve">    res.status(429).json({ error: 'groq_quota_exceeded', retryAfter: ... });</w:t>
        <w:br/>
        <w:t xml:space="preserve">    return;</w:t>
        <w:br/>
        <w:t xml:space="preserve">  }</w:t>
        <w:br/>
        <w:t xml:space="preserve">  res.status(502).json({ error: 'groq_upstream_error', status: groqRes.status });</w:t>
        <w:br/>
        <w:t>}</w:t>
        <w:br/>
      </w:r>
    </w:p>
    <w:p>
      <w:r>
        <w:t xml:space="preserve">O </w:t>
      </w:r>
      <w:r>
        <w:rPr>
          <w:rFonts w:ascii="Consolas" w:hAnsi="Consolas"/>
          <w:sz w:val="19"/>
        </w:rPr>
        <w:t>429</w:t>
      </w:r>
      <w:r>
        <w:t xml:space="preserve"> da Groq vira </w:t>
      </w:r>
      <w:r>
        <w:rPr>
          <w:rFonts w:ascii="Consolas" w:hAnsi="Consolas"/>
          <w:sz w:val="19"/>
        </w:rPr>
        <w:t>429</w:t>
      </w:r>
      <w:r>
        <w:t xml:space="preserve"> próprio do MWRPG (não um </w:t>
      </w:r>
      <w:r>
        <w:rPr>
          <w:rFonts w:ascii="Consolas" w:hAnsi="Consolas"/>
          <w:sz w:val="19"/>
        </w:rPr>
        <w:t>502</w:t>
      </w:r>
      <w:r>
        <w:t xml:space="preserve"> genérico) —</w:t>
        <w:br/>
        <w:t>propaga o status semanticamente correto para o frontend distinguir</w:t>
        <w:br/>
        <w:t>"cota estourada" (Documento 03, Seção 4) de qualquer outra falha</w:t>
        <w:br/>
        <w:t>upstream.</w:t>
      </w:r>
    </w:p>
    <w:p>
      <w:pPr>
        <w:pStyle w:val="Heading1"/>
      </w:pPr>
      <w:r>
        <w:t>3. Frontend: zero-build, Babel standalone no navegador</w:t>
      </w:r>
    </w:p>
    <w:p>
      <w:r>
        <w:t xml:space="preserve">Não há </w:t>
      </w:r>
      <w:r>
        <w:rPr>
          <w:rFonts w:ascii="Consolas" w:hAnsi="Consolas"/>
          <w:sz w:val="19"/>
        </w:rPr>
        <w:t>npm install</w:t>
      </w:r>
      <w:r>
        <w:t xml:space="preserve">, não há bundler, não há </w:t>
      </w:r>
      <w:r>
        <w:rPr>
          <w:rFonts w:ascii="Consolas" w:hAnsi="Consolas"/>
          <w:sz w:val="19"/>
        </w:rPr>
        <w:t>package.json</w:t>
      </w:r>
      <w:r>
        <w:t xml:space="preserve"> — cada</w:t>
        <w:br/>
        <w:t xml:space="preserve">arquivo </w:t>
      </w:r>
      <w:r>
        <w:rPr>
          <w:rFonts w:ascii="Consolas" w:hAnsi="Consolas"/>
          <w:sz w:val="19"/>
        </w:rPr>
        <w:t>.jsx</w:t>
      </w:r>
      <w:r>
        <w:t xml:space="preserve"> é transpilado </w:t>
      </w:r>
      <w:r>
        <w:rPr>
          <w:b/>
        </w:rPr>
        <w:t>no próprio navegador</w:t>
      </w:r>
      <w:r>
        <w:t xml:space="preserve"> por</w:t>
        <w:br/>
      </w:r>
      <w:r>
        <w:rPr>
          <w:rFonts w:ascii="Consolas" w:hAnsi="Consolas"/>
          <w:sz w:val="19"/>
        </w:rPr>
        <w:t>@babel/standalone</w:t>
      </w:r>
      <w:r>
        <w:t xml:space="preserve"> a cada carregamento de página. É uma escolha</w:t>
        <w:br/>
        <w:t>deliberada de simplicidade, mantida em todas as fases do projeto,</w:t>
        <w:br/>
        <w:t>inclusive quando a complexidade cresceu (o sistema de mapa v0.5,</w:t>
        <w:br/>
        <w:t xml:space="preserve">Leaflet incluso, ainda entrou via </w:t>
      </w:r>
      <w:r>
        <w:rPr>
          <w:rFonts w:ascii="Consolas" w:hAnsi="Consolas"/>
          <w:sz w:val="19"/>
        </w:rPr>
        <w:t>&lt;script&gt;</w:t>
      </w:r>
      <w:r>
        <w:t xml:space="preserve"> de CDN, sem build step</w:t>
        <w:br/>
        <w:t>novo).</w:t>
      </w:r>
    </w:p>
    <w:p>
      <w:r>
        <w:drawing>
          <wp:inline xmlns:a="http://schemas.openxmlformats.org/drawingml/2006/main" xmlns:pic="http://schemas.openxmlformats.org/drawingml/2006/picture">
            <wp:extent cx="5486400" cy="100560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drao-front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56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Padrão do frontend</w:t>
      </w:r>
    </w:p>
    <w:p>
      <w:r>
        <w:rPr>
          <w:i/>
        </w:rPr>
        <w:t>Figura 2 — Ordem de carregamento de 12 scripts, do CDN ao app.jsx.</w:t>
      </w:r>
    </w:p>
    <w:p>
      <w:pPr>
        <w:pStyle w:val="Heading2"/>
      </w:pPr>
      <w:r>
        <w:t>3.1 Convenção: Object.assign(window, {...})</w:t>
      </w:r>
    </w:p>
    <w:p>
      <w:r>
        <w:t>Cada script vanilla (</w:t>
      </w:r>
      <w:r>
        <w:rPr>
          <w:rFonts w:ascii="Consolas" w:hAnsi="Consolas"/>
          <w:sz w:val="19"/>
        </w:rPr>
        <w:t>.js</w:t>
      </w:r>
      <w:r>
        <w:t>) termina exportando suas funções/dados via</w:t>
        <w:br/>
      </w:r>
      <w:r>
        <w:rPr>
          <w:rFonts w:ascii="Consolas" w:hAnsi="Consolas"/>
          <w:sz w:val="19"/>
        </w:rPr>
        <w:t>Object.assign(window, {...})</w:t>
      </w:r>
      <w:r>
        <w:t xml:space="preserve">; cada consumidor lê de volta via </w:t>
      </w:r>
      <w:r>
        <w:rPr>
          <w:rFonts w:ascii="Consolas" w:hAnsi="Consolas"/>
          <w:sz w:val="19"/>
        </w:rPr>
        <w:t>const</w:t>
        <w:br/>
        <w:t>X = window.X</w:t>
      </w:r>
      <w:r>
        <w:t xml:space="preserve"> no topo do próprio arquivo. Isso existe porque scripts</w:t>
        <w:br/>
      </w:r>
      <w:r>
        <w:rPr>
          <w:rFonts w:ascii="Consolas" w:hAnsi="Consolas"/>
          <w:sz w:val="19"/>
        </w:rPr>
        <w:t>&lt;script type="text/babel"&gt;</w:t>
      </w:r>
      <w:r>
        <w:t xml:space="preserve"> viram IIFEs separadas depois de</w:t>
        <w:br/>
        <w:t>transpilados — sem esse padrão, nada seria compartilhado entre</w:t>
        <w:br/>
        <w:t xml:space="preserve">arquivos. Um anti-padrão crítico documentado em </w:t>
      </w:r>
      <w:r>
        <w:rPr>
          <w:rFonts w:ascii="Consolas" w:hAnsi="Consolas"/>
          <w:sz w:val="19"/>
        </w:rPr>
        <w:t>CLAUDE.md</w:t>
      </w:r>
      <w:r>
        <w:t xml:space="preserve"> §6.3:</w:t>
        <w:br/>
      </w:r>
      <w:r>
        <w:rPr>
          <w:b/>
        </w:rPr>
        <w:t>nunca</w:t>
      </w:r>
      <w:r>
        <w:t xml:space="preserve"> declarar </w:t>
      </w:r>
      <w:r>
        <w:rPr>
          <w:rFonts w:ascii="Consolas" w:hAnsi="Consolas"/>
          <w:sz w:val="19"/>
        </w:rPr>
        <w:t>const styles = {...}</w:t>
      </w:r>
      <w:r>
        <w:t xml:space="preserve"> em escopo global de um</w:t>
        <w:br/>
        <w:t>arquivo Babel — colide entre arquivos que usam o mesmo nome genérico.</w:t>
      </w:r>
    </w:p>
    <w:p>
      <w:pPr>
        <w:pStyle w:val="Heading2"/>
      </w:pPr>
      <w:r>
        <w:t>3.2 Estado</w:t>
      </w:r>
    </w:p>
    <w:p>
      <w:r>
        <w:t>Não há gerenciador de estado externo (Redux, Zustand, signals) — todo</w:t>
        <w:br/>
        <w:t xml:space="preserve">o estado vive em hooks </w:t>
      </w:r>
      <w:r>
        <w:rPr>
          <w:rFonts w:ascii="Consolas" w:hAnsi="Consolas"/>
          <w:sz w:val="19"/>
        </w:rPr>
        <w:t>useState</w:t>
      </w:r>
      <w:r>
        <w:t>/</w:t>
      </w:r>
      <w:r>
        <w:rPr>
          <w:rFonts w:ascii="Consolas" w:hAnsi="Consolas"/>
          <w:sz w:val="19"/>
        </w:rPr>
        <w:t>useRef</w:t>
      </w:r>
      <w:r>
        <w:t xml:space="preserve"> de </w:t>
      </w:r>
      <w:r>
        <w:rPr>
          <w:rFonts w:ascii="Consolas" w:hAnsi="Consolas"/>
          <w:sz w:val="19"/>
        </w:rPr>
        <w:t>app.jsx</w:t>
      </w:r>
      <w:r>
        <w:t xml:space="preserve"> (381 linhas),</w:t>
        <w:br/>
        <w:t>com autosave condicional: nuvem (</w:t>
      </w:r>
      <w:r>
        <w:rPr>
          <w:rFonts w:ascii="Consolas" w:hAnsi="Consolas"/>
          <w:sz w:val="19"/>
        </w:rPr>
        <w:t>MWRPG_CLOUD.saveSession</w:t>
      </w:r>
      <w:r>
        <w:t>) quando</w:t>
        <w:br/>
        <w:t xml:space="preserve">logado, </w:t>
      </w:r>
      <w:r>
        <w:rPr>
          <w:rFonts w:ascii="Consolas" w:hAnsi="Consolas"/>
          <w:sz w:val="19"/>
        </w:rPr>
        <w:t>localStorage</w:t>
      </w:r>
      <w:r>
        <w:t xml:space="preserve"> (</w:t>
      </w:r>
      <w:r>
        <w:rPr>
          <w:rFonts w:ascii="Consolas" w:hAnsi="Consolas"/>
          <w:sz w:val="19"/>
        </w:rPr>
        <w:t>MWRPG_STORAGE.save</w:t>
      </w:r>
      <w:r>
        <w:t>) caso contrário — nunca os</w:t>
        <w:br/>
        <w:t>dois ao mesmo tempo.</w:t>
      </w:r>
    </w:p>
    <w:p>
      <w:pPr>
        <w:pStyle w:val="Heading2"/>
      </w:pPr>
      <w:r>
        <w:t>3.3 Design system</w:t>
      </w:r>
    </w:p>
    <w:p>
      <w:r>
        <w:t xml:space="preserve">Um único tema (variáveis CSS em </w:t>
      </w:r>
      <w:r>
        <w:rPr>
          <w:rFonts w:ascii="Consolas" w:hAnsi="Consolas"/>
          <w:sz w:val="19"/>
        </w:rPr>
        <w:t>:root</w:t>
      </w:r>
      <w:r>
        <w:t xml:space="preserve">, </w:t>
      </w:r>
      <w:r>
        <w:rPr>
          <w:rFonts w:ascii="Consolas" w:hAnsi="Consolas"/>
          <w:sz w:val="19"/>
        </w:rPr>
        <w:t>src/styles.css</w:t>
      </w:r>
      <w:r>
        <w:t>, 600 linhas)</w:t>
        <w:br/>
        <w:t>com um segundo tema opcional ("Ember", ativado por</w:t>
        <w:br/>
      </w:r>
      <w:r>
        <w:rPr>
          <w:rFonts w:ascii="Consolas" w:hAnsi="Consolas"/>
          <w:sz w:val="19"/>
        </w:rPr>
        <w:t>[data-theme="ember"]</w:t>
      </w:r>
      <w:r>
        <w:t xml:space="preserve">) — cores em </w:t>
      </w:r>
      <w:r>
        <w:rPr>
          <w:rFonts w:ascii="Consolas" w:hAnsi="Consolas"/>
          <w:sz w:val="19"/>
        </w:rPr>
        <w:t>oklch()</w:t>
      </w:r>
      <w:r>
        <w:t>, tipografia via Google</w:t>
        <w:br/>
        <w:t>Fonts (Cinzel/EB Garamond/IM Fell English/IBM Plex Mono), sem emoji na</w:t>
        <w:br/>
        <w:t>UI — só 7 glyphs Unicode tipográficos específicos (espada cruzada,</w:t>
        <w:br/>
        <w:t>estrela de quatro pontas, escudo, oposição astrológica, seta em laço,</w:t>
        <w:br/>
        <w:t>intersecção elétrica, marca de referência), citados por nome aqui</w:t>
        <w:br/>
        <w:t>porque a fonte padrão deste gerador de PDF não cobre todos eles — a UI</w:t>
        <w:br/>
        <w:t>real do jogo, no navegador, não tem esse problema.</w:t>
      </w:r>
    </w:p>
    <w:p>
      <w:pPr>
        <w:pStyle w:val="Heading1"/>
      </w:pPr>
      <w:r>
        <w:t>4. Peso real do payload inicial (medido, não estimado)</w:t>
      </w:r>
    </w:p>
    <w:p>
      <w:r>
        <w:t>Todo dependência CDN foi medida por download real em 31/08/2026 — não</w:t>
        <w:br/>
        <w:t>por número de memória: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Dependência</w:t>
            </w:r>
          </w:p>
        </w:tc>
        <w:tc>
          <w:tcPr>
            <w:tcW w:type="dxa" w:w="2880"/>
          </w:tcPr>
          <w:p>
            <w:r>
              <w:t>Tamanho bruto</w:t>
            </w:r>
          </w:p>
        </w:tc>
        <w:tc>
          <w:tcPr>
            <w:tcW w:type="dxa" w:w="2880"/>
          </w:tcPr>
          <w:p>
            <w:r>
              <w:t>Tamanho gzip (transferido)</w:t>
            </w:r>
          </w:p>
        </w:tc>
      </w:tr>
      <w:tr>
        <w:tc>
          <w:tcPr>
            <w:tcW w:type="dxa" w:w="2880"/>
          </w:tcPr>
          <w:p>
            <w:r>
              <w:t>React 18.3.1 (dev)</w:t>
            </w:r>
          </w:p>
        </w:tc>
        <w:tc>
          <w:tcPr>
            <w:tcW w:type="dxa" w:w="2880"/>
          </w:tcPr>
          <w:p>
            <w:r>
              <w:t>109.931 bytes</w:t>
            </w:r>
          </w:p>
        </w:tc>
        <w:tc>
          <w:tcPr>
            <w:tcW w:type="dxa" w:w="2880"/>
          </w:tcPr>
          <w:p>
            <w:r>
              <w:t>28.258 bytes</w:t>
            </w:r>
          </w:p>
        </w:tc>
      </w:tr>
      <w:tr>
        <w:tc>
          <w:tcPr>
            <w:tcW w:type="dxa" w:w="2880"/>
          </w:tcPr>
          <w:p>
            <w:r>
              <w:t>ReactDOM 18.3.1 (dev)</w:t>
            </w:r>
          </w:p>
        </w:tc>
        <w:tc>
          <w:tcPr>
            <w:tcW w:type="dxa" w:w="2880"/>
          </w:tcPr>
          <w:p>
            <w:r>
              <w:t>1.080.227 bytes</w:t>
            </w:r>
          </w:p>
        </w:tc>
        <w:tc>
          <w:tcPr>
            <w:tcW w:type="dxa" w:w="2880"/>
          </w:tcPr>
          <w:p>
            <w:r>
              <w:t>232.917 bytes</w:t>
            </w:r>
          </w:p>
        </w:tc>
      </w:tr>
      <w:tr>
        <w:tc>
          <w:tcPr>
            <w:tcW w:type="dxa" w:w="2880"/>
          </w:tcPr>
          <w:p>
            <w:r>
              <w:t>Babel standalone 7.29.0</w:t>
            </w:r>
          </w:p>
        </w:tc>
        <w:tc>
          <w:tcPr>
            <w:tcW w:type="dxa" w:w="2880"/>
          </w:tcPr>
          <w:p>
            <w:r>
              <w:t>3.137.752 bytes</w:t>
            </w:r>
          </w:p>
        </w:tc>
        <w:tc>
          <w:tcPr>
            <w:tcW w:type="dxa" w:w="2880"/>
          </w:tcPr>
          <w:p>
            <w:r>
              <w:t>653.794 bytes</w:t>
            </w:r>
          </w:p>
        </w:tc>
      </w:tr>
      <w:tr>
        <w:tc>
          <w:tcPr>
            <w:tcW w:type="dxa" w:w="2880"/>
          </w:tcPr>
          <w:p>
            <w:r>
              <w:t>Supabase JS 2.112.4</w:t>
            </w:r>
          </w:p>
        </w:tc>
        <w:tc>
          <w:tcPr>
            <w:tcW w:type="dxa" w:w="2880"/>
          </w:tcPr>
          <w:p>
            <w:r>
              <w:t>212.426 bytes</w:t>
            </w:r>
          </w:p>
        </w:tc>
        <w:tc>
          <w:tcPr>
            <w:tcW w:type="dxa" w:w="2880"/>
          </w:tcPr>
          <w:p>
            <w:r>
              <w:t>54.632 bytes</w:t>
            </w:r>
          </w:p>
        </w:tc>
      </w:tr>
      <w:tr>
        <w:tc>
          <w:tcPr>
            <w:tcW w:type="dxa" w:w="2880"/>
          </w:tcPr>
          <w:p>
            <w:r>
              <w:t>Leaflet 1.9.4 (JS+CSS)</w:t>
            </w:r>
          </w:p>
        </w:tc>
        <w:tc>
          <w:tcPr>
            <w:tcW w:type="dxa" w:w="2880"/>
          </w:tcPr>
          <w:p>
            <w:r>
              <w:t>162.358 bytes</w:t>
            </w:r>
          </w:p>
        </w:tc>
        <w:tc>
          <w:tcPr>
            <w:tcW w:type="dxa" w:w="2880"/>
          </w:tcPr>
          <w:p>
            <w:r>
              <w:t>~45.983 bytes</w:t>
            </w:r>
          </w:p>
        </w:tc>
      </w:tr>
      <w:tr>
        <w:tc>
          <w:tcPr>
            <w:tcW w:type="dxa" w:w="2880"/>
          </w:tcPr>
          <w:p>
            <w:r>
              <w:t>Total transferido (gzip)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~1.015 KB (~1 MB)</w:t>
            </w:r>
          </w:p>
        </w:tc>
      </w:tr>
    </w:tbl>
    <w:p>
      <w:r>
        <w:t xml:space="preserve">O Babel standalone sozinho é </w:t>
      </w:r>
      <w:r>
        <w:rPr>
          <w:b/>
        </w:rPr>
        <w:t>64% do payload de dependências</w:t>
      </w:r>
      <w:r>
        <w:t xml:space="preserve"> — é o</w:t>
        <w:br/>
        <w:t>custo real e mensurável da escolha "zero-build para sempre". Builds de</w:t>
        <w:br/>
        <w:t>desenvolvimento do React/ReactDOM (não as de produção, minificadas)</w:t>
        <w:br/>
        <w:t>também pesam mais do que precisariam — uma troca só seria possível</w:t>
        <w:br/>
        <w:t>introduzindo build step, o que a Frontend Engineer registra</w:t>
        <w:br/>
        <w:t>explicitamente como decisão a levar pra assembleia, não a tomar</w:t>
        <w:br/>
        <w:t>sozinha (Documento 07, Seção 6).</w:t>
      </w:r>
    </w:p>
    <w:p>
      <w:pPr>
        <w:pStyle w:val="Heading1"/>
      </w:pPr>
      <w:r>
        <w:t>5. Convenções de nomenclatura</w:t>
      </w:r>
    </w:p>
    <w:p>
      <w:r>
        <w:t>Nomes de domínio do jogo (</w:t>
      </w:r>
      <w:r>
        <w:rPr>
          <w:rFonts w:ascii="Consolas" w:hAnsi="Consolas"/>
          <w:sz w:val="19"/>
        </w:rPr>
        <w:t>partyAt</w:t>
      </w:r>
      <w:r>
        <w:t xml:space="preserve">, </w:t>
      </w:r>
      <w:r>
        <w:rPr>
          <w:rFonts w:ascii="Consolas" w:hAnsi="Consolas"/>
          <w:sz w:val="19"/>
        </w:rPr>
        <w:t>mode</w:t>
      </w:r>
      <w:r>
        <w:t xml:space="preserve">, </w:t>
      </w:r>
      <w:r>
        <w:rPr>
          <w:rFonts w:ascii="Consolas" w:hAnsi="Consolas"/>
          <w:sz w:val="19"/>
        </w:rPr>
        <w:t>demoLimit</w:t>
      </w:r>
      <w:r>
        <w:t>, textos de UI)</w:t>
        <w:br/>
        <w:t>ficam em português ou nomeados no vocabulário do jogo; nomes puramente</w:t>
        <w:br/>
        <w:t>técnicos (</w:t>
      </w:r>
      <w:r>
        <w:rPr>
          <w:rFonts w:ascii="Consolas" w:hAnsi="Consolas"/>
          <w:sz w:val="19"/>
        </w:rPr>
        <w:t>useState</w:t>
      </w:r>
      <w:r>
        <w:t xml:space="preserve">, </w:t>
      </w:r>
      <w:r>
        <w:rPr>
          <w:rFonts w:ascii="Consolas" w:hAnsi="Consolas"/>
          <w:sz w:val="19"/>
        </w:rPr>
        <w:t>fetch</w:t>
      </w:r>
      <w:r>
        <w:t xml:space="preserve">, </w:t>
      </w:r>
      <w:r>
        <w:rPr>
          <w:rFonts w:ascii="Consolas" w:hAnsi="Consolas"/>
          <w:sz w:val="19"/>
        </w:rPr>
        <w:t>history</w:t>
      </w:r>
      <w:r>
        <w:t>) ficam em inglês, seguindo a</w:t>
        <w:br/>
        <w:t>convenção do próprio React/JS. Strings visíveis ao jogador são sempre</w:t>
        <w:br/>
        <w:t>português brasileiro (</w:t>
      </w:r>
      <w:r>
        <w:rPr>
          <w:rFonts w:ascii="Consolas" w:hAnsi="Consolas"/>
          <w:sz w:val="19"/>
        </w:rPr>
        <w:t>CLAUDE.md</w:t>
      </w:r>
      <w:r>
        <w:t xml:space="preserve"> §13).</w:t>
      </w:r>
    </w:p>
    <w:p>
      <w:pPr>
        <w:pStyle w:val="Heading1"/>
      </w:pPr>
      <w:r>
        <w:t>6. Referências</w:t>
      </w:r>
    </w:p>
    <w:p>
      <w:pPr>
        <w:pStyle w:val="ListNumber"/>
      </w:pPr>
      <w:r>
        <w:rPr>
          <w:rFonts w:ascii="Consolas" w:hAnsi="Consolas"/>
          <w:sz w:val="19"/>
        </w:rPr>
        <w:t>api/master.js</w:t>
      </w:r>
      <w:r>
        <w:t xml:space="preserve"> (77 linhas), </w:t>
      </w:r>
      <w:r>
        <w:rPr>
          <w:rFonts w:ascii="Consolas" w:hAnsi="Consolas"/>
          <w:sz w:val="19"/>
        </w:rPr>
        <w:t>api/config.js</w:t>
      </w:r>
      <w:r>
        <w:t xml:space="preserve"> (17 linhas) — lidos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index.html</w:t>
      </w:r>
      <w:r>
        <w:t xml:space="preserve"> (34 linhas) — ordem de carregamento de scripts, lido integralmente em 31/08/2026.</w:t>
      </w:r>
    </w:p>
    <w:p>
      <w:pPr>
        <w:pStyle w:val="ListNumber"/>
      </w:pPr>
      <w:r>
        <w:rPr>
          <w:rFonts w:ascii="Consolas" w:hAnsi="Consolas"/>
          <w:sz w:val="19"/>
        </w:rPr>
        <w:t>src/app.jsx</w:t>
      </w:r>
      <w:r>
        <w:t xml:space="preserve"> (381 linhas), </w:t>
      </w:r>
      <w:r>
        <w:rPr>
          <w:rFonts w:ascii="Consolas" w:hAnsi="Consolas"/>
          <w:sz w:val="19"/>
        </w:rPr>
        <w:t>src/styles.css</w:t>
      </w:r>
      <w:r>
        <w:t xml:space="preserve"> (600 linhas) — lidos integralmente em 31/08/2026.</w:t>
      </w:r>
    </w:p>
    <w:p>
      <w:pPr>
        <w:pStyle w:val="ListNumber"/>
      </w:pPr>
      <w:r>
        <w:t xml:space="preserve">Medição real de bytes via </w:t>
      </w:r>
      <w:r>
        <w:rPr>
          <w:rFonts w:ascii="Consolas" w:hAnsi="Consolas"/>
          <w:sz w:val="19"/>
        </w:rPr>
        <w:t>curl</w:t>
      </w:r>
      <w:r>
        <w:t xml:space="preserve"> contra unpkg.com/jsdelivr.net, com e sem </w:t>
      </w:r>
      <w:r>
        <w:rPr>
          <w:rFonts w:ascii="Consolas" w:hAnsi="Consolas"/>
          <w:sz w:val="19"/>
        </w:rPr>
        <w:t>Accept-Encoding: gzip</w:t>
      </w:r>
      <w:r>
        <w:t>, 31/08/2026.</w:t>
      </w:r>
    </w:p>
    <w:p>
      <w:pPr>
        <w:pStyle w:val="ListNumber"/>
      </w:pPr>
      <w:r>
        <w:rPr>
          <w:rFonts w:ascii="Consolas" w:hAnsi="Consolas"/>
          <w:sz w:val="19"/>
        </w:rPr>
        <w:t>CLAUDE.md</w:t>
      </w:r>
      <w:r>
        <w:t xml:space="preserve"> §6.2-6.3 — convenção de export e anti-padrão de </w:t>
      </w:r>
      <w:r>
        <w:rPr>
          <w:rFonts w:ascii="Consolas" w:hAnsi="Consolas"/>
          <w:sz w:val="19"/>
        </w:rPr>
        <w:t>const styles</w:t>
      </w:r>
      <w:r>
        <w:t xml:space="preserve"> global.</w:t>
      </w:r>
    </w:p>
    <w:p>
      <w:pPr>
        <w:pStyle w:val="ListNumber"/>
      </w:pPr>
      <w:r>
        <w:rPr>
          <w:rFonts w:ascii="Consolas" w:hAnsi="Consolas"/>
          <w:sz w:val="19"/>
        </w:rPr>
        <w:t>.claude/agents/frontend-engineer-mwrpg.md</w:t>
      </w:r>
      <w:r>
        <w:t xml:space="preserve"> — trade-off zero-build vs. build step registrado como decisão de assembleia.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888888"/>
        <w:sz w:val="16"/>
      </w:rPr>
      <w:t>MWRPG — A Coroa Enterrada de Ys — Engenharia da Solução —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