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Documentação Prática de Implementação</w:t>
      </w:r>
    </w:p>
    <w:p>
      <w:pPr>
        <w:jc w:val="center"/>
      </w:pPr>
      <w:r>
        <w:rPr>
          <w:color w:val="555555"/>
          <w:sz w:val="28"/>
        </w:rPr>
        <w:t>A narrativa real de construção — 13 bugs encontrados e corrigidos, com causa raiz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MWRPG — A Coroa Enterrada de 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Autoria</w:t>
            </w:r>
          </w:p>
        </w:tc>
        <w:tc>
          <w:tcPr>
            <w:tcW w:type="dxa" w:w="4320"/>
          </w:tcPr>
          <w:p>
            <w:r>
              <w:t>Claude (Anthropic), sob coordenação de Tiago Bocchino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2026-08-31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"1-4" \h \z \u</w:instrText>
        <w:fldChar w:fldCharType="separate"/>
        <w:t>Clique com o botão direito e escolha "Atualizar campo" para gerar o sumário.</w:t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Este é o documento mais longo da série de propósito: é onde a</w:t>
        <w:br/>
        <w:t>narrativa real de construção mora — não o que deveria ter acontecido,</w:t>
        <w:br/>
        <w:t xml:space="preserve">mas o que </w:t>
      </w:r>
      <w:r>
        <w:rPr>
          <w:b/>
        </w:rPr>
        <w:t>de fato</w:t>
      </w:r>
      <w:r>
        <w:t xml:space="preserve"> aconteceu, incluindo o que quebrou, por que</w:t>
        <w:br/>
        <w:t>quebrou, e como foi corrigido. Cada item abaixo tem causa raiz</w:t>
        <w:br/>
        <w:t>verificada, não hipótese — quando a causa raiz não foi óbvia de</w:t>
        <w:br/>
        <w:t>primeira, isso está registrado também (achados como o das duas causas</w:t>
        <w:br/>
        <w:t>distintas de erro 535, Seção 5).</w:t>
      </w:r>
    </w:p>
    <w:p>
      <w:r>
        <w:rPr>
          <w:b/>
        </w:rPr>
        <w:t>13 bugs reais documentados</w:t>
      </w:r>
      <w:r>
        <w:t>, contados só os de produto — não</w:t>
        <w:br/>
        <w:t>inclui os 3 bugs cosméticos encontrados hoje na própria ferramenta de</w:t>
        <w:br/>
        <w:t>geração destes documentos (Seção 8, registrados por transparência, mas</w:t>
        <w:br/>
        <w:t>fora da contagem por serem de ferramental, não de produto).</w:t>
      </w:r>
    </w:p>
    <w:p>
      <w:r>
        <w:drawing>
          <wp:inline xmlns:a="http://schemas.openxmlformats.org/drawingml/2006/main" xmlns:pic="http://schemas.openxmlformats.org/drawingml/2006/picture">
            <wp:extent cx="5486400" cy="1280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ha-do-tempo-bu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0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Linha do tempo de bugs</w:t>
      </w:r>
    </w:p>
    <w:p>
      <w:r>
        <w:rPr>
          <w:i/>
        </w:rPr>
        <w:t>Figura 1 — Os 13 bugs, por fase do projeto.</w:t>
      </w:r>
    </w:p>
    <w:p>
      <w:pPr>
        <w:pStyle w:val="Heading1"/>
      </w:pPr>
      <w:r>
        <w:t>2. Frontend v0.2: dois bugs de CSS</w:t>
      </w:r>
    </w:p>
    <w:p>
      <w:r>
        <w:rPr>
          <w:b/>
        </w:rPr>
        <w:t>Overflow horizontal em mobile (375px)</w:t>
      </w:r>
      <w:r>
        <w:t>: os itens flex do topbar não</w:t>
        <w:br/>
        <w:t xml:space="preserve">tinham </w:t>
      </w:r>
      <w:r>
        <w:rPr>
          <w:rFonts w:ascii="Consolas" w:hAnsi="Consolas"/>
          <w:sz w:val="19"/>
        </w:rPr>
        <w:t>min-width:0</w:t>
      </w:r>
      <w:r>
        <w:t>, o padrão flexbox de "nunca encolher abaixo do</w:t>
        <w:br/>
        <w:t>conteúdo" empurrava a tela pra largura maior que o viewport. Corrigido</w:t>
        <w:br/>
        <w:t xml:space="preserve">com </w:t>
      </w:r>
      <w:r>
        <w:rPr>
          <w:rFonts w:ascii="Consolas" w:hAnsi="Consolas"/>
          <w:sz w:val="19"/>
        </w:rPr>
        <w:t>min-width:0</w:t>
      </w:r>
      <w:r>
        <w:t xml:space="preserve"> + </w:t>
      </w:r>
      <w:r>
        <w:rPr>
          <w:rFonts w:ascii="Consolas" w:hAnsi="Consolas"/>
          <w:sz w:val="19"/>
        </w:rPr>
        <w:t>flex-wrap</w:t>
      </w:r>
      <w:r>
        <w:t xml:space="preserve"> num bloco </w:t>
      </w:r>
      <w:r>
        <w:rPr>
          <w:rFonts w:ascii="Consolas" w:hAnsi="Consolas"/>
          <w:sz w:val="19"/>
        </w:rPr>
        <w:t>@media (max-width:480px)</w:t>
      </w:r>
      <w:r>
        <w:t>,</w:t>
        <w:br/>
        <w:t xml:space="preserve">verificado comparando </w:t>
      </w:r>
      <w:r>
        <w:rPr>
          <w:rFonts w:ascii="Consolas" w:hAnsi="Consolas"/>
          <w:sz w:val="19"/>
        </w:rPr>
        <w:t>scrollWidth === clientWidth</w:t>
      </w:r>
      <w:r>
        <w:t xml:space="preserve"> no navegador real</w:t>
        <w:br/>
        <w:t>— não assumindo que o CSS estava certo só porque parecia certo no</w:t>
        <w:br/>
        <w:t>código.</w:t>
      </w:r>
    </w:p>
    <w:p>
      <w:r>
        <w:rPr>
          <w:b/>
        </w:rPr>
        <w:t>Cache do navegador servindo CSS velho</w:t>
      </w:r>
      <w:r>
        <w:t>: depois de editar</w:t>
        <w:br/>
      </w:r>
      <w:r>
        <w:rPr>
          <w:rFonts w:ascii="Consolas" w:hAnsi="Consolas"/>
          <w:sz w:val="19"/>
        </w:rPr>
        <w:t>styles.css</w:t>
      </w:r>
      <w:r>
        <w:t>, o navegador continuava servindo a versão antiga mesmo com</w:t>
        <w:br/>
      </w:r>
      <w:r>
        <w:rPr>
          <w:rFonts w:ascii="Consolas" w:hAnsi="Consolas"/>
          <w:sz w:val="19"/>
        </w:rPr>
        <w:t>Ctrl+Shift+R</w:t>
      </w:r>
      <w:r>
        <w:t xml:space="preserve">. Diagnosticado com </w:t>
      </w:r>
      <w:r>
        <w:rPr>
          <w:rFonts w:ascii="Consolas" w:hAnsi="Consolas"/>
          <w:sz w:val="19"/>
        </w:rPr>
        <w:t>fetch(url, {cache: 'no-store'})</w:t>
      </w:r>
      <w:r>
        <w:br/>
        <w:t>comparando o conteúdo real; corrigido definitivamente com um query</w:t>
        <w:br/>
        <w:t>param de versão (</w:t>
      </w:r>
      <w:r>
        <w:rPr>
          <w:rFonts w:ascii="Consolas" w:hAnsi="Consolas"/>
          <w:sz w:val="19"/>
        </w:rPr>
        <w:t>styles.css?v=3</w:t>
      </w:r>
      <w:r>
        <w:t>) — invalida o cache do navegador a</w:t>
        <w:br/>
        <w:t>cada mudança, sem depender de header de cache do servidor.</w:t>
      </w:r>
    </w:p>
    <w:p>
      <w:pPr>
        <w:pStyle w:val="Heading1"/>
      </w:pPr>
      <w:r>
        <w:t>3. Ferramental: git push quebrado no ambiente do agente</w:t>
      </w:r>
    </w:p>
    <w:p>
      <w:r>
        <w:rPr>
          <w:b/>
        </w:rPr>
        <w:t>Achado real, persistente por toda a sessão</w:t>
      </w:r>
      <w:r>
        <w:t xml:space="preserve">: o </w:t>
      </w:r>
      <w:r>
        <w:rPr>
          <w:rFonts w:ascii="Consolas" w:hAnsi="Consolas"/>
          <w:sz w:val="19"/>
        </w:rPr>
        <w:t>git push</w:t>
      </w:r>
      <w:r>
        <w:t xml:space="preserve"> executado</w:t>
        <w:br/>
        <w:t xml:space="preserve">pelo agente falha consistentemente com </w:t>
      </w:r>
      <w:r>
        <w:rPr>
          <w:rFonts w:ascii="Consolas" w:hAnsi="Consolas"/>
          <w:sz w:val="19"/>
        </w:rPr>
        <w:t>fatal: could not read Username</w:t>
        <w:br/>
        <w:t>for 'https://github.com': terminal prompts disabled</w:t>
      </w:r>
      <w:r>
        <w:t>, mesmo com</w:t>
        <w:br/>
      </w:r>
      <w:r>
        <w:rPr>
          <w:rFonts w:ascii="Consolas" w:hAnsi="Consolas"/>
          <w:sz w:val="19"/>
        </w:rPr>
        <w:t>GCM_INTERACTIVE=never</w:t>
      </w:r>
      <w:r>
        <w:t xml:space="preserve"> e </w:t>
      </w:r>
      <w:r>
        <w:rPr>
          <w:rFonts w:ascii="Consolas" w:hAnsi="Consolas"/>
          <w:sz w:val="19"/>
        </w:rPr>
        <w:t>GIT_TERMINAL_PROMPT=0</w:t>
      </w:r>
      <w:r>
        <w:t xml:space="preserve"> — o Git Credential</w:t>
        <w:br/>
        <w:t>Manager do Windows precisa de uma etapa de OAuth interativa via</w:t>
        <w:br/>
        <w:t>navegador que o ambiente sandboxed do agente não consegue completar,</w:t>
        <w:br/>
        <w:t>mesmo com o Tiago fisicamente presente e pronto pra autenticar.</w:t>
      </w:r>
    </w:p>
    <w:p>
      <w:r>
        <w:rPr>
          <w:b/>
        </w:rPr>
        <w:t>Não é um bug de código</w:t>
      </w:r>
      <w:r>
        <w:t xml:space="preserve"> — é uma limitação estrutural do ambiente.</w:t>
        <w:br/>
      </w:r>
      <w:r>
        <w:rPr>
          <w:b/>
        </w:rPr>
        <w:t>Workaround estabelecido e seguido a sessão inteira</w:t>
      </w:r>
      <w:r>
        <w:t>: o agente sempre</w:t>
        <w:br/>
        <w:t xml:space="preserve">commita localmente e pede explicitamente ao Tiago para rodar </w:t>
      </w:r>
      <w:r>
        <w:rPr>
          <w:rFonts w:ascii="Consolas" w:hAnsi="Consolas"/>
          <w:sz w:val="19"/>
        </w:rPr>
        <w:t>git push</w:t>
      </w:r>
      <w:r>
        <w:br/>
        <w:t>manualmente. Uma tentativa isolada de push funcionou sem explicação</w:t>
        <w:br/>
        <w:t>clara; tratada como não confiável, não como sinal de que o problema</w:t>
        <w:br/>
        <w:t>sumiu.</w:t>
      </w:r>
    </w:p>
    <w:p>
      <w:pPr>
        <w:pStyle w:val="Heading1"/>
      </w:pPr>
      <w:r>
        <w:t>4. Mestre IA em produção (v0.3): dois erros de configuração</w:t>
      </w:r>
    </w:p>
    <w:p>
      <w:r>
        <w:rPr>
          <w:b/>
        </w:rPr>
        <w:t>503 groq_not_configured</w:t>
      </w:r>
      <w:r>
        <w:t xml:space="preserve">: a variável </w:t>
      </w:r>
      <w:r>
        <w:rPr>
          <w:rFonts w:ascii="Consolas" w:hAnsi="Consolas"/>
          <w:sz w:val="19"/>
        </w:rPr>
        <w:t>GROQ_API_KEY</w:t>
      </w:r>
      <w:r>
        <w:t xml:space="preserve"> foi adicionada</w:t>
        <w:br/>
        <w:t>no painel da Vercel, mas o erro persistiu — causa raiz: a Vercel só lê</w:t>
        <w:br/>
        <w:t>variáveis de ambiente novas em builds novos, não retroativamente num</w:t>
        <w:br/>
        <w:t>deploy já feito. Corrigido com um redeploy.</w:t>
      </w:r>
    </w:p>
    <w:p>
      <w:r>
        <w:rPr>
          <w:b/>
        </w:rPr>
        <w:t>502 groq_upstream_error status 401</w:t>
      </w:r>
      <w:r>
        <w:t>: depois do redeploy, erro</w:t>
        <w:br/>
        <w:t>diferente — a chave colada estava incorreta/inválida. Corrigido</w:t>
        <w:br/>
        <w:t>regenerando a chave no painel da Groq e colando com mais cuidado.</w:t>
      </w:r>
    </w:p>
    <w:p>
      <w:pPr>
        <w:pStyle w:val="Heading1"/>
      </w:pPr>
      <w:r>
        <w:t>5. Login e email (v0.4): a cadeia mais longa de depuração real</w:t>
      </w:r>
    </w:p>
    <w:p>
      <w:r>
        <w:t>Esta foi a sequência de bugs mais longa da sessão, com múltiplas causas</w:t>
        <w:br/>
        <w:t>raiz distintas descobertas ao vivo, com o Tiago colando logs reais do</w:t>
        <w:br/>
        <w:t>painel do Supabase.</w:t>
      </w:r>
    </w:p>
    <w:p>
      <w:pPr>
        <w:pStyle w:val="Heading2"/>
      </w:pPr>
      <w:r>
        <w:t>5.1 Erro em inglês exposto direto ao jogador</w:t>
      </w:r>
    </w:p>
    <w:p>
      <w:r>
        <w:t xml:space="preserve">O jogador via </w:t>
      </w:r>
      <w:r>
        <w:rPr>
          <w:rFonts w:ascii="Consolas" w:hAnsi="Consolas"/>
          <w:sz w:val="19"/>
        </w:rPr>
        <w:t>"email rate limit exceeded"</w:t>
      </w:r>
      <w:r>
        <w:t xml:space="preserve"> cru, em inglês, sem</w:t>
        <w:br/>
        <w:t xml:space="preserve">tradução. Corrigido com </w:t>
      </w:r>
      <w:r>
        <w:rPr>
          <w:rFonts w:ascii="Consolas" w:hAnsi="Consolas"/>
          <w:sz w:val="19"/>
        </w:rPr>
        <w:t>AUTH_ERROR_MESSAGES</w:t>
      </w:r>
      <w:r>
        <w:t xml:space="preserve"> (</w:t>
      </w:r>
      <w:r>
        <w:rPr>
          <w:rFonts w:ascii="Consolas" w:hAnsi="Consolas"/>
          <w:sz w:val="19"/>
        </w:rPr>
        <w:t>src/auth.js</w:t>
      </w:r>
      <w:r>
        <w:t>) —</w:t>
        <w:br/>
        <w:t xml:space="preserve">mapeamento por </w:t>
      </w:r>
      <w:r>
        <w:rPr>
          <w:rFonts w:ascii="Consolas" w:hAnsi="Consolas"/>
          <w:sz w:val="19"/>
        </w:rPr>
        <w:t>error.code</w:t>
      </w:r>
      <w:r>
        <w:t xml:space="preserve"> (recomendação oficial do próprio Supabase,</w:t>
        <w:br/>
        <w:t>porque o texto da mensagem pode mudar entre versões da API, mas o</w:t>
        <w:br/>
        <w:t>código é estável).</w:t>
      </w:r>
    </w:p>
    <w:p>
      <w:pPr>
        <w:pStyle w:val="Heading2"/>
      </w:pPr>
      <w:r>
        <w:t>5.2 Causa raiz do rate limit: o email embutido do Supabase não é pra usuário final</w:t>
      </w:r>
    </w:p>
    <w:p>
      <w:r>
        <w:t>O rate limit em si era sintoma de uma limitação estrutural mais funda:</w:t>
        <w:br/>
        <w:t xml:space="preserve">o serviço de email </w:t>
      </w:r>
      <w:r>
        <w:rPr>
          <w:b/>
        </w:rPr>
        <w:t>embutido</w:t>
      </w:r>
      <w:r>
        <w:t xml:space="preserve"> do Supabase só entrega para </w:t>
      </w:r>
      <w:r>
        <w:rPr>
          <w:b/>
        </w:rPr>
        <w:t>membros</w:t>
        <w:br/>
        <w:t>da equipe do projeto</w:t>
      </w:r>
      <w:r>
        <w:t>, com teto de 2 emails/hora — confirmado na</w:t>
        <w:br/>
        <w:t>documentação oficial, não achismo. Nenhum jogador de teste real</w:t>
        <w:br/>
        <w:t>(alguém fora da equipe do painel Supabase) receberia o link, com</w:t>
        <w:br/>
        <w:t>qualquer volume. Resolvido com SMTP próprio via Brevo — escolhido sobre</w:t>
        <w:br/>
        <w:t>o Resend porque o Resend só permite mandar email pro próprio dono da</w:t>
        <w:br/>
        <w:t>conta até verificar um domínio por DNS, e o MWRPG ainda não tem domínio</w:t>
        <w:br/>
        <w:t>próprio; o Brevo verifica um remetente individual só com um código de 6</w:t>
        <w:br/>
        <w:t>dígitos.</w:t>
      </w:r>
    </w:p>
    <w:p>
      <w:pPr>
        <w:pStyle w:val="Heading2"/>
      </w:pPr>
      <w:r>
        <w:t>5.3 535 Authentication failed — duas causas raiz distintas</w:t>
      </w:r>
    </w:p>
    <w:p>
      <w:r>
        <w:t xml:space="preserve">O mesmo erro de SMTP apareceu duas vezes, por motivos </w:t>
      </w:r>
      <w:r>
        <w:rPr>
          <w:b/>
        </w:rPr>
        <w:t>diferentes</w:t>
      </w:r>
      <w:r>
        <w:t xml:space="preserve"> —</w:t>
        <w:br/>
        <w:t>registrado separadamente porque tratar como o mesmo bug teria levado a</w:t>
        <w:br/>
        <w:t>corrigir a causa errada: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Ocorrência</w:t>
            </w:r>
          </w:p>
        </w:tc>
        <w:tc>
          <w:tcPr>
            <w:tcW w:type="dxa" w:w="2880"/>
          </w:tcPr>
          <w:p>
            <w:r>
              <w:t>Causa raiz</w:t>
            </w:r>
          </w:p>
        </w:tc>
        <w:tc>
          <w:tcPr>
            <w:tcW w:type="dxa" w:w="2880"/>
          </w:tcPr>
          <w:p>
            <w:r>
              <w:t>Correção</w:t>
            </w:r>
          </w:p>
        </w:tc>
      </w:tr>
      <w:tr>
        <w:tc>
          <w:tcPr>
            <w:tcW w:type="dxa" w:w="2880"/>
          </w:tcPr>
          <w:p>
            <w:r>
              <w:t>1ª</w:t>
            </w:r>
          </w:p>
        </w:tc>
        <w:tc>
          <w:tcPr>
            <w:tcW w:type="dxa" w:w="2880"/>
          </w:tcPr>
          <w:p>
            <w:r>
              <w:t>Brevo bloqueia por padrão IPs não autorizados pra chaves SMTP, e o Supabase não tem IP fixo pra cadastrar</w:t>
            </w:r>
          </w:p>
        </w:tc>
        <w:tc>
          <w:tcPr>
            <w:tcW w:type="dxa" w:w="2880"/>
          </w:tcPr>
          <w:p>
            <w:r>
              <w:t>Desativar "Bloquear endereços IP não autorizados" especificamente para chaves SMTP no painel Brevo</w:t>
            </w:r>
          </w:p>
        </w:tc>
      </w:tr>
      <w:tr>
        <w:tc>
          <w:tcPr>
            <w:tcW w:type="dxa" w:w="2880"/>
          </w:tcPr>
          <w:p>
            <w:r>
              <w:t>2ª</w:t>
            </w:r>
          </w:p>
        </w:tc>
        <w:tc>
          <w:tcPr>
            <w:tcW w:type="dxa" w:w="2880"/>
          </w:tcPr>
          <w:p>
            <w:r>
              <w:t>Campo "Username" preenchido com o email da conta Brevo, não o login SMTP (...@smtp-brevo.com) que a própria tela do Brevo mostra</w:t>
            </w:r>
          </w:p>
        </w:tc>
        <w:tc>
          <w:tcPr>
            <w:tcW w:type="dxa" w:w="2880"/>
          </w:tcPr>
          <w:p>
            <w:r>
              <w:t>Copiar literalmente o login SMTP exibido, não digitar de memória o email de cadastro</w:t>
            </w:r>
          </w:p>
        </w:tc>
      </w:tr>
    </w:tbl>
    <w:p>
      <w:pPr>
        <w:pStyle w:val="Heading2"/>
      </w:pPr>
      <w:r>
        <w:t>5.4 Link mágico caindo em localhost porta 3000</w:t>
      </w:r>
    </w:p>
    <w:p>
      <w:r>
        <w:t>Depois do SMTP funcionar, o primeiro teste ponta a ponta real em</w:t>
        <w:br/>
        <w:t xml:space="preserve">produção voltou apontando para </w:t>
      </w:r>
      <w:r>
        <w:rPr>
          <w:rFonts w:ascii="Consolas" w:hAnsi="Consolas"/>
          <w:sz w:val="19"/>
        </w:rPr>
        <w:t>http://localhost:3000</w:t>
      </w:r>
      <w:r>
        <w:t xml:space="preserve"> com</w:t>
        <w:br/>
      </w:r>
      <w:r>
        <w:rPr>
          <w:rFonts w:ascii="Consolas" w:hAnsi="Consolas"/>
          <w:sz w:val="19"/>
        </w:rPr>
        <w:t>otp_expired</w:t>
      </w:r>
      <w:r>
        <w:t>/</w:t>
      </w:r>
      <w:r>
        <w:rPr>
          <w:rFonts w:ascii="Consolas" w:hAnsi="Consolas"/>
          <w:sz w:val="19"/>
        </w:rPr>
        <w:t>access_denied</w:t>
      </w:r>
      <w:r>
        <w:t xml:space="preserve"> na URL. </w:t>
      </w:r>
      <w:r>
        <w:rPr>
          <w:b/>
        </w:rPr>
        <w:t>Causa raiz</w:t>
      </w:r>
      <w:r>
        <w:t>: o "Site URL" do</w:t>
        <w:br/>
        <w:t>Supabase (destino padrão usado sempre que a URL pedida pelo código não</w:t>
        <w:br/>
        <w:t>bate com a lista de "Redirect URLs" permitida) continuava no valor de</w:t>
        <w:br/>
        <w:t xml:space="preserve">fábrica, e a produção não estava nessa lista — o </w:t>
      </w:r>
      <w:r>
        <w:rPr>
          <w:rFonts w:ascii="Consolas" w:hAnsi="Consolas"/>
          <w:sz w:val="19"/>
        </w:rPr>
        <w:t>emailRedirectTo</w:t>
      </w:r>
      <w:r>
        <w:t xml:space="preserve"> já</w:t>
        <w:br/>
        <w:t>correto no código (</w:t>
      </w:r>
      <w:r>
        <w:rPr>
          <w:rFonts w:ascii="Consolas" w:hAnsi="Consolas"/>
          <w:sz w:val="19"/>
        </w:rPr>
        <w:t>src/auth.js</w:t>
      </w:r>
      <w:r>
        <w:t>) era ignorado silenciosamente.</w:t>
        <w:br/>
        <w:t>Corrigido 100% no painel do Supabase (</w:t>
      </w:r>
      <w:r>
        <w:rPr>
          <w:rFonts w:ascii="Consolas" w:hAnsi="Consolas"/>
          <w:sz w:val="19"/>
        </w:rPr>
        <w:t>docs/MANUAL-05-URL-CONFIGURATION.md</w:t>
      </w:r>
      <w:r>
        <w:t>),</w:t>
        <w:br/>
      </w:r>
      <w:r>
        <w:rPr>
          <w:b/>
        </w:rPr>
        <w:t>sem nenhuma mudança de código</w:t>
      </w:r>
      <w:r>
        <w:t xml:space="preserve"> — confirmado ao reler </w:t>
      </w:r>
      <w:r>
        <w:rPr>
          <w:rFonts w:ascii="Consolas" w:hAnsi="Consolas"/>
          <w:sz w:val="19"/>
        </w:rPr>
        <w:t>src/auth.js</w:t>
      </w:r>
      <w:r>
        <w:br/>
        <w:t>antes de mexer em qualquer coisa, pra não corrigir um problema que já</w:t>
        <w:br/>
        <w:t>não existia no código.</w:t>
      </w:r>
    </w:p>
    <w:p>
      <w:pPr>
        <w:pStyle w:val="Heading1"/>
      </w:pPr>
      <w:r>
        <w:t>6. Sistema de mapa (v0.5): o pacote de tiles era autotile</w:t>
      </w:r>
    </w:p>
    <w:p>
      <w:r>
        <w:rPr>
          <w:b/>
        </w:rPr>
        <w:t>Problema</w:t>
      </w:r>
      <w:r>
        <w:t>: os primeiros dois testes de composição do mapa ficaram</w:t>
        <w:br/>
        <w:t>ruins. Na 1ª tentativa, tiles decorativos (árvore, porta) com fundo</w:t>
        <w:br/>
        <w:t>transparente substituíam diretamente o caractere de terreno na grade em</w:t>
        <w:br/>
        <w:t>vez de serem sobrepostos — apareciam como vazios brancos, sem terreno</w:t>
        <w:br/>
        <w:t>embaixo. Corrigida essa camada dupla, a 2ª tentativa revelou o problema</w:t>
        <w:br/>
        <w:t>real: o pacote Kenney "RPG Base" tem tiles de terreno em estilo</w:t>
        <w:br/>
      </w:r>
      <w:r>
        <w:rPr>
          <w:b/>
        </w:rPr>
        <w:t>autotile/blob</w:t>
      </w:r>
      <w:r>
        <w:t xml:space="preserve"> (bordas parciais desenhadas pra encaixar com vizinhos</w:t>
        <w:br/>
        <w:t>específicos) — repetir qualquer tile de terreno sozinho numa grade cria</w:t>
        <w:br/>
        <w:t>um padrão listrado/recortado não intencional. Confirmado gerando e</w:t>
        <w:br/>
        <w:t>inspecionando visualmente contact sheets dos tiles candidatos em 2-3x,</w:t>
        <w:br/>
        <w:t>não confiando na miniatura oficial pequena do pacote.</w:t>
      </w:r>
    </w:p>
    <w:p>
      <w:r>
        <w:rPr>
          <w:b/>
        </w:rPr>
        <w:t>Correção</w:t>
      </w:r>
      <w:r>
        <w:t>: abandonado o preenchimento de terreno via sprite,</w:t>
        <w:br/>
        <w:t>trocado por cor sólida desenhada via PIL (com leve efeito de xadrez)</w:t>
        <w:br/>
        <w:t>para grama/água/terra/piso — os sprites reais do Kenney (CC0) ficaram</w:t>
        <w:br/>
        <w:t>só nos elementos discretos e visualmente significativos: prédios,</w:t>
        <w:br/>
        <w:t>portas, árvores, props. Proveniência completa em</w:t>
        <w:br/>
      </w:r>
      <w:r>
        <w:rPr>
          <w:rFonts w:ascii="Consolas" w:hAnsi="Consolas"/>
          <w:sz w:val="19"/>
        </w:rPr>
        <w:t>docs/MAPAS-PROVENIENCIA.md</w:t>
      </w:r>
      <w:r>
        <w:t>.</w:t>
      </w:r>
    </w:p>
    <w:p>
      <w:pPr>
        <w:pStyle w:val="Heading1"/>
      </w:pPr>
      <w:r>
        <w:t>7. Testado, não assumido: o que foi de fato verificado em produção</w:t>
      </w:r>
    </w:p>
    <w:p>
      <w:pPr>
        <w:pStyle w:val="ListBullet"/>
      </w:pPr>
      <w:r>
        <w:t>Narração real via Groq, incorporando resultado de rolagem de dado corretamente (31/08/2026).</w:t>
      </w:r>
    </w:p>
    <w:p>
      <w:pPr>
        <w:pStyle w:val="ListBullet"/>
      </w:pPr>
      <w:r>
        <w:t>Fluxo completo de mapa (clique no marcador → interior → saída) — local, desktop e mobile 375px, sem erro de console.</w:t>
      </w:r>
    </w:p>
    <w:p>
      <w:pPr>
        <w:pStyle w:val="ListBullet"/>
      </w:pPr>
      <w:r>
        <w:rPr>
          <w:rFonts w:ascii="Consolas" w:hAnsi="Consolas"/>
          <w:sz w:val="19"/>
        </w:rPr>
        <w:t>GET /api/config</w:t>
      </w:r>
      <w:r>
        <w:t xml:space="preserve"> retornando 200 em produção, confirmando Supabase configurado.</w:t>
      </w:r>
    </w:p>
    <w:p>
      <w:pPr>
        <w:pStyle w:val="ListBullet"/>
      </w:pPr>
      <w:r>
        <w:t>Deploy do build com mapa e senha pós-login confirmado ao vivo (</w:t>
      </w:r>
      <w:r>
        <w:rPr>
          <w:rFonts w:ascii="Consolas" w:hAnsi="Consolas"/>
          <w:sz w:val="19"/>
        </w:rPr>
        <w:t>src/maps.js</w:t>
      </w:r>
      <w:r>
        <w:t xml:space="preserve"> retornando 200, texto "JÁ TENHO SENHA" presente na tela).</w:t>
      </w:r>
    </w:p>
    <w:p>
      <w:pPr>
        <w:pStyle w:val="ListBullet"/>
      </w:pPr>
      <w:r>
        <w:t xml:space="preserve">Link mágico disparado com sucesso pra </w:t>
      </w:r>
      <w:r>
        <w:rPr>
          <w:rFonts w:ascii="Consolas" w:hAnsi="Consolas"/>
          <w:sz w:val="19"/>
        </w:rPr>
        <w:t>tiago.bocchino@gmail.com</w:t>
      </w:r>
      <w:r>
        <w:t xml:space="preserve"> em produção (31/08/2026) — teste ponta a ponta completo (clique real no link, gravação em </w:t>
      </w:r>
      <w:r>
        <w:rPr>
          <w:rFonts w:ascii="Consolas" w:hAnsi="Consolas"/>
          <w:sz w:val="19"/>
        </w:rPr>
        <w:t>campaign_sessions</w:t>
      </w:r>
      <w:r>
        <w:t>, contador de rodada) segue pendente no momento em que este documento foi escrito.</w:t>
      </w:r>
    </w:p>
    <w:p>
      <w:pPr>
        <w:pStyle w:val="Heading1"/>
      </w:pPr>
      <w:r>
        <w:t>8. Nota de transparência: bugs encontrados na própria ferramenta de documentação</w:t>
      </w:r>
    </w:p>
    <w:p>
      <w:r>
        <w:t>Fora da contagem de 13 (Seção 1) por serem de ferramental, não de</w:t>
        <w:br/>
        <w:t>produto, mas registrados pela mesma disciplina de honestidade:</w:t>
      </w:r>
    </w:p>
    <w:p>
      <w:pPr>
        <w:pStyle w:val="ListNumber"/>
      </w:pPr>
      <w:r>
        <w:t xml:space="preserve">O regex de negrito do conversor </w:t>
      </w:r>
      <w:r>
        <w:rPr>
          <w:rFonts w:ascii="Consolas" w:hAnsi="Consolas"/>
          <w:sz w:val="19"/>
        </w:rPr>
        <w:t>.md</w:t>
      </w:r>
      <w:r>
        <w:t>→PDF quebrava quando um trecho</w:t>
        <w:br/>
        <w:t xml:space="preserve">   de código (</w:t>
      </w:r>
      <w:r>
        <w:rPr>
          <w:rFonts w:ascii="Consolas" w:hAnsi="Consolas"/>
          <w:sz w:val="19"/>
        </w:rPr>
        <w:t>`...`</w:t>
      </w:r>
      <w:r>
        <w:t xml:space="preserve">) continha </w:t>
      </w:r>
      <w:r>
        <w:rPr>
          <w:rFonts w:ascii="Consolas" w:hAnsi="Consolas"/>
          <w:sz w:val="19"/>
        </w:rPr>
        <w:t>**</w:t>
      </w:r>
      <w:r>
        <w:t xml:space="preserve"> literal (ex.: uma URL com</w:t>
        <w:br/>
        <w:t xml:space="preserve">   coringa </w:t>
      </w:r>
      <w:r>
        <w:rPr>
          <w:rFonts w:ascii="Consolas" w:hAnsi="Consolas"/>
          <w:sz w:val="19"/>
        </w:rPr>
        <w:t>/**</w:t>
      </w:r>
      <w:r>
        <w:t>) — corrigido protegendo blocos de código com</w:t>
        <w:br/>
        <w:t xml:space="preserve">   placeholder antes de aplicar o regex de negrito.</w:t>
      </w:r>
    </w:p>
    <w:p>
      <w:pPr>
        <w:pStyle w:val="ListNumber"/>
      </w:pPr>
      <w:r>
        <w:t>Listas numeradas reiniciavam em "1" quando interrompidas por um</w:t>
        <w:br/>
        <w:t xml:space="preserve">   bloco de código no meio (comum nas seções de consulta individual das</w:t>
        <w:br/>
        <w:t xml:space="preserve">   assembleias) — corrigido usando o número real do primeiro item do</w:t>
        <w:br/>
        <w:t xml:space="preserve">   trecho como </w:t>
      </w:r>
      <w:r>
        <w:rPr>
          <w:rFonts w:ascii="Consolas" w:hAnsi="Consolas"/>
          <w:sz w:val="19"/>
        </w:rPr>
        <w:t>start=</w:t>
      </w:r>
      <w:r>
        <w:t xml:space="preserve"> em vez de sempre </w:t>
      </w:r>
      <w:r>
        <w:rPr>
          <w:rFonts w:ascii="Consolas" w:hAnsi="Consolas"/>
          <w:sz w:val="19"/>
        </w:rPr>
        <w:t>1</w:t>
      </w:r>
      <w:r>
        <w:t>.</w:t>
      </w:r>
    </w:p>
    <w:p>
      <w:pPr>
        <w:pStyle w:val="ListNumber"/>
      </w:pPr>
      <w:r>
        <w:t>Sete glyphs Unicode de design (espada cruzada, estrela, escudo etc.)</w:t>
        <w:br/>
        <w:t xml:space="preserve">   viravam quadrados vazios no PDF — a fonte padrão do gerador não</w:t>
        <w:br/>
        <w:t xml:space="preserve">   cobre esses símbolos. Corrigido citando por nome nos documentos, em</w:t>
        <w:br/>
        <w:t xml:space="preserve">   vez de imprimir o caractere cru (Documento 04, Seção 3.3).</w:t>
      </w:r>
    </w:p>
    <w:p>
      <w:pPr>
        <w:pStyle w:val="Heading1"/>
      </w:pPr>
      <w:r>
        <w:t>9. Referências</w:t>
      </w:r>
    </w:p>
    <w:p>
      <w:pPr>
        <w:pStyle w:val="ListNumber"/>
      </w:pPr>
      <w:r>
        <w:t>Histórico completo da sessão de 31/08/2026 (git log, 18 commits) — cada bug corresponde a um ou mais commits reais.</w:t>
      </w:r>
    </w:p>
    <w:p>
      <w:pPr>
        <w:pStyle w:val="ListNumber"/>
      </w:pPr>
      <w:r>
        <w:rPr>
          <w:rFonts w:ascii="Consolas" w:hAnsi="Consolas"/>
          <w:sz w:val="19"/>
        </w:rPr>
        <w:t>docs/MANUAL-04-EMAIL-SMTP.md</w:t>
      </w:r>
      <w:r>
        <w:t xml:space="preserve"> — as duas causas do erro 535, com achado registrado no próprio manual.</w:t>
      </w:r>
    </w:p>
    <w:p>
      <w:pPr>
        <w:pStyle w:val="ListNumber"/>
      </w:pPr>
      <w:r>
        <w:rPr>
          <w:rFonts w:ascii="Consolas" w:hAnsi="Consolas"/>
          <w:sz w:val="19"/>
        </w:rPr>
        <w:t>docs/MANUAL-05-URL-CONFIGURATION.md</w:t>
      </w:r>
      <w:r>
        <w:t xml:space="preserve"> — achado do Site URL, com o código confirmado correto antes da correção.</w:t>
      </w:r>
    </w:p>
    <w:p>
      <w:pPr>
        <w:pStyle w:val="ListNumber"/>
      </w:pPr>
      <w:r>
        <w:rPr>
          <w:rFonts w:ascii="Consolas" w:hAnsi="Consolas"/>
          <w:sz w:val="19"/>
        </w:rPr>
        <w:t>docs/MAPAS-PROVENIENCIA.md</w:t>
      </w:r>
      <w:r>
        <w:t xml:space="preserve"> — técnica final de composição do mapa, tiles usados.</w:t>
      </w:r>
    </w:p>
    <w:p>
      <w:pPr>
        <w:pStyle w:val="ListNumber"/>
      </w:pPr>
      <w:r>
        <w:t>Logs reais do painel Supabase (Auth, não Postgres nem Edge — fonte de log correta para esse tipo de erro), colados ao vivo pelo Tiago durante a depuração, 31/08/2026.</w:t>
      </w:r>
    </w:p>
    <w:p>
      <w:pPr>
        <w:pStyle w:val="ListNumber"/>
      </w:pPr>
      <w:r>
        <w:rPr>
          <w:rFonts w:ascii="Consolas" w:hAnsi="Consolas"/>
          <w:sz w:val="19"/>
        </w:rPr>
        <w:t>src/auth.js</w:t>
      </w:r>
      <w:r>
        <w:t xml:space="preserve"> (127 linhas) — </w:t>
      </w:r>
      <w:r>
        <w:rPr>
          <w:rFonts w:ascii="Consolas" w:hAnsi="Consolas"/>
          <w:sz w:val="19"/>
        </w:rPr>
        <w:t>AUTH_ERROR_MESSAGES</w:t>
      </w:r>
      <w:r>
        <w:t>, lido integralmente antes e depois da correção do Site URL, confirmando que o código já estava certo.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88888"/>
        <w:sz w:val="16"/>
      </w:rPr>
      <w:t>MWRPG — A Coroa Enterrada de Ys — Documentação Prática de Implementação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