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Documentação Teórica da Construção</w:t>
      </w:r>
    </w:p>
    <w:p>
      <w:pPr>
        <w:jc w:val="center"/>
      </w:pPr>
      <w:r>
        <w:rPr>
          <w:color w:val="555555"/>
          <w:sz w:val="28"/>
        </w:rPr>
        <w:t>Por que cada técnica é a escolha certa — fundamentação conceitual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O Documento 03 cataloga </w:t>
      </w:r>
      <w:r>
        <w:rPr>
          <w:b/>
        </w:rPr>
        <w:t>o que</w:t>
      </w:r>
      <w:r>
        <w:t xml:space="preserve"> foi aplicado; este documento explica</w:t>
        <w:br/>
      </w:r>
      <w:r>
        <w:rPr>
          <w:b/>
        </w:rPr>
        <w:t>por que</w:t>
      </w:r>
      <w:r>
        <w:t xml:space="preserve"> cada técnica é a escolha correta para o problema que</w:t>
        <w:br/>
        <w:t>resolve — a fundamentação teórica por trás de cada mecanismo central</w:t>
        <w:br/>
        <w:t>do MWRPG.</w:t>
      </w:r>
    </w:p>
    <w:p>
      <w:pPr>
        <w:pStyle w:val="Heading1"/>
      </w:pPr>
      <w:r>
        <w:t>2. Por que 2d6, e não 1d20</w:t>
      </w:r>
    </w:p>
    <w:p>
      <w:r>
        <w:t>A soma de dois dados de 6 lados não é uniforme como um único d20 — é</w:t>
        <w:br/>
        <w:t xml:space="preserve">uma </w:t>
      </w:r>
      <w:r>
        <w:rPr>
          <w:b/>
        </w:rPr>
        <w:t>distribuição triangular</w:t>
      </w:r>
      <w:r>
        <w:t>: os resultados centrais (6, 7, 8) são</w:t>
        <w:br/>
        <w:t>muito mais prováveis que os extremos (2 ou 12). Isso é uma escolha de</w:t>
        <w:br/>
        <w:t>design deliberada, não um detalhe técnico neutro: um sistema baseado em</w:t>
        <w:br/>
        <w:t>1d20 dá a mesma chance (5%) pra cada resultado, então "falha</w:t>
        <w:br/>
        <w:t>catastrófica" e "sucesso pleno" são igualmente prováveis a cada rolagem</w:t>
        <w:br/>
        <w:t>— ótimo pra tensão de combate tático, ruim pra um jogo cujo pilar é</w:t>
        <w:br/>
        <w:t>"foco em narrativa, com sistema de regras leve" (</w:t>
      </w:r>
      <w:r>
        <w:rPr>
          <w:rFonts w:ascii="Consolas" w:hAnsi="Consolas"/>
          <w:sz w:val="19"/>
        </w:rPr>
        <w:t>CLAUDE.md</w:t>
      </w:r>
      <w:r>
        <w:t xml:space="preserve"> §2). Com</w:t>
        <w:br/>
        <w:t>2d6, o resultado mais comum cai exatamente na banda "sucesso parcial</w:t>
        <w:br/>
        <w:t>(7-9)" — o sistema estruturalmente favorece "você consegue, mas com</w:t>
        <w:br/>
        <w:t>custo" como o desfecho típico, que é o motor narrativo mais rico pro</w:t>
        <w:br/>
        <w:t>Mestre IA trabalhar (sempre tem uma complicação pra narrar, raramente</w:t>
        <w:br/>
        <w:t>um beco sem saída total).</w:t>
      </w:r>
    </w:p>
    <w:p>
      <w:pPr>
        <w:pStyle w:val="Heading1"/>
      </w:pPr>
      <w:r>
        <w:t>3. Por que o contrato do mestre é JSON estrito, não texto livre</w:t>
      </w:r>
    </w:p>
    <w:p>
      <w:r>
        <w:t xml:space="preserve">Pedir a um LLM que narre e </w:t>
      </w:r>
      <w:r>
        <w:rPr>
          <w:b/>
        </w:rPr>
        <w:t>também</w:t>
      </w:r>
      <w:r>
        <w:t xml:space="preserve"> decida dados estruturados</w:t>
        <w:br/>
        <w:t>(quantas opções oferecer, se a cena mudou de local, se HP mudou) tem</w:t>
        <w:br/>
        <w:t>duas soluções possíveis: parsear texto livre depois com regex/heurística,</w:t>
        <w:br/>
        <w:t>ou forçar o próprio modelo a devolver JSON. A segunda é estruturalmente</w:t>
        <w:br/>
        <w:t>mais robusta porque desloca o trabalho de extração pro momento em que o</w:t>
        <w:br/>
        <w:t>modelo já "sabe" a estrutura da própria resposta — o mesmo princípio</w:t>
        <w:br/>
        <w:t xml:space="preserve">por trás de </w:t>
      </w:r>
      <w:r>
        <w:rPr>
          <w:i/>
        </w:rPr>
        <w:t>structured output</w:t>
      </w:r>
      <w:r>
        <w:t>/</w:t>
      </w:r>
      <w:r>
        <w:rPr>
          <w:i/>
        </w:rPr>
        <w:t>function calling</w:t>
      </w:r>
      <w:r>
        <w:t xml:space="preserve"> em APIs de LLM</w:t>
        <w:br/>
        <w:t>modernas, aplicado aqui via instrução de prompt (a Groq usada</w:t>
        <w:br/>
        <w:t>(</w:t>
      </w:r>
      <w:r>
        <w:rPr>
          <w:rFonts w:ascii="Consolas" w:hAnsi="Consolas"/>
          <w:sz w:val="19"/>
        </w:rPr>
        <w:t>openai/gpt-oss-120b</w:t>
      </w:r>
      <w:r>
        <w:t>) não expõe um parâmetro de JSON mode formal</w:t>
        <w:br/>
        <w:t xml:space="preserve">verificado; a garantia vem do prompt mais </w:t>
      </w:r>
      <w:r>
        <w:rPr>
          <w:rFonts w:ascii="Consolas" w:hAnsi="Consolas"/>
          <w:sz w:val="19"/>
        </w:rPr>
        <w:t>temperature: 0.9</w:t>
      </w:r>
      <w:r>
        <w:t xml:space="preserve"> e do fato</w:t>
        <w:br/>
        <w:t>de que o campo é sempre validado no cliente antes de renderizar).</w:t>
      </w:r>
    </w:p>
    <w:p>
      <w:r>
        <w:t xml:space="preserve">O ganho estrutural mais importante: o contrato é </w:t>
      </w:r>
      <w:r>
        <w:rPr>
          <w:b/>
        </w:rPr>
        <w:t>independente do</w:t>
        <w:br/>
        <w:t>provedor</w:t>
      </w:r>
      <w:r>
        <w:t>. Trocar de Claude pra Groq (Documento 07, Seção 2) não</w:t>
        <w:br/>
        <w:t>tocou em uma linha do frontend — só no adaptador de request/response —</w:t>
        <w:br/>
        <w:t xml:space="preserve">porque </w:t>
      </w:r>
      <w:r>
        <w:rPr>
          <w:rFonts w:ascii="Consolas" w:hAnsi="Consolas"/>
          <w:sz w:val="19"/>
        </w:rPr>
        <w:t>narration</w:t>
      </w:r>
      <w:r>
        <w:t>/</w:t>
      </w:r>
      <w:r>
        <w:rPr>
          <w:rFonts w:ascii="Consolas" w:hAnsi="Consolas"/>
          <w:sz w:val="19"/>
        </w:rPr>
        <w:t>mode</w:t>
      </w:r>
      <w:r>
        <w:t>/</w:t>
      </w:r>
      <w:r>
        <w:rPr>
          <w:rFonts w:ascii="Consolas" w:hAnsi="Consolas"/>
          <w:sz w:val="19"/>
        </w:rPr>
        <w:t>options</w:t>
      </w:r>
      <w:r>
        <w:t>/</w:t>
      </w:r>
      <w:r>
        <w:rPr>
          <w:rFonts w:ascii="Consolas" w:hAnsi="Consolas"/>
          <w:sz w:val="19"/>
        </w:rPr>
        <w:t>mapHint</w:t>
      </w:r>
      <w:r>
        <w:t>/</w:t>
      </w:r>
      <w:r>
        <w:rPr>
          <w:rFonts w:ascii="Consolas" w:hAnsi="Consolas"/>
          <w:sz w:val="19"/>
        </w:rPr>
        <w:t>stateChanges</w:t>
      </w:r>
      <w:r>
        <w:t xml:space="preserve"> são um</w:t>
        <w:br/>
        <w:t>contrato de dados, não uma convenção de texto que cada modelo</w:t>
        <w:br/>
        <w:t>interpretaria diferente.</w:t>
      </w:r>
    </w:p>
    <w:p>
      <w:pPr>
        <w:pStyle w:val="Heading1"/>
      </w:pPr>
      <w:r>
        <w:t>4. Por que magic link primeiro, senha depois</w:t>
      </w:r>
    </w:p>
    <w:p>
      <w:r>
        <w:t>A ordem de atrito de um funil de cadastro é teoria de UX bem</w:t>
        <w:br/>
        <w:t>estabelecida: cada campo extra pedido antes do primeiro valor</w:t>
        <w:br/>
        <w:t>entregue ao usuário reduz conversão. Um formulário de senha na</w:t>
        <w:br/>
        <w:t>primeira tela (nome + senha + confirmação) pede compromisso antes de o</w:t>
        <w:br/>
        <w:t>jogador ter visto o produto; um magic link pede só o email — o menor</w:t>
        <w:br/>
        <w:t>compromisso possível pra provar identidade sem senha nenhuma pra</w:t>
        <w:br/>
        <w:t>lembrar.</w:t>
      </w:r>
    </w:p>
    <w:p>
      <w:r>
        <w:t xml:space="preserve">A senha entra </w:t>
      </w:r>
      <w:r>
        <w:rPr>
          <w:b/>
        </w:rPr>
        <w:t>depois</w:t>
      </w:r>
      <w:r>
        <w:t>, na confirmação do link (</w:t>
      </w:r>
      <w:r>
        <w:rPr>
          <w:rFonts w:ascii="Consolas" w:hAnsi="Consolas"/>
          <w:sz w:val="19"/>
        </w:rPr>
        <w:t>SetPasswordGate</w:t>
      </w:r>
      <w:r>
        <w:t>,</w:t>
        <w:br/>
        <w:t>opcional/pulável) — nesse ponto o jogador já demonstrou intenção real</w:t>
        <w:br/>
        <w:t>(clicou o link, voltou pro jogo), então o custo de pedir mais um passo</w:t>
        <w:br/>
        <w:t>é menor, e o ganho é real: evita depender de um novo link mágico (que</w:t>
        <w:br/>
        <w:t>exige abrir o email de novo) toda vez que o jogador retorna. É uma</w:t>
        <w:br/>
        <w:t>aplicação prática do princípio "peça o compromisso maior só depois do</w:t>
        <w:br/>
        <w:t>menor compromisso ser recompensado" — mas é também, como o Documento 07</w:t>
        <w:br/>
        <w:t>(Seção 4, retrospectiva) registra com honestidade, uma decisão que</w:t>
        <w:br/>
        <w:t>nunca foi formalmente contestada por um Frontend Engineer consultado —</w:t>
        <w:br/>
        <w:t>ela funciona, mas o processo que deveria tê-la escrutinado não rodou.</w:t>
      </w:r>
    </w:p>
    <w:p>
      <w:pPr>
        <w:pStyle w:val="Heading1"/>
      </w:pPr>
      <w:r>
        <w:t>5. Por que retrieval por tag é suficiente hoje, e quando deixaria de ser</w:t>
      </w:r>
    </w:p>
    <w:p>
      <w:r>
        <w:rPr>
          <w:rFonts w:ascii="Consolas" w:hAnsi="Consolas"/>
          <w:sz w:val="19"/>
        </w:rPr>
        <w:t>pickAcervoLore()</w:t>
      </w:r>
      <w:r>
        <w:t xml:space="preserve"> (Documento 03, Seção 5) usa </w:t>
      </w:r>
      <w:r>
        <w:rPr>
          <w:rFonts w:ascii="Consolas" w:hAnsi="Consolas"/>
          <w:sz w:val="19"/>
        </w:rPr>
        <w:t>indexOf</w:t>
      </w:r>
      <w:r>
        <w:t xml:space="preserve"> simples sobre</w:t>
        <w:br/>
        <w:t>6 entradas — não busca vetorial, sem embeddings. Isso é</w:t>
        <w:br/>
      </w:r>
      <w:r>
        <w:rPr>
          <w:b/>
        </w:rPr>
        <w:t>teoricamente correto pro tamanho atual</w:t>
      </w:r>
      <w:r>
        <w:t>: com N pequeno (aqui, N=6),</w:t>
        <w:br/>
        <w:t>o custo de uma busca de similaridade semântica (calcular embedding da</w:t>
        <w:br/>
        <w:t>consulta, comparar contra embeddings pré-calculados, rankear por</w:t>
        <w:br/>
        <w:t>distância de cosseno) tem overhead maior que o problema que resolve —</w:t>
        <w:br/>
        <w:t>uma varredura linear por sobreposição de palavra-chave já encontra o</w:t>
        <w:br/>
        <w:t>subconjunto relevante quase sempre, porque a chance de colisão</w:t>
        <w:br/>
        <w:t>acidental de tag é baixa com poucas entradas.</w:t>
      </w:r>
    </w:p>
    <w:p>
      <w:r>
        <w:t xml:space="preserve">Essa técnica </w:t>
      </w:r>
      <w:r>
        <w:rPr>
          <w:b/>
        </w:rPr>
        <w:t>deixaria de ser suficiente</w:t>
      </w:r>
      <w:r>
        <w:t xml:space="preserve"> no momento em que o acervo</w:t>
        <w:br/>
        <w:t>crescesse o bastante pra (a) ter entradas com tags parecidas mas</w:t>
        <w:br/>
        <w:t xml:space="preserve">sentido distinto (colisão semântica que um </w:t>
      </w:r>
      <w:r>
        <w:rPr>
          <w:rFonts w:ascii="Consolas" w:hAnsi="Consolas"/>
          <w:sz w:val="19"/>
        </w:rPr>
        <w:t>indexOf</w:t>
      </w:r>
      <w:r>
        <w:t xml:space="preserve"> não distingue), ou</w:t>
        <w:br/>
        <w:t>(b) o volume tornar a varredura linear perceptível em latência — nenhum</w:t>
        <w:br/>
        <w:t>dos dois é o caso hoje (o roadmap v0.5 original, RAG com Supabase</w:t>
        <w:br/>
        <w:t>pgvector, é justamente o ponto de virada planejado, ainda não</w:t>
        <w:br/>
        <w:t>justificado pelo volume atual do acervo).</w:t>
      </w:r>
    </w:p>
    <w:p>
      <w:pPr>
        <w:pStyle w:val="Heading1"/>
      </w:pPr>
      <w:r>
        <w:t>6. Por que o limite de demo é por campanha, não por usuário nem por sala</w:t>
      </w:r>
    </w:p>
    <w:p>
      <w:r>
        <w:t>Três unidades possíveis de limite existiam: por usuário (conta), por</w:t>
        <w:br/>
        <w:t>sala (grupo), ou por campanha (uma instância de jogo). A escolha por</w:t>
        <w:br/>
        <w:t>campanha tem uma justificativa dupla:</w:t>
      </w:r>
    </w:p>
    <w:p>
      <w:pPr>
        <w:pStyle w:val="ListNumber"/>
      </w:pPr>
      <w:r>
        <w:rPr>
          <w:b/>
        </w:rPr>
        <w:t>Convite, não punição</w:t>
      </w:r>
      <w:r>
        <w:t>: um limite por usuário soa como banimento</w:t>
        <w:br/>
        <w:t xml:space="preserve">   permanente depois de uma campanha ("você já usou sua cota"); por</w:t>
        <w:br/>
        <w:t xml:space="preserve">   campanha soa como "esta história específica dura até aqui" —</w:t>
        <w:br/>
        <w:t xml:space="preserve">   convida a começar de novo, não fecha a porta.</w:t>
      </w:r>
    </w:p>
    <w:p>
      <w:pPr>
        <w:pStyle w:val="ListNumber"/>
      </w:pPr>
      <w:r>
        <w:rPr>
          <w:b/>
        </w:rPr>
        <w:t>Sustenta o custo compartilhado real</w:t>
      </w:r>
      <w:r>
        <w:t>: o teto de tokens da Groq é</w:t>
        <w:br/>
        <w:t xml:space="preserve">   por organização inteira (Documento 05, Seção 6) — o limite por</w:t>
        <w:br/>
        <w:t xml:space="preserve">   campanha é a unidade que efetivamente protege esse orçamento</w:t>
        <w:br/>
        <w:t xml:space="preserve">   compartilhado, já que é o que determina quanto uma sessão de jogo</w:t>
        <w:br/>
        <w:t xml:space="preserve">   consome no total.</w:t>
      </w:r>
    </w:p>
    <w:p>
      <w:r>
        <w:t>O modelo de dados atual (</w:t>
      </w:r>
      <w:r>
        <w:rPr>
          <w:rFonts w:ascii="Consolas" w:hAnsi="Consolas"/>
          <w:sz w:val="19"/>
        </w:rPr>
        <w:t>campaign_sessions</w:t>
      </w:r>
      <w:r>
        <w:t xml:space="preserve"> 1:1 usuário, sem sala,</w:t>
        <w:br/>
        <w:t>Documento 02) faz "por campanha" coincidir com "por usuário" na</w:t>
        <w:br/>
        <w:t>prática — essa coincidência é consequência do escopo solo atual, não</w:t>
        <w:br/>
        <w:t>prova de que a escolha teórica estaria errada se sala existisse: nesse</w:t>
        <w:br/>
        <w:t>cenário, "por campanha" continuaria sendo a unidade certa, só que uma</w:t>
        <w:br/>
        <w:t>campanha passaria a pertencer a um grupo, não a uma conta individual.</w:t>
      </w:r>
    </w:p>
    <w:p>
      <w:pPr>
        <w:pStyle w:val="Heading1"/>
      </w:pPr>
      <w:r>
        <w:t>7. Por que CRS.Simple para um mapa que não é geográfico</w:t>
      </w:r>
    </w:p>
    <w:p>
      <w:r>
        <w:t>Leaflet foi desenhado originalmente pra mapas do mundo real</w:t>
        <w:br/>
        <w:t>(coordenadas de latitude/longitude, projeção Mercator). O MWRPG usa</w:t>
        <w:br/>
      </w:r>
      <w:r>
        <w:rPr>
          <w:rFonts w:ascii="Consolas" w:hAnsi="Consolas"/>
          <w:sz w:val="19"/>
        </w:rPr>
        <w:t>L.CRS.Simple</w:t>
      </w:r>
      <w:r>
        <w:t xml:space="preserve"> — um sistema de coordenadas cartesiano puro, onde 1</w:t>
        <w:br/>
        <w:t>unidade = 1 pixel da imagem, sem projeção geográfica nenhuma. Isso é</w:t>
        <w:br/>
        <w:t>teoricamente o uso correto da biblioteca fora do seu domínio nativo:</w:t>
        <w:br/>
        <w:t xml:space="preserve">Leaflet como </w:t>
      </w:r>
      <w:r>
        <w:rPr>
          <w:i/>
        </w:rPr>
        <w:t>motor de navegação em plano</w:t>
      </w:r>
      <w:r>
        <w:t xml:space="preserve"> (zoom, pan, marcadores,</w:t>
        <w:br/>
        <w:t>tooltips) é geograficamente agnóstico por baixo da API de</w:t>
        <w:br/>
        <w:t xml:space="preserve">tile/projeção — </w:t>
      </w:r>
      <w:r>
        <w:rPr>
          <w:rFonts w:ascii="Consolas" w:hAnsi="Consolas"/>
          <w:sz w:val="19"/>
        </w:rPr>
        <w:t>CRS.Simple</w:t>
      </w:r>
      <w:r>
        <w:t xml:space="preserve"> só troca a função de projeção por uma</w:t>
        <w:br/>
        <w:t>identidade. A conversão de coordenada usada</w:t>
        <w:br/>
        <w:t>(</w:t>
      </w:r>
      <w:r>
        <w:rPr>
          <w:rFonts w:ascii="Consolas" w:hAnsi="Consolas"/>
          <w:sz w:val="19"/>
        </w:rPr>
        <w:t>L.latLng(imageHeight - pixelY, pixelX)</w:t>
      </w:r>
      <w:r>
        <w:t>) existe porque o sistema de</w:t>
        <w:br/>
        <w:t>coordenadas de imagem tem origem no canto superior esquerdo (Y cresce</w:t>
        <w:br/>
        <w:t>pra baixo), enquanto o Leaflet, por herança do seu domínio geográfico</w:t>
        <w:br/>
        <w:t>original, espera Y crescendo pra cima (latitude) — a subtração inverte</w:t>
        <w:br/>
        <w:t>o eixo pra casar os dois sistemas.</w:t>
      </w:r>
    </w:p>
    <w:p>
      <w:pPr>
        <w:pStyle w:val="Heading1"/>
      </w:pPr>
      <w:r>
        <w:t>8. Por que licença de conteúdo importa antes do código, não depois</w:t>
      </w:r>
    </w:p>
    <w:p>
      <w:r>
        <w:t>Toda entrada do acervo narrativo (</w:t>
      </w:r>
      <w:r>
        <w:rPr>
          <w:rFonts w:ascii="Consolas" w:hAnsi="Consolas"/>
          <w:sz w:val="19"/>
        </w:rPr>
        <w:t>docs/ACERVO-PROVENIENCIA.md</w:t>
      </w:r>
      <w:r>
        <w:t>) e todo</w:t>
        <w:br/>
        <w:t>asset de mapa (</w:t>
      </w:r>
      <w:r>
        <w:rPr>
          <w:rFonts w:ascii="Consolas" w:hAnsi="Consolas"/>
          <w:sz w:val="19"/>
        </w:rPr>
        <w:t>docs/MAPAS-PROVENIENCIA.md</w:t>
      </w:r>
      <w:r>
        <w:t>) tem proveniência registrada</w:t>
        <w:br/>
      </w:r>
      <w:r>
        <w:rPr>
          <w:b/>
        </w:rPr>
        <w:t>antes</w:t>
      </w:r>
      <w:r>
        <w:t xml:space="preserve"> de entrar em produção, não auditada depois — esse é o desenho</w:t>
        <w:br/>
        <w:t>correto porque o custo de remover conteúdo já publicado (e</w:t>
        <w:br/>
        <w:t>potencialmente já consumido/reproduzido por jogadores) é estruturalmente</w:t>
        <w:br/>
        <w:t>maior que o custo de verificar a fonte antes. A regra prática aplicada</w:t>
        <w:br/>
        <w:t>duas vezes no projeto — nunca copiar a prosa original de uma obra</w:t>
        <w:br/>
        <w:t>específica mesmo em domínio público (o mito é livre, a tradução/edição</w:t>
        <w:br/>
        <w:t>de um autor específico pode não ser) e nunca usar sprites de terreno de</w:t>
        <w:br/>
        <w:t>forma que produza um resultado visualmente diferente do que a licença</w:t>
        <w:br/>
        <w:t>CC0 do Kenney cobre — reflete o mesmo princípio: verificar a fonte</w:t>
        <w:br/>
        <w:t>resolve o problema de raiz; confiar na aparência de "parece</w:t>
        <w:br/>
        <w:t>genérico/livre" não resolve.</w:t>
      </w:r>
    </w:p>
    <w:p>
      <w:pPr>
        <w:pStyle w:val="Heading1"/>
      </w:pPr>
      <w:r>
        <w:t>9. Referências</w:t>
      </w:r>
    </w:p>
    <w:p>
      <w:pPr>
        <w:pStyle w:val="ListNumber"/>
      </w:pPr>
      <w:r>
        <w:rPr>
          <w:rFonts w:ascii="Consolas" w:hAnsi="Consolas"/>
          <w:sz w:val="19"/>
        </w:rPr>
        <w:t>src/engine.js</w:t>
      </w:r>
      <w:r>
        <w:t xml:space="preserve"> — distribuição de </w:t>
      </w:r>
      <w:r>
        <w:rPr>
          <w:rFonts w:ascii="Consolas" w:hAnsi="Consolas"/>
          <w:sz w:val="19"/>
        </w:rPr>
        <w:t>roll2d6</w:t>
      </w:r>
      <w:r>
        <w:t>, verificada por leitura direta.</w:t>
      </w:r>
    </w:p>
    <w:p>
      <w:pPr>
        <w:pStyle w:val="ListNumber"/>
      </w:pPr>
      <w:r>
        <w:rPr>
          <w:rFonts w:ascii="Consolas" w:hAnsi="Consolas"/>
          <w:sz w:val="19"/>
        </w:rPr>
        <w:t>src/master.js</w:t>
      </w:r>
      <w:r>
        <w:t xml:space="preserve"> — </w:t>
      </w:r>
      <w:r>
        <w:rPr>
          <w:rFonts w:ascii="Consolas" w:hAnsi="Consolas"/>
          <w:sz w:val="19"/>
        </w:rPr>
        <w:t>SYSTEM_PROMPT</w:t>
      </w:r>
      <w:r>
        <w:t>, contrato JSON, lido integralmente.</w:t>
      </w:r>
    </w:p>
    <w:p>
      <w:pPr>
        <w:pStyle w:val="ListNumber"/>
      </w:pPr>
      <w:r>
        <w:rPr>
          <w:rFonts w:ascii="Consolas" w:hAnsi="Consolas"/>
          <w:sz w:val="19"/>
        </w:rPr>
        <w:t>src/auth.js</w:t>
      </w:r>
      <w:r>
        <w:t xml:space="preserve">, </w:t>
      </w:r>
      <w:r>
        <w:rPr>
          <w:rFonts w:ascii="Consolas" w:hAnsi="Consolas"/>
          <w:sz w:val="19"/>
        </w:rPr>
        <w:t>src/components.jsx</w:t>
      </w:r>
      <w:r>
        <w:t xml:space="preserve"> (</w:t>
      </w:r>
      <w:r>
        <w:rPr>
          <w:rFonts w:ascii="Consolas" w:hAnsi="Consolas"/>
          <w:sz w:val="19"/>
        </w:rPr>
        <w:t>LoginGate</w:t>
      </w:r>
      <w:r>
        <w:t xml:space="preserve">, </w:t>
      </w:r>
      <w:r>
        <w:rPr>
          <w:rFonts w:ascii="Consolas" w:hAnsi="Consolas"/>
          <w:sz w:val="19"/>
        </w:rPr>
        <w:t>SetPasswordGate</w:t>
      </w:r>
      <w:r>
        <w:t>) — fluxo de atrito de cadastro.</w:t>
      </w:r>
    </w:p>
    <w:p>
      <w:pPr>
        <w:pStyle w:val="ListNumber"/>
      </w:pPr>
      <w:r>
        <w:rPr>
          <w:rFonts w:ascii="Consolas" w:hAnsi="Consolas"/>
          <w:sz w:val="19"/>
        </w:rPr>
        <w:t>src/acervo.js</w:t>
      </w:r>
      <w:r>
        <w:t xml:space="preserve">, </w:t>
      </w:r>
      <w:r>
        <w:rPr>
          <w:rFonts w:ascii="Consolas" w:hAnsi="Consolas"/>
          <w:sz w:val="19"/>
        </w:rPr>
        <w:t>src/maps.js</w:t>
      </w:r>
      <w:r>
        <w:t xml:space="preserve"> — retrieval por tag e sistema de coordenadas Leaflet.</w:t>
      </w:r>
    </w:p>
    <w:p>
      <w:pPr>
        <w:pStyle w:val="ListNumber"/>
      </w:pPr>
      <w:r>
        <w:t xml:space="preserve">Leaflet. </w:t>
      </w:r>
      <w:r>
        <w:rPr>
          <w:b/>
        </w:rPr>
        <w:t>Using a non-geographical CRS</w:t>
      </w:r>
      <w:r>
        <w:t xml:space="preserve">. </w:t>
      </w:r>
      <w:r>
        <w:rPr>
          <w:i/>
        </w:rPr>
        <w:t>https://leafletjs.com/examples/crs-simple/crs-simple.html (https://leafletjs.com/examples/crs-simple/crs-simple.html)</w:t>
      </w:r>
      <w:r>
        <w:t xml:space="preserve">. Documentação oficial do </w:t>
      </w:r>
      <w:r>
        <w:rPr>
          <w:rFonts w:ascii="Consolas" w:hAnsi="Consolas"/>
          <w:sz w:val="19"/>
        </w:rPr>
        <w:t>CRS.Simple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docs/ACERVO-PROVENIENCIA.md</w:t>
      </w:r>
      <w:r>
        <w:t xml:space="preserve">, </w:t>
      </w:r>
      <w:r>
        <w:rPr>
          <w:rFonts w:ascii="Consolas" w:hAnsi="Consolas"/>
          <w:sz w:val="19"/>
        </w:rPr>
        <w:t>docs/MAPAS-PROVENIENCIA.md</w:t>
      </w:r>
      <w:r>
        <w:t xml:space="preserve"> — disciplina de proveniência aplicada antes da publicação.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Documentação Teórica da Construção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