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0D1B2A"/>
          <w:sz w:val="64"/>
          <w:szCs w:val="64"/>
        </w:rPr>
        <w:t xml:space="preserve">BESS OPTIMIZER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00C9A7"/>
          <w:sz w:val="40"/>
          <w:szCs w:val="40"/>
        </w:rPr>
        <w:t xml:space="preserve">Portugal &amp; Ibéria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1B3A5C"/>
          <w:sz w:val="24"/>
          <w:szCs w:val="24"/>
        </w:rPr>
        <w:t xml:space="preserve">Otimização de Armazenamento de Energia com IA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color w:val="8BA3B8"/>
          <w:sz w:val="22"/>
          <w:szCs w:val="22"/>
        </w:rPr>
        <w:t xml:space="preserve">Plano de Negócio — 2026</w:t>
      </w:r>
    </w:p>
    <w:p>
      <w:pPr>
        <w:shd w:fill="FFF3CD" w:color="FFF3CD" w:val="clear"/>
        <w:spacing w:after="200" w:before="0"/>
        <w:ind w:left="1701" w:right="1701"/>
        <w:jc w:val="center"/>
      </w:pPr>
      <w:r>
        <w:rPr>
          <w:rFonts w:ascii="Calibri" w:cs="Calibri" w:eastAsia="Calibri" w:hAnsi="Calibri"/>
          <w:b/>
          <w:bCs/>
          <w:color w:val="F5A623"/>
          <w:sz w:val="20"/>
          <w:szCs w:val="20"/>
        </w:rPr>
        <w:t xml:space="preserve">CONFIDENCIAL — Apenas para Investidores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Sumário Executivo</w:t>
      </w:r>
    </w:p>
    <w:p>
      <w:pPr>
        <w:pStyle w:val="Heading2"/>
        <w:pBdr>
          <w:bottom w:val="single" w:color="00C9A7" w:sz="6"/>
        </w:pBdr>
        <w:spacing w:after="160" w:before="3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O Negócio</w:t>
      </w:r>
    </w:p>
    <w:p>
      <w:pPr>
        <w:spacing w:after="12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A BESS Optimizer é uma empresa portuguesa de software e serviços energéticos que gere baterias de armazenamento de energia (BESS) de terceiros utilizando algoritmos de Inteligência Artificial, maximizando as suas receitas em múltiplos mercados elétricos ibéricos em simultâneo.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00C9A7"/>
          <w:sz w:val="20"/>
          <w:szCs w:val="20"/>
        </w:rPr>
        <w:t xml:space="preserve">Não compramos baterias. </w:t>
      </w:r>
      <w:r>
        <w:rPr>
          <w:rFonts w:ascii="Calibri" w:cs="Calibri" w:eastAsia="Calibri" w:hAnsi="Calibri"/>
          <w:color w:val="1A2636"/>
          <w:sz w:val="20"/>
          <w:szCs w:val="20"/>
        </w:rPr>
        <w:t xml:space="preserve">Gerimos baterias que já existem — e capturamos uma percentagem das receitas geradas.</w:t>
      </w:r>
    </w:p>
    <w:p>
      <w:pPr>
        <w:pStyle w:val="Heading2"/>
        <w:pBdr>
          <w:bottom w:val="single" w:color="00C9A7" w:sz="6"/>
        </w:pBdr>
        <w:spacing w:after="160" w:before="3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A Oportunidade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O quadro regulatório para agregadores independentes abriu em fevereiro de 2025 (primeira autorização histórica)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Concurso de 750 MVA de armazenamento standalone para 2026, impulsionado por €400M de investimento público pós-blackout ibérico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A EDP vai instalar 180 MW de baterias em Carregado (BigBATT, operacional em março de 2027)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Não existe nenhuma empresa nativa portuguesa neste mercado — os únicos operadores são estrangeiros (IGNIS espanhola, Entrix alemã)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O mercado global VPP cresce para €39–46 mil milhões em 2035 (CAGR 21–25%)</w:t>
      </w:r>
    </w:p>
    <w:p>
      <w:pPr>
        <w:pStyle w:val="Heading2"/>
        <w:pBdr>
          <w:bottom w:val="single" w:color="00C9A7" w:sz="6"/>
        </w:pBdr>
        <w:spacing w:after="160" w:before="3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O Modelo</w:t>
      </w:r>
    </w:p>
    <w:p>
      <w:pPr>
        <w:spacing w:after="12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Cobramos 10–25% das receitas geradas pelo algoritmo para o proprietário da bateria — sem custo fixo, sem risco para o cliente. Escala para modelo Tolling à medida que construímos track record.</w:t>
      </w:r>
    </w:p>
    <w:p>
      <w:pPr>
        <w:pStyle w:val="Heading2"/>
        <w:pBdr>
          <w:bottom w:val="single" w:color="00C9A7" w:sz="6"/>
        </w:pBdr>
        <w:spacing w:after="160" w:before="3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Benchmark de Mercado</w:t>
      </w:r>
    </w:p>
    <w:p>
      <w:pPr>
        <w:shd w:fill="EBF5FB" w:color="EBF5FB" w:val="clear"/>
        <w:spacing w:after="160" w:before="120"/>
        <w:ind w:left="227" w:right="227"/>
      </w:pPr>
      <w:r>
        <w:rPr>
          <w:rFonts w:ascii="Calibri" w:cs="Calibri" w:eastAsia="Calibri" w:hAnsi="Calibri"/>
          <w:i/>
          <w:iCs/>
          <w:color w:val="1B3A5C"/>
          <w:sz w:val="18"/>
          <w:szCs w:val="18"/>
        </w:rPr>
        <w:t xml:space="preserve">ℹ  A empresa alemã enspired (verificado por KPMG) gera em média €166.753/MW/ano em 2025. Estimativa conservadora para Ibéria: €80.000–€120.000/MW/ano. Com 15% de revenue share, a nossa receita: €12.000–€18.000/MW/ano.</w:t>
      </w:r>
    </w:p>
    <w:p>
      <w:pPr>
        <w:pStyle w:val="Heading2"/>
        <w:pBdr>
          <w:bottom w:val="single" w:color="00C9A7" w:sz="6"/>
        </w:pBdr>
        <w:spacing w:after="160" w:before="3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Pedido de Investimento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bottom w:type="dxa" w:w="2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6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Montante</w:t>
            </w:r>
          </w:p>
        </w:tc>
        <w:tc>
          <w:tcPr>
            <w:tcW w:type="dxa" w:w="36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28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Pré-seed (imediato)</w:t>
            </w:r>
          </w:p>
        </w:tc>
        <w:tc>
          <w:tcPr>
            <w:tcW w:type="dxa" w:w="26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€350.000–€400.000</w:t>
            </w:r>
          </w:p>
        </w:tc>
        <w:tc>
          <w:tcPr>
            <w:tcW w:type="dxa" w:w="36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Equipa + processo regulatório + algoritmo MVP</w:t>
            </w:r>
          </w:p>
        </w:tc>
      </w:tr>
      <w:tr>
        <w:tc>
          <w:tcPr>
            <w:tcW w:type="dxa" w:w="28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Seed (12 meses)</w:t>
            </w:r>
          </w:p>
        </w:tc>
        <w:tc>
          <w:tcPr>
            <w:tcW w:type="dxa" w:w="26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€900.000–€1.200.000</w:t>
            </w:r>
          </w:p>
        </w:tc>
        <w:tc>
          <w:tcPr>
            <w:tcW w:type="dxa" w:w="36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Go-live no primeiro ativo + escalar 50–100 MW</w:t>
            </w:r>
          </w:p>
        </w:tc>
      </w:tr>
    </w:tbl>
    <w:p>
      <w:pPr>
        <w:spacing w:before="200"/>
      </w:pPr>
    </w:p>
    <w:p>
      <w:pPr>
        <w:pStyle w:val="Heading2"/>
        <w:pBdr>
          <w:bottom w:val="single" w:color="00C9A7" w:sz="6"/>
        </w:pBdr>
        <w:spacing w:after="160" w:before="3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Projeções Financeiras (conservadoras)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bottom w:type="dxa" w:w="2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Ano</w:t>
            </w:r>
          </w:p>
        </w:tc>
        <w:tc>
          <w:tcPr>
            <w:tcW w:type="dxa" w:w="25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MW sob Gestão</w:t>
            </w:r>
          </w:p>
        </w:tc>
        <w:tc>
          <w:tcPr>
            <w:tcW w:type="dxa" w:w="20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Receita</w:t>
            </w:r>
          </w:p>
        </w:tc>
        <w:tc>
          <w:tcPr>
            <w:tcW w:type="dxa" w:w="30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EBITDA</w:t>
            </w:r>
          </w:p>
        </w:tc>
      </w:tr>
      <w:tr>
        <w:tc>
          <w:tcPr>
            <w:tcW w:type="dxa" w:w="1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2026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0 (shadow trading)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€0–€30K</w:t>
            </w:r>
          </w:p>
        </w:tc>
        <w:tc>
          <w:tcPr>
            <w:tcW w:type="dxa" w:w="3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-€285K a -€315K</w:t>
            </w:r>
          </w:p>
        </w:tc>
      </w:tr>
      <w:tr>
        <w:tc>
          <w:tcPr>
            <w:tcW w:type="dxa" w:w="15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2027</w:t>
            </w:r>
          </w:p>
        </w:tc>
        <w:tc>
          <w:tcPr>
            <w:tcW w:type="dxa" w:w="25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42 MW (avg 24 MW)</w:t>
            </w:r>
          </w:p>
        </w:tc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€346K</w:t>
            </w:r>
          </w:p>
        </w:tc>
        <w:tc>
          <w:tcPr>
            <w:tcW w:type="dxa" w:w="3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-€177K</w:t>
            </w:r>
          </w:p>
        </w:tc>
      </w:tr>
      <w:tr>
        <w:tc>
          <w:tcPr>
            <w:tcW w:type="dxa" w:w="1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2028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170 MW (avg 108 MW)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€1,6M</w:t>
            </w:r>
          </w:p>
        </w:tc>
        <w:tc>
          <w:tcPr>
            <w:tcW w:type="dxa" w:w="3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+€777K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2. Visão, Missão e Proposta de Valor</w:t>
      </w:r>
    </w:p>
    <w:p>
      <w:pPr>
        <w:pStyle w:val="Heading2"/>
        <w:pBdr>
          <w:bottom w:val="single" w:color="00C9A7" w:sz="6"/>
        </w:pBdr>
        <w:spacing w:after="160" w:before="3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Visão</w:t>
      </w:r>
    </w:p>
    <w:p>
      <w:pPr>
        <w:spacing w:after="12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Ser o operador de referência de ativos de armazenamento de energia em Portugal e Ibéria — a empresa que os proprietários de baterias escolhem para maximizar as suas receitas de mercado.</w:t>
      </w:r>
    </w:p>
    <w:p>
      <w:pPr>
        <w:pStyle w:val="Heading2"/>
        <w:pBdr>
          <w:bottom w:val="single" w:color="00C9A7" w:sz="6"/>
        </w:pBdr>
        <w:spacing w:after="160" w:before="3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Missão</w:t>
      </w:r>
    </w:p>
    <w:p>
      <w:pPr>
        <w:spacing w:after="12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Tornar cada bateria instalada em Portugal economicamente ótima, combinando inteligência artificial com profundo conhecimento dos mercados energéticos ibéricos.</w:t>
      </w:r>
    </w:p>
    <w:p>
      <w:pPr>
        <w:pStyle w:val="Heading2"/>
        <w:pBdr>
          <w:bottom w:val="single" w:color="00C9A7" w:sz="6"/>
        </w:pBdr>
        <w:spacing w:after="160" w:before="3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Proposta de Valor — Para os Proprietários de BESS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Sem investimento inicial: modelo de revenue share alinhado com resultados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Mais receita do que conseguiriam sozinhos: algoritmo opera em 3 camadas de mercado em simultâneo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Sem risco tecnológico: gerimos toda a integração SCADA, certificações regulatórias e operação 24/7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Transparência total: dashboard em tempo real com performance, receitas e estado dos ativos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Proteção do ativo: gestão ativa do estado de carga, degradação e ciclos</w:t>
      </w:r>
    </w:p>
    <w:p>
      <w:pPr>
        <w:pStyle w:val="Heading2"/>
        <w:pBdr>
          <w:bottom w:val="single" w:color="00C9A7" w:sz="6"/>
        </w:pBdr>
        <w:spacing w:after="160" w:before="3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Diferenciação Competitiva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bottom w:type="dxa" w:w="2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Dimensão</w:t>
            </w:r>
          </w:p>
        </w:tc>
        <w:tc>
          <w:tcPr>
            <w:tcW w:type="dxa" w:w="20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Nós</w:t>
            </w:r>
          </w:p>
        </w:tc>
        <w:tc>
          <w:tcPr>
            <w:tcW w:type="dxa" w:w="20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IGNIS (ES)</w:t>
            </w:r>
          </w:p>
        </w:tc>
        <w:tc>
          <w:tcPr>
            <w:tcW w:type="dxa" w:w="25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Entrix (DE)</w:t>
            </w:r>
          </w:p>
        </w:tc>
      </w:tr>
      <w:tr>
        <w:tc>
          <w:tcPr>
            <w:tcW w:type="dxa" w:w="2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Origem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Portugal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Espanha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Alemanha</w:t>
            </w:r>
          </w:p>
        </w:tc>
      </w:tr>
      <w:tr>
        <w:tc>
          <w:tcPr>
            <w:tcW w:type="dxa" w:w="25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Presença local</w:t>
            </w:r>
          </w:p>
        </w:tc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Sim — Lisboa</w:t>
            </w:r>
          </w:p>
        </w:tc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Remota</w:t>
            </w:r>
          </w:p>
        </w:tc>
        <w:tc>
          <w:tcPr>
            <w:tcW w:type="dxa" w:w="25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Remota</w:t>
            </w:r>
          </w:p>
        </w:tc>
      </w:tr>
      <w:tr>
        <w:tc>
          <w:tcPr>
            <w:tcW w:type="dxa" w:w="2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Foco em PT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Primário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Secundário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Secundário</w:t>
            </w:r>
          </w:p>
        </w:tc>
      </w:tr>
      <w:tr>
        <w:tc>
          <w:tcPr>
            <w:tcW w:type="dxa" w:w="25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Conhecimento REN</w:t>
            </w:r>
          </w:p>
        </w:tc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Profundo</w:t>
            </w:r>
          </w:p>
        </w:tc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Limitado</w:t>
            </w:r>
          </w:p>
        </w:tc>
        <w:tc>
          <w:tcPr>
            <w:tcW w:type="dxa" w:w="25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Limitado</w:t>
            </w:r>
          </w:p>
        </w:tc>
      </w:tr>
      <w:tr>
        <w:tc>
          <w:tcPr>
            <w:tcW w:type="dxa" w:w="2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Velocidade regulatória PT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Máxima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Dependente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Dependente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3. Análise de Mercado</w:t>
      </w:r>
    </w:p>
    <w:p>
      <w:pPr>
        <w:pStyle w:val="Heading2"/>
        <w:pBdr>
          <w:bottom w:val="single" w:color="00C9A7" w:sz="6"/>
        </w:pBdr>
        <w:spacing w:after="160" w:before="3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3.1 TAM — Total Addressable Market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bottom w:type="dxa" w:w="20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40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50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4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VPP Global 2025</w:t>
            </w:r>
          </w:p>
        </w:tc>
        <w:tc>
          <w:tcPr>
            <w:tcW w:type="dxa" w:w="5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€6,3–7,7 mil milhões</w:t>
            </w:r>
          </w:p>
        </w:tc>
      </w:tr>
      <w:tr>
        <w:tc>
          <w:tcPr>
            <w:tcW w:type="dxa" w:w="4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VPP Global 2035</w:t>
            </w:r>
          </w:p>
        </w:tc>
        <w:tc>
          <w:tcPr>
            <w:tcW w:type="dxa" w:w="5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€39–46 mil milhões</w:t>
            </w:r>
          </w:p>
        </w:tc>
      </w:tr>
      <w:tr>
        <w:tc>
          <w:tcPr>
            <w:tcW w:type="dxa" w:w="4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CAGR 2025–2035</w:t>
            </w:r>
          </w:p>
        </w:tc>
        <w:tc>
          <w:tcPr>
            <w:tcW w:type="dxa" w:w="5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21–25%</w:t>
            </w:r>
          </w:p>
        </w:tc>
      </w:tr>
      <w:tr>
        <w:tc>
          <w:tcPr>
            <w:tcW w:type="dxa" w:w="4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Europa VPP 2025</w:t>
            </w:r>
          </w:p>
        </w:tc>
        <w:tc>
          <w:tcPr>
            <w:tcW w:type="dxa" w:w="5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€1,5–2,6 mil milhões</w:t>
            </w:r>
          </w:p>
        </w:tc>
      </w:tr>
      <w:tr>
        <w:tc>
          <w:tcPr>
            <w:tcW w:type="dxa" w:w="4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BESS europeu sob contratos de flexibilidade (2025)</w:t>
            </w:r>
          </w:p>
        </w:tc>
        <w:tc>
          <w:tcPr>
            <w:tcW w:type="dxa" w:w="5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~24 GWh (3× vs 2024)</w:t>
            </w:r>
          </w:p>
        </w:tc>
      </w:tr>
    </w:tbl>
    <w:p>
      <w:pPr>
        <w:spacing w:before="200"/>
      </w:pPr>
    </w:p>
    <w:p>
      <w:pPr>
        <w:pStyle w:val="Heading2"/>
        <w:pBdr>
          <w:bottom w:val="single" w:color="00C9A7" w:sz="6"/>
        </w:pBdr>
        <w:spacing w:after="160" w:before="3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3.2 SAM — Pipeline de Armazenamento em Portugal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bottom w:type="dxa" w:w="2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Projeto</w:t>
            </w:r>
          </w:p>
        </w:tc>
        <w:tc>
          <w:tcPr>
            <w:tcW w:type="dxa" w:w="16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Empresa</w:t>
            </w:r>
          </w:p>
        </w:tc>
        <w:tc>
          <w:tcPr>
            <w:tcW w:type="dxa" w:w="20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Capacidade</w:t>
            </w:r>
          </w:p>
        </w:tc>
        <w:tc>
          <w:tcPr>
            <w:tcW w:type="dxa" w:w="17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17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Ano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Casal da Cortiça</w:t>
            </w:r>
          </w:p>
        </w:tc>
        <w:tc>
          <w:tcPr>
            <w:tcW w:type="dxa" w:w="16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Infraventus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12 MVA / 24 MWh</w:t>
            </w:r>
          </w:p>
        </w:tc>
        <w:tc>
          <w:tcPr>
            <w:tcW w:type="dxa" w:w="17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Operacional</w:t>
            </w:r>
          </w:p>
        </w:tc>
        <w:tc>
          <w:tcPr>
            <w:tcW w:type="dxa" w:w="17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Jun 2025</w:t>
            </w:r>
          </w:p>
        </w:tc>
      </w:tr>
      <w:tr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Leilão 750 MVA</w:t>
            </w:r>
          </w:p>
        </w:tc>
        <w:tc>
          <w:tcPr>
            <w:tcW w:type="dxa" w:w="16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Vários</w:t>
            </w:r>
          </w:p>
        </w:tc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750 MVA standalone</w:t>
            </w:r>
          </w:p>
        </w:tc>
        <w:tc>
          <w:tcPr>
            <w:tcW w:type="dxa" w:w="17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Concurso 2026</w:t>
            </w:r>
          </w:p>
        </w:tc>
        <w:tc>
          <w:tcPr>
            <w:tcW w:type="dxa" w:w="17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2027–28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BigBATT</w:t>
            </w:r>
          </w:p>
        </w:tc>
        <w:tc>
          <w:tcPr>
            <w:tcW w:type="dxa" w:w="16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EDP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180 MW / 360 MWh</w:t>
            </w:r>
          </w:p>
        </w:tc>
        <w:tc>
          <w:tcPr>
            <w:tcW w:type="dxa" w:w="17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Em construção</w:t>
            </w:r>
          </w:p>
        </w:tc>
        <w:tc>
          <w:tcPr>
            <w:tcW w:type="dxa" w:w="17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Mar 2027</w:t>
            </w:r>
          </w:p>
        </w:tc>
      </w:tr>
      <w:tr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Sophia site</w:t>
            </w:r>
          </w:p>
        </w:tc>
        <w:tc>
          <w:tcPr>
            <w:tcW w:type="dxa" w:w="16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Lightsource bp</w:t>
            </w:r>
          </w:p>
        </w:tc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300 MWh</w:t>
            </w:r>
          </w:p>
        </w:tc>
        <w:tc>
          <w:tcPr>
            <w:tcW w:type="dxa" w:w="17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Planeado</w:t>
            </w:r>
          </w:p>
        </w:tc>
        <w:tc>
          <w:tcPr>
            <w:tcW w:type="dxa" w:w="17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2027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Pego Hybrid</w:t>
            </w:r>
          </w:p>
        </w:tc>
        <w:tc>
          <w:tcPr>
            <w:tcW w:type="dxa" w:w="16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Endesa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168,6 MW / 337 MWh</w:t>
            </w:r>
          </w:p>
        </w:tc>
        <w:tc>
          <w:tcPr>
            <w:tcW w:type="dxa" w:w="17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Planeado</w:t>
            </w:r>
          </w:p>
        </w:tc>
        <w:tc>
          <w:tcPr>
            <w:tcW w:type="dxa" w:w="17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2027</w:t>
            </w:r>
          </w:p>
        </w:tc>
      </w:tr>
      <w:tr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PRR — Akuo</w:t>
            </w:r>
          </w:p>
        </w:tc>
        <w:tc>
          <w:tcPr>
            <w:tcW w:type="dxa" w:w="16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Akuo</w:t>
            </w:r>
          </w:p>
        </w:tc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80 MW</w:t>
            </w:r>
          </w:p>
        </w:tc>
        <w:tc>
          <w:tcPr>
            <w:tcW w:type="dxa" w:w="17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Pipeline</w:t>
            </w:r>
          </w:p>
        </w:tc>
        <w:tc>
          <w:tcPr>
            <w:tcW w:type="dxa" w:w="17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2027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PRR — Iberdrola</w:t>
            </w:r>
          </w:p>
        </w:tc>
        <w:tc>
          <w:tcPr>
            <w:tcW w:type="dxa" w:w="16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Iberdrola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80 MW</w:t>
            </w:r>
          </w:p>
        </w:tc>
        <w:tc>
          <w:tcPr>
            <w:tcW w:type="dxa" w:w="17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Pipeline</w:t>
            </w:r>
          </w:p>
        </w:tc>
        <w:tc>
          <w:tcPr>
            <w:tcW w:type="dxa" w:w="17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2027</w:t>
            </w:r>
          </w:p>
        </w:tc>
      </w:tr>
      <w:tr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PRR — Galp</w:t>
            </w:r>
          </w:p>
        </w:tc>
        <w:tc>
          <w:tcPr>
            <w:tcW w:type="dxa" w:w="16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Galp</w:t>
            </w:r>
          </w:p>
        </w:tc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55 MW</w:t>
            </w:r>
          </w:p>
        </w:tc>
        <w:tc>
          <w:tcPr>
            <w:tcW w:type="dxa" w:w="17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Pipeline</w:t>
            </w:r>
          </w:p>
        </w:tc>
        <w:tc>
          <w:tcPr>
            <w:tcW w:type="dxa" w:w="17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2026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Meta PNEC</w:t>
            </w:r>
          </w:p>
        </w:tc>
        <w:tc>
          <w:tcPr>
            <w:tcW w:type="dxa" w:w="16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1.500 MW</w:t>
            </w:r>
          </w:p>
        </w:tc>
        <w:tc>
          <w:tcPr>
            <w:tcW w:type="dxa" w:w="17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Meta nacional</w:t>
            </w:r>
          </w:p>
        </w:tc>
        <w:tc>
          <w:tcPr>
            <w:tcW w:type="dxa" w:w="17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2030</w:t>
            </w:r>
          </w:p>
        </w:tc>
      </w:tr>
    </w:tbl>
    <w:p>
      <w:pPr>
        <w:spacing w:before="160"/>
      </w:pPr>
    </w:p>
    <w:p>
      <w:pPr>
        <w:spacing w:after="12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Pipeline português total visível (2026–2028): &gt; 1.400 MW</w:t>
      </w:r>
    </w:p>
    <w:p>
      <w:pPr>
        <w:spacing w:before="200"/>
      </w:pPr>
    </w:p>
    <w:p>
      <w:pPr>
        <w:pStyle w:val="Heading2"/>
        <w:pBdr>
          <w:bottom w:val="single" w:color="00C9A7" w:sz="6"/>
        </w:pBdr>
        <w:spacing w:after="160" w:before="3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3.3 SOM — Mercado Acessível em 3 Anos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Objetivo realista (2028): 150–200 MW sob gestão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Receita própria projetada: €1,5M–€2,5M/ano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Lógica: 10–15 ativos de 10–20 MW cada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Portugal tem ~15–20 promotores/donos de BESS identificáveis; objetivo: converter 5–8 em clientes</w:t>
      </w:r>
    </w:p>
    <w:p>
      <w:pPr>
        <w:pStyle w:val="Heading2"/>
        <w:pBdr>
          <w:bottom w:val="single" w:color="00C9A7" w:sz="6"/>
        </w:pBdr>
        <w:spacing w:after="160" w:before="3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3.4 Dinâmicas de Mercado Favoráveis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Intervalos 15 minutos (Set 2025): quadruplica as oportunidades de arbitragem intraday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Crescimento dos ancilares: custo subiu 162% em 2024 (€7,66/MWh vs €2,92/MWh) — maior remuneração para fornecedores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mFRR novo: adoptado em março 2024, integrado na plataforma europeia MARI em novembro 2024 — menos competição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€400M de investimento público pós-blackout ibérico — momentum político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Curtailments crescentes de solar — baterias que absorvem excedentes são remuneradas</w:t>
      </w:r>
    </w:p>
    <w:p>
      <w:pPr>
        <w:pStyle w:val="Heading2"/>
        <w:pBdr>
          <w:bottom w:val="single" w:color="00C9A7" w:sz="6"/>
        </w:pBdr>
        <w:spacing w:after="160" w:before="3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3.5 Concorrência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bottom w:type="dxa" w:w="2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Empresa</w:t>
            </w:r>
          </w:p>
        </w:tc>
        <w:tc>
          <w:tcPr>
            <w:tcW w:type="dxa" w:w="15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HQ</w:t>
            </w:r>
          </w:p>
        </w:tc>
        <w:tc>
          <w:tcPr>
            <w:tcW w:type="dxa" w:w="25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Portfolio</w:t>
            </w:r>
          </w:p>
        </w:tc>
        <w:tc>
          <w:tcPr>
            <w:tcW w:type="dxa" w:w="30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Presença PT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enspired</w:t>
            </w:r>
          </w:p>
        </w:tc>
        <w:tc>
          <w:tcPr>
            <w:tcW w:type="dxa" w:w="1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Áustria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&gt;1,6 GW</w:t>
            </w:r>
          </w:p>
        </w:tc>
        <w:tc>
          <w:tcPr>
            <w:tcW w:type="dxa" w:w="3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Espanha (via Nexus) — PT não confirmado</w:t>
            </w:r>
          </w:p>
        </w:tc>
      </w:tr>
      <w:tr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Entrix</w:t>
            </w:r>
          </w:p>
        </w:tc>
        <w:tc>
          <w:tcPr>
            <w:tcW w:type="dxa" w:w="15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Alemanha</w:t>
            </w:r>
          </w:p>
        </w:tc>
        <w:tc>
          <w:tcPr>
            <w:tcW w:type="dxa" w:w="25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Pipeline &gt;7 GW (via Kyon)</w:t>
            </w:r>
          </w:p>
        </w:tc>
        <w:tc>
          <w:tcPr>
            <w:tcW w:type="dxa" w:w="3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Anunciou PT Out 2025 — remoto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Next Kraftwerke (RWE)</w:t>
            </w:r>
          </w:p>
        </w:tc>
        <w:tc>
          <w:tcPr>
            <w:tcW w:type="dxa" w:w="1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Alemanha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Maior VPP Europa</w:t>
            </w:r>
          </w:p>
        </w:tc>
        <w:tc>
          <w:tcPr>
            <w:tcW w:type="dxa" w:w="3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Não confirmado PT</w:t>
            </w:r>
          </w:p>
        </w:tc>
      </w:tr>
      <w:tr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IGNIS Energía</w:t>
            </w:r>
          </w:p>
        </w:tc>
        <w:tc>
          <w:tcPr>
            <w:tcW w:type="dxa" w:w="15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Espanha</w:t>
            </w:r>
          </w:p>
        </w:tc>
        <w:tc>
          <w:tcPr>
            <w:tcW w:type="dxa" w:w="25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1.º agregador independente PT (Fev 2025)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Capalo AI</w:t>
            </w:r>
          </w:p>
        </w:tc>
        <w:tc>
          <w:tcPr>
            <w:tcW w:type="dxa" w:w="1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Finlândia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&gt;200 MW / &gt;1 GWh</w:t>
            </w:r>
          </w:p>
        </w:tc>
        <w:tc>
          <w:tcPr>
            <w:tcW w:type="dxa" w:w="3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Báltico apenas</w:t>
            </w:r>
          </w:p>
        </w:tc>
      </w:tr>
      <w:tr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[Esta empresa]</w:t>
            </w:r>
          </w:p>
        </w:tc>
        <w:tc>
          <w:tcPr>
            <w:tcW w:type="dxa" w:w="15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Portugal</w:t>
            </w:r>
          </w:p>
        </w:tc>
        <w:tc>
          <w:tcPr>
            <w:tcW w:type="dxa" w:w="25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0 → 150+ MW</w:t>
            </w:r>
          </w:p>
        </w:tc>
        <w:tc>
          <w:tcPr>
            <w:tcW w:type="dxa" w:w="3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Lisboa — nativo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4. Tecnologia — Arquitetura e Stack</w:t>
      </w:r>
    </w:p>
    <w:p>
      <w:pPr>
        <w:pStyle w:val="Heading2"/>
        <w:pBdr>
          <w:bottom w:val="single" w:color="00C9A7" w:sz="6"/>
        </w:pBdr>
        <w:spacing w:after="160" w:before="3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4.1 Visão Geral</w:t>
      </w:r>
    </w:p>
    <w:p>
      <w:pPr>
        <w:spacing w:after="12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O sistema opera como um cérebro central de otimização com três camadas principais: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Camada 1 — Ingestão de Dados: OMIE, REN/REE, meteorologia, BMS da bateria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Camada 2 — Motor de Previsão: XGBoost + Transformer para previsão de preços 24–72h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Camada 3 — Motor de Decisão (Deep Reinforcement Learning): política ótima de carga/descarga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Camada 4 — Execução: licitação OMIE automática + SCADA → BMS em &lt;100ms</w:t>
      </w:r>
    </w:p>
    <w:p>
      <w:pPr>
        <w:pStyle w:val="Heading2"/>
        <w:pBdr>
          <w:bottom w:val="single" w:color="00C9A7" w:sz="6"/>
        </w:pBdr>
        <w:spacing w:after="160" w:before="3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4.2 Motor de Previsão de Preços</w:t>
      </w:r>
    </w:p>
    <w:p>
      <w:pPr>
        <w:spacing w:after="12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Arquitectura: Ensemble XGBoost + Temporal Fusion Transformer (TFT)</w:t>
      </w:r>
    </w:p>
    <w:p>
      <w:pPr>
        <w:spacing w:after="12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Inputs: histórico OMIE, produção solar/eólica, meteorologia, hora, sazonalidade, preços gás/CO₂</w:t>
      </w:r>
    </w:p>
    <w:p>
      <w:pPr>
        <w:spacing w:after="12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Output: distribuição probabilística de preços para as próximas 24–72 horas (intervalos 15 min)</w:t>
      </w:r>
    </w:p>
    <w:p>
      <w:pPr>
        <w:spacing w:after="12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Performance target: MAE &lt; €5/MWh para day-ahead ibérico</w:t>
      </w:r>
    </w:p>
    <w:p>
      <w:pPr>
        <w:spacing w:after="12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Ferramentas: Python · XGBoost · PyTorch · Darts</w:t>
      </w:r>
    </w:p>
    <w:p>
      <w:pPr>
        <w:pStyle w:val="Heading2"/>
        <w:pBdr>
          <w:bottom w:val="single" w:color="00C9A7" w:sz="6"/>
        </w:pBdr>
        <w:spacing w:after="160" w:before="3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4.3 Motor de Decisão — Deep Reinforcement Learning</w:t>
      </w:r>
    </w:p>
    <w:p>
      <w:pPr>
        <w:spacing w:after="12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Por que DRL e não MILP clássico? O DRL aprende uma política ótima através de milhões de simulações, lidando nativamente com incerteza e complexidade multi-mercado. Estudos publicados mostram +58% de melhoria vs MILP em arbitragem de energia.</w:t>
      </w:r>
    </w:p>
    <w:p>
      <w:pPr>
        <w:spacing w:after="12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Algoritmo: PPO (Proximal Policy Optimization) via Stable-Baselines3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Estado (State): SoC da bateria, preços futuros previstos, hora, compromissos de mercado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Ação (Action): % potência para carregar / descarregar / reservar para ancilares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Recompensa: receita OMIE + receita ancilares — penalidade degradação — penalidade não-conformidade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Treino: simulações em 2+ anos de dados históricos ibéricos; reteino semanal</w:t>
      </w:r>
    </w:p>
    <w:p>
      <w:pPr>
        <w:pStyle w:val="Heading2"/>
        <w:pBdr>
          <w:bottom w:val="single" w:color="00C9A7" w:sz="6"/>
        </w:pBdr>
        <w:spacing w:after="160" w:before="3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4.4 Integração SCADA e Protocolos Industriais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bottom w:type="dxa" w:w="2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Protocolo</w:t>
            </w:r>
          </w:p>
        </w:tc>
        <w:tc>
          <w:tcPr>
            <w:tcW w:type="dxa" w:w="30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  <w:tc>
          <w:tcPr>
            <w:tcW w:type="dxa" w:w="40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Fabricantes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IEC 61850</w:t>
            </w:r>
          </w:p>
        </w:tc>
        <w:tc>
          <w:tcPr>
            <w:tcW w:type="dxa" w:w="3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BESS de grade utility</w:t>
            </w:r>
          </w:p>
        </w:tc>
        <w:tc>
          <w:tcPr>
            <w:tcW w:type="dxa" w:w="4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CATL, BYD, Saft, ABB</w:t>
            </w:r>
          </w:p>
        </w:tc>
      </w:tr>
      <w:tr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MODBUS TCP</w:t>
            </w:r>
          </w:p>
        </w:tc>
        <w:tc>
          <w:tcPr>
            <w:tcW w:type="dxa" w:w="3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Sistemas mais simples / legado</w:t>
            </w:r>
          </w:p>
        </w:tc>
        <w:tc>
          <w:tcPr>
            <w:tcW w:type="dxa" w:w="4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SMA, Fronius, Victron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IEC 60870-5-104</w:t>
            </w:r>
          </w:p>
        </w:tc>
        <w:tc>
          <w:tcPr>
            <w:tcW w:type="dxa" w:w="3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Telecontrol para REN</w:t>
            </w:r>
          </w:p>
        </w:tc>
        <w:tc>
          <w:tcPr>
            <w:tcW w:type="dxa" w:w="4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Interface SCADA REN</w:t>
            </w:r>
          </w:p>
        </w:tc>
      </w:tr>
      <w:tr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OpenDNP3</w:t>
            </w:r>
          </w:p>
        </w:tc>
        <w:tc>
          <w:tcPr>
            <w:tcW w:type="dxa" w:w="3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Protocolo americano</w:t>
            </w:r>
          </w:p>
        </w:tc>
        <w:tc>
          <w:tcPr>
            <w:tcW w:type="dxa" w:w="4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Schneider Electric</w:t>
            </w:r>
          </w:p>
        </w:tc>
      </w:tr>
    </w:tbl>
    <w:p>
      <w:pPr>
        <w:spacing w:before="200"/>
      </w:pPr>
    </w:p>
    <w:p>
      <w:pPr>
        <w:pStyle w:val="Heading2"/>
        <w:pBdr>
          <w:bottom w:val="single" w:color="00C9A7" w:sz="6"/>
        </w:pBdr>
        <w:spacing w:after="160" w:before="3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4.5 Stack Tecnológico Completo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bottom w:type="dxa" w:w="2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25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45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Justificação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Linguagem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Python 3.12</w:t>
            </w:r>
          </w:p>
        </w:tc>
        <w:tc>
          <w:tcPr>
            <w:tcW w:type="dxa" w:w="4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Standard em ML/energia</w:t>
            </w:r>
          </w:p>
        </w:tc>
      </w:tr>
      <w:tr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RL</w:t>
            </w:r>
          </w:p>
        </w:tc>
        <w:tc>
          <w:tcPr>
            <w:tcW w:type="dxa" w:w="25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Stable-Baselines3 · PPO</w:t>
            </w:r>
          </w:p>
        </w:tc>
        <w:tc>
          <w:tcPr>
            <w:tcW w:type="dxa" w:w="45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Biblioteca RL standard (investigação + indústria)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Forecasting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XGBoost · PyTorch · Darts</w:t>
            </w:r>
          </w:p>
        </w:tc>
        <w:tc>
          <w:tcPr>
            <w:tcW w:type="dxa" w:w="4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Ensemble robusto para séries temporais energéticas</w:t>
            </w:r>
          </w:p>
        </w:tc>
      </w:tr>
      <w:tr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Dados mercado</w:t>
            </w:r>
          </w:p>
        </w:tc>
        <w:tc>
          <w:tcPr>
            <w:tcW w:type="dxa" w:w="25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OMIEData · entsoe-py</w:t>
            </w:r>
          </w:p>
        </w:tc>
        <w:tc>
          <w:tcPr>
            <w:tcW w:type="dxa" w:w="45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Packages open-source para dados ibéricos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Time-series DB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InfluxDB</w:t>
            </w:r>
          </w:p>
        </w:tc>
        <w:tc>
          <w:tcPr>
            <w:tcW w:type="dxa" w:w="4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Standard indústria para métricas em tempo real</w:t>
            </w:r>
          </w:p>
        </w:tc>
      </w:tr>
      <w:tr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Streaming</w:t>
            </w:r>
          </w:p>
        </w:tc>
        <w:tc>
          <w:tcPr>
            <w:tcW w:type="dxa" w:w="25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Apache Kafka</w:t>
            </w:r>
          </w:p>
        </w:tc>
        <w:tc>
          <w:tcPr>
            <w:tcW w:type="dxa" w:w="45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Dados de mercado e telemetria em tempo real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SCADA/BMS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pyiec61850 · pymodbus</w:t>
            </w:r>
          </w:p>
        </w:tc>
        <w:tc>
          <w:tcPr>
            <w:tcW w:type="dxa" w:w="4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Libraries Python para protocolos industriais</w:t>
            </w:r>
          </w:p>
        </w:tc>
      </w:tr>
      <w:tr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Cloud</w:t>
            </w:r>
          </w:p>
        </w:tc>
        <w:tc>
          <w:tcPr>
            <w:tcW w:type="dxa" w:w="25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AWS (EC2 + S3 + RDS)</w:t>
            </w:r>
          </w:p>
        </w:tc>
        <w:tc>
          <w:tcPr>
            <w:tcW w:type="dxa" w:w="45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Infra escalável com presença em Lisboa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Monitoring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Grafana + InfluxDB</w:t>
            </w:r>
          </w:p>
        </w:tc>
        <w:tc>
          <w:tcPr>
            <w:tcW w:type="dxa" w:w="4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Dashboards operacionais 24/7</w:t>
            </w:r>
          </w:p>
        </w:tc>
      </w:tr>
      <w:tr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Alertas</w:t>
            </w:r>
          </w:p>
        </w:tc>
        <w:tc>
          <w:tcPr>
            <w:tcW w:type="dxa" w:w="25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PagerDuty + Telegram</w:t>
            </w:r>
          </w:p>
        </w:tc>
        <w:tc>
          <w:tcPr>
            <w:tcW w:type="dxa" w:w="45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Alertas críticos para equipa de turno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FastAPI (Python)</w:t>
            </w:r>
          </w:p>
        </w:tc>
        <w:tc>
          <w:tcPr>
            <w:tcW w:type="dxa" w:w="4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API interna e dashboard cliente</w:t>
            </w:r>
          </w:p>
        </w:tc>
      </w:tr>
      <w:tr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Dashboard</w:t>
            </w:r>
          </w:p>
        </w:tc>
        <w:tc>
          <w:tcPr>
            <w:tcW w:type="dxa" w:w="25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React + TypeScript</w:t>
            </w:r>
          </w:p>
        </w:tc>
        <w:tc>
          <w:tcPr>
            <w:tcW w:type="dxa" w:w="45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Interface cliente — performance e relatórios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CI/CD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4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Deploy automático e testes</w:t>
            </w:r>
          </w:p>
        </w:tc>
      </w:tr>
    </w:tbl>
    <w:p>
      <w:pPr>
        <w:pStyle w:val="Heading2"/>
        <w:pBdr>
          <w:bottom w:val="single" w:color="00C9A7" w:sz="6"/>
        </w:pBdr>
        <w:spacing w:after="160" w:before="3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4.6 Roadmap Técnico — 12 Meses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00C9A7"/>
          <w:sz w:val="22"/>
          <w:szCs w:val="22"/>
        </w:rPr>
        <w:t xml:space="preserve">Fase 0 — Meses 1–2: Fundação de Dados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Setup infraestrutura cloud (AWS)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Pipeline OMIE histórico + live via OMIEData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Base de dados InfluxDB + dashboards internos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00C9A7"/>
          <w:sz w:val="22"/>
          <w:szCs w:val="22"/>
        </w:rPr>
        <w:t xml:space="preserve">Fase 1 — Meses 3–5: Algoritmo Central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Modelo XGBoost de previsão day-ahead (MAE target &lt;€6/MWh)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Ambiente de simulação Gymnasium com dados ibéricos 2022–2025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Treino inicial do agente PPO + framework de backtesting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00C9A7"/>
          <w:sz w:val="22"/>
          <w:szCs w:val="22"/>
        </w:rPr>
        <w:t xml:space="preserve">Fase 2 — Meses 6–8: Integração com Ativo Real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Conector IEC 61850 para BMS do ativo piloto (Infraventus)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Shadow trading ao vivo — sistema operacional em paralelo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Dashboard de performance para cliente (versão alpha)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00C9A7"/>
          <w:sz w:val="22"/>
          <w:szCs w:val="22"/>
        </w:rPr>
        <w:t xml:space="preserve">Fase 3 — Meses 9–12: Go-Live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Primeiro despacho live no mercado day-ahead OMIE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Qualificação FCR + aFRR com REN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Monitorização 24/7 operacional (Grafana + PagerDuty)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Integração de segundo ativo</w:t>
      </w:r>
    </w:p>
    <w:p>
      <w:r>
        <w:br w:type="page"/>
      </w:r>
    </w:p>
    <w:p>
      <w:pPr>
        <w:pStyle w:val="Heading1"/>
        <w:spacing w:after="200" w:before="400"/>
      </w:pPr>
      <w:r>
        <w:t xml:space="preserve">5. Modelo de Negócio e Unit Economics</w:t>
      </w:r>
    </w:p>
    <w:p>
      <w:pPr>
        <w:pStyle w:val="Heading2"/>
        <w:pBdr>
          <w:bottom w:val="single" w:color="00C9A7" w:sz="6"/>
        </w:pBdr>
        <w:spacing w:after="160" w:before="3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5.1 Estruturas Comerciais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bottom w:type="dxa" w:w="2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Modelo</w:t>
            </w:r>
          </w:p>
        </w:tc>
        <w:tc>
          <w:tcPr>
            <w:tcW w:type="dxa" w:w="25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Fee</w:t>
            </w:r>
          </w:p>
        </w:tc>
        <w:tc>
          <w:tcPr>
            <w:tcW w:type="dxa" w:w="25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dxa" w:w="22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</w:tr>
      <w:tr>
        <w:tc>
          <w:tcPr>
            <w:tcW w:type="dxa" w:w="18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Revenue Share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10–25% das receitas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Dono do ativo assume risco de mercado</w:t>
            </w:r>
          </w:p>
        </w:tc>
        <w:tc>
          <w:tcPr>
            <w:tcW w:type="dxa" w:w="22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Arranque (0–24 meses)</w:t>
            </w:r>
          </w:p>
        </w:tc>
      </w:tr>
      <w:tr>
        <w:tc>
          <w:tcPr>
            <w:tcW w:type="dxa" w:w="18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Tolling</w:t>
            </w:r>
          </w:p>
        </w:tc>
        <w:tc>
          <w:tcPr>
            <w:tcW w:type="dxa" w:w="25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Toll fixo ao dono + toda a receita para nós</w:t>
            </w:r>
          </w:p>
        </w:tc>
        <w:tc>
          <w:tcPr>
            <w:tcW w:type="dxa" w:w="25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Otimizador assume todo o risco/upside</w:t>
            </w:r>
          </w:p>
        </w:tc>
        <w:tc>
          <w:tcPr>
            <w:tcW w:type="dxa" w:w="22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Escala (24–48 meses)</w:t>
            </w:r>
          </w:p>
        </w:tc>
      </w:tr>
      <w:tr>
        <w:tc>
          <w:tcPr>
            <w:tcW w:type="dxa" w:w="18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Floor Price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Garantia mínima + partilha do excedente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Equilibrado</w:t>
            </w:r>
          </w:p>
        </w:tc>
        <w:tc>
          <w:tcPr>
            <w:tcW w:type="dxa" w:w="22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Clientes com financiamento bancário</w:t>
            </w:r>
          </w:p>
        </w:tc>
      </w:tr>
      <w:tr>
        <w:tc>
          <w:tcPr>
            <w:tcW w:type="dxa" w:w="18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SaaS</w:t>
            </w:r>
          </w:p>
        </w:tc>
        <w:tc>
          <w:tcPr>
            <w:tcW w:type="dxa" w:w="25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Licença anual €100K–€500K</w:t>
            </w:r>
          </w:p>
        </w:tc>
        <w:tc>
          <w:tcPr>
            <w:tcW w:type="dxa" w:w="25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Zero risco de trading</w:t>
            </w:r>
          </w:p>
        </w:tc>
        <w:tc>
          <w:tcPr>
            <w:tcW w:type="dxa" w:w="22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Futuro (36+ meses)</w:t>
            </w:r>
          </w:p>
        </w:tc>
      </w:tr>
    </w:tbl>
    <w:p>
      <w:pPr>
        <w:spacing w:before="200"/>
      </w:pPr>
    </w:p>
    <w:p>
      <w:pPr>
        <w:pStyle w:val="Heading2"/>
        <w:pBdr>
          <w:bottom w:val="single" w:color="00C9A7" w:sz="6"/>
        </w:pBdr>
        <w:spacing w:after="160" w:before="3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5.2 Unit Economics (Revenue Share, Base)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bottom w:type="dxa" w:w="2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Fonte de Receita</w:t>
            </w:r>
          </w:p>
        </w:tc>
        <w:tc>
          <w:tcPr>
            <w:tcW w:type="dxa" w:w="25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Revenue/MW/ano</w:t>
            </w:r>
          </w:p>
        </w:tc>
        <w:tc>
          <w:tcPr>
            <w:tcW w:type="dxa" w:w="35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Confiança</w:t>
            </w:r>
          </w:p>
        </w:tc>
      </w:tr>
      <w:tr>
        <w:tc>
          <w:tcPr>
            <w:tcW w:type="dxa" w:w="3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Arbitragem spot (OMIE)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€30.000–€50.000</w:t>
            </w:r>
          </w:p>
        </w:tc>
        <w:tc>
          <w:tcPr>
            <w:tcW w:type="dxa" w:w="3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3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FCR</w:t>
            </w:r>
          </w:p>
        </w:tc>
        <w:tc>
          <w:tcPr>
            <w:tcW w:type="dxa" w:w="25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€15.000–€25.000</w:t>
            </w:r>
          </w:p>
        </w:tc>
        <w:tc>
          <w:tcPr>
            <w:tcW w:type="dxa" w:w="35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Baixa (sem dados PT verificados)</w:t>
            </w:r>
          </w:p>
        </w:tc>
      </w:tr>
      <w:tr>
        <w:tc>
          <w:tcPr>
            <w:tcW w:type="dxa" w:w="3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aFRR / mFRR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€15.000–€30.000</w:t>
            </w:r>
          </w:p>
        </w:tc>
        <w:tc>
          <w:tcPr>
            <w:tcW w:type="dxa" w:w="3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Baixa (produto novo em PT)</w:t>
            </w:r>
          </w:p>
        </w:tc>
      </w:tr>
      <w:tr>
        <w:tc>
          <w:tcPr>
            <w:tcW w:type="dxa" w:w="3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Total estimado para o ativo</w:t>
            </w:r>
          </w:p>
        </w:tc>
        <w:tc>
          <w:tcPr>
            <w:tcW w:type="dxa" w:w="25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€60.000–€105.000</w:t>
            </w:r>
          </w:p>
        </w:tc>
        <w:tc>
          <w:tcPr>
            <w:tcW w:type="dxa" w:w="35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Conservador vs enspired €166K (DE)</w:t>
            </w:r>
          </w:p>
        </w:tc>
      </w:tr>
    </w:tbl>
    <w:p>
      <w:pPr>
        <w:spacing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bottom w:type="dxa" w:w="2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25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Revenue/MW/ano para nós (15%)</w:t>
            </w:r>
          </w:p>
        </w:tc>
        <w:tc>
          <w:tcPr>
            <w:tcW w:type="dxa" w:w="25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Custo marginal/MW/ano</w:t>
            </w:r>
          </w:p>
        </w:tc>
        <w:tc>
          <w:tcPr>
            <w:tcW w:type="dxa" w:w="20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Margem bruta</w:t>
            </w:r>
          </w:p>
        </w:tc>
      </w:tr>
      <w:tr>
        <w:tc>
          <w:tcPr>
            <w:tcW w:type="dxa" w:w="3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Pessimista (€60K × 15%)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€9.000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€11.000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-€2.000 (1.º ano)</w:t>
            </w:r>
          </w:p>
        </w:tc>
      </w:tr>
      <w:tr>
        <w:tc>
          <w:tcPr>
            <w:tcW w:type="dxa" w:w="3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Base (€85K × 15%)</w:t>
            </w:r>
          </w:p>
        </w:tc>
        <w:tc>
          <w:tcPr>
            <w:tcW w:type="dxa" w:w="25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€12.750</w:t>
            </w:r>
          </w:p>
        </w:tc>
        <w:tc>
          <w:tcPr>
            <w:tcW w:type="dxa" w:w="25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€9.000</w:t>
            </w:r>
          </w:p>
        </w:tc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€3.750 (29%)</w:t>
            </w:r>
          </w:p>
        </w:tc>
      </w:tr>
      <w:tr>
        <w:tc>
          <w:tcPr>
            <w:tcW w:type="dxa" w:w="3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Otimista (€105K × 15%)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€15.750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€7.000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€8.750 (56%)</w:t>
            </w:r>
          </w:p>
        </w:tc>
      </w:tr>
    </w:tbl>
    <w:p>
      <w:pPr>
        <w:shd w:fill="FFF3CD" w:color="FFF3CD" w:val="clear"/>
        <w:spacing w:after="160" w:before="120"/>
        <w:ind w:left="227" w:right="227"/>
      </w:pPr>
      <w:r>
        <w:rPr>
          <w:rFonts w:ascii="Calibri" w:cs="Calibri" w:eastAsia="Calibri" w:hAnsi="Calibri"/>
          <w:color w:val="7B5C00"/>
          <w:sz w:val="18"/>
          <w:szCs w:val="18"/>
        </w:rPr>
        <w:t xml:space="preserve">⚠  A perda no cenário pessimista no 1.º ano de cada ativo é recuperada nos seguintes (custo de integração é one-time). Contratos de 3+ anos são sempre positivos em todos os cenários.</w:t>
      </w:r>
    </w:p>
    <w:p>
      <w:pPr>
        <w:pStyle w:val="Heading2"/>
        <w:pBdr>
          <w:bottom w:val="single" w:color="00C9A7" w:sz="6"/>
        </w:pBdr>
        <w:spacing w:after="160" w:before="3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5.3 Análise de Breakeven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Equipa 4 FTE (overheads ~€350K/ano) → breakeven a ~28 MW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Equipa 6 FTE (overheads ~€480K/ano) → breakeven a ~38 MW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Equipa 8 FTE (overheads ~€650K/ano) → breakeven a ~51 MW</w:t>
      </w:r>
    </w:p>
    <w:p>
      <w:pPr>
        <w:shd w:fill="EBF5FB" w:color="EBF5FB" w:val="clear"/>
        <w:spacing w:after="160" w:before="120"/>
        <w:ind w:left="227" w:right="227"/>
      </w:pPr>
      <w:r>
        <w:rPr>
          <w:rFonts w:ascii="Calibri" w:cs="Calibri" w:eastAsia="Calibri" w:hAnsi="Calibri"/>
          <w:i/>
          <w:iCs/>
          <w:color w:val="1B3A5C"/>
          <w:sz w:val="18"/>
          <w:szCs w:val="18"/>
        </w:rPr>
        <w:t xml:space="preserve">ℹ  Com equipa enxuta de 4–5 pessoas, o breakeven operacional é atingível com 30–40 MW — equivalente a 3–4 ativos de 10 MW.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6. Go-to-Market — Primeiros Clientes e Pipeline</w:t>
      </w:r>
    </w:p>
    <w:p>
      <w:pPr>
        <w:pStyle w:val="Heading2"/>
        <w:pBdr>
          <w:bottom w:val="single" w:color="00C9A7" w:sz="6"/>
        </w:pBdr>
        <w:spacing w:after="160" w:before="3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6.1 Primeiro Cliente Target — Infraventus (Casal da Cortiça)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bottom w:type="dxa" w:w="20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W w:type="dxa" w:w="65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2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Ativo</w:t>
            </w:r>
          </w:p>
        </w:tc>
        <w:tc>
          <w:tcPr>
            <w:tcW w:type="dxa" w:w="6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12 MVA / 24 MWh — standalone merchant</w:t>
            </w:r>
          </w:p>
        </w:tc>
      </w:tr>
      <w:tr>
        <w:tc>
          <w:tcPr>
            <w:tcW w:type="dxa" w:w="25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Estado</w:t>
            </w:r>
          </w:p>
        </w:tc>
        <w:tc>
          <w:tcPr>
            <w:tcW w:type="dxa" w:w="65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Operacional desde junho 2025 — único standalone merchant de grande escala em Portugal</w:t>
            </w:r>
          </w:p>
        </w:tc>
      </w:tr>
      <w:tr>
        <w:tc>
          <w:tcPr>
            <w:tcW w:type="dxa" w:w="2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Urgência</w:t>
            </w:r>
          </w:p>
        </w:tc>
        <w:tc>
          <w:tcPr>
            <w:tcW w:type="dxa" w:w="6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Alta — já a participar no mercado; provavelmente a deixar receita na mesa</w:t>
            </w:r>
          </w:p>
        </w:tc>
      </w:tr>
      <w:tr>
        <w:tc>
          <w:tcPr>
            <w:tcW w:type="dxa" w:w="25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Acesso</w:t>
            </w:r>
          </w:p>
        </w:tc>
        <w:tc>
          <w:tcPr>
            <w:tcW w:type="dxa" w:w="65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Via Macedo Vitorino (assessoraram o projeto) ou LinkedIn</w:t>
            </w:r>
          </w:p>
        </w:tc>
      </w:tr>
      <w:tr>
        <w:tc>
          <w:tcPr>
            <w:tcW w:type="dxa" w:w="2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Proposta</w:t>
            </w:r>
          </w:p>
        </w:tc>
        <w:tc>
          <w:tcPr>
            <w:tcW w:type="dxa" w:w="6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Revenue share sobre melhoria demonstrada em shadow trading de 60 dias</w:t>
            </w:r>
          </w:p>
        </w:tc>
      </w:tr>
      <w:tr>
        <w:tc>
          <w:tcPr>
            <w:tcW w:type="dxa" w:w="25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Potencial</w:t>
            </w:r>
          </w:p>
        </w:tc>
        <w:tc>
          <w:tcPr>
            <w:tcW w:type="dxa" w:w="65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12 MW × €12.750 = ~€153.000/ano de receita para nós</w:t>
            </w:r>
          </w:p>
        </w:tc>
      </w:tr>
    </w:tbl>
    <w:p>
      <w:pPr>
        <w:spacing w:before="200"/>
      </w:pPr>
    </w:p>
    <w:p>
      <w:pPr>
        <w:pStyle w:val="Heading2"/>
        <w:pBdr>
          <w:bottom w:val="single" w:color="00C9A7" w:sz="6"/>
        </w:pBdr>
        <w:spacing w:after="160" w:before="3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6.2 Pipeline de Clientes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Tier 1 (2026): Infraventus + outros proprietários de BESS standalone operacionais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Tier 2 (2027): Winners do leilão 750 MVA — estes projetos precisarão de otimizador desde o dia 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Tier 3 (2027+): EDP BigBATT (180 MW), Galp, Iberdrola PT, Akuo</w:t>
      </w:r>
    </w:p>
    <w:p>
      <w:pPr>
        <w:pStyle w:val="Heading2"/>
        <w:pBdr>
          <w:bottom w:val="single" w:color="00C9A7" w:sz="6"/>
        </w:pBdr>
        <w:spacing w:after="160" w:before="3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6.3 Estratégia de Vendas — Shadow Trading como Proof</w:t>
      </w:r>
    </w:p>
    <w:p>
      <w:pPr>
        <w:spacing w:after="12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Antes de ter qualquer cliente, usamos dados históricos OMIE para fazer shadow trading retroativo: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Simular performance histórica do ativo do cliente com o nosso algoritmo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Comparar receita simulada vs receita real (ou benchmark de mercado)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Apresentar: "Com o nosso algoritmo, o seu ativo teria gerado €X a mais nos últimos 6 meses"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Propor: 60 dias de shadow trading ao vivo sem compromisso, sem custos</w:t>
      </w:r>
    </w:p>
    <w:p>
      <w:pPr>
        <w:spacing w:after="12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Este approach elimina o risco percebido para o cliente e é o argumento de venda mais poderoso disponível.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7. Processo Regulatório — Passo a Passo</w:t>
      </w:r>
    </w:p>
    <w:p>
      <w:pPr>
        <w:shd w:fill="FFF3CD" w:color="FFF3CD" w:val="clear"/>
        <w:spacing w:after="160" w:before="120"/>
        <w:ind w:left="227" w:right="227"/>
      </w:pPr>
      <w:r>
        <w:rPr>
          <w:rFonts w:ascii="Calibri" w:cs="Calibri" w:eastAsia="Calibri" w:hAnsi="Calibri"/>
          <w:color w:val="7B5C00"/>
          <w:sz w:val="18"/>
          <w:szCs w:val="18"/>
        </w:rPr>
        <w:t xml:space="preserve">⚠  O processo regulatório é o caminho crítico do negócio. Sem concluir todos os passos (9–15 meses), não é possível fazer live trading. Deve começar no Mês 1.</w:t>
      </w:r>
    </w:p>
    <w:p>
      <w:pPr>
        <w:pStyle w:val="Heading2"/>
        <w:pBdr>
          <w:bottom w:val="single" w:color="00C9A7" w:sz="6"/>
        </w:pBdr>
        <w:spacing w:after="160" w:before="3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Timeline Regulatória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bottom w:type="dxa" w:w="2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Passo</w:t>
            </w:r>
          </w:p>
        </w:tc>
        <w:tc>
          <w:tcPr>
            <w:tcW w:type="dxa" w:w="22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Entidade</w:t>
            </w:r>
          </w:p>
        </w:tc>
        <w:tc>
          <w:tcPr>
            <w:tcW w:type="dxa" w:w="18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20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Custo estimado</w:t>
            </w:r>
          </w:p>
        </w:tc>
      </w:tr>
      <w:tr>
        <w:tc>
          <w:tcPr>
            <w:tcW w:type="dxa" w:w="3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1. Constituição empresa + NIF + CAE</w:t>
            </w:r>
          </w:p>
        </w:tc>
        <w:tc>
          <w:tcPr>
            <w:tcW w:type="dxa" w:w="22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Conservatória + AT</w:t>
            </w:r>
          </w:p>
        </w:tc>
        <w:tc>
          <w:tcPr>
            <w:tcW w:type="dxa" w:w="18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2–4 semanas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€500–€2.000</w:t>
            </w:r>
          </w:p>
        </w:tc>
      </w:tr>
      <w:tr>
        <w:tc>
          <w:tcPr>
            <w:tcW w:type="dxa" w:w="3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2. Registo DGEG (comercializador)</w:t>
            </w:r>
          </w:p>
        </w:tc>
        <w:tc>
          <w:tcPr>
            <w:tcW w:type="dxa" w:w="22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DGEG — dgeg.gov.pt</w:t>
            </w:r>
          </w:p>
        </w:tc>
        <w:tc>
          <w:tcPr>
            <w:tcW w:type="dxa" w:w="18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2–4 meses</w:t>
            </w:r>
          </w:p>
        </w:tc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€5.000–€15.000</w:t>
            </w:r>
          </w:p>
        </w:tc>
      </w:tr>
      <w:tr>
        <w:tc>
          <w:tcPr>
            <w:tcW w:type="dxa" w:w="3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3. Registo ERSE (agregador AGR)</w:t>
            </w:r>
          </w:p>
        </w:tc>
        <w:tc>
          <w:tcPr>
            <w:tcW w:type="dxa" w:w="22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ERSE — erse.pt</w:t>
            </w:r>
          </w:p>
        </w:tc>
        <w:tc>
          <w:tcPr>
            <w:tcW w:type="dxa" w:w="18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1–3 meses (após DGEG)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€5.000–€10.000</w:t>
            </w:r>
          </w:p>
        </w:tc>
      </w:tr>
      <w:tr>
        <w:tc>
          <w:tcPr>
            <w:tcW w:type="dxa" w:w="3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4. Registo OMIE (agente de mercado)</w:t>
            </w:r>
          </w:p>
        </w:tc>
        <w:tc>
          <w:tcPr>
            <w:tcW w:type="dxa" w:w="22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OMIE — omie.es</w:t>
            </w:r>
          </w:p>
        </w:tc>
        <w:tc>
          <w:tcPr>
            <w:tcW w:type="dxa" w:w="18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1–2 meses + garantia</w:t>
            </w:r>
          </w:p>
        </w:tc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€2.000–€5.000 + garantia</w:t>
            </w:r>
          </w:p>
        </w:tc>
      </w:tr>
      <w:tr>
        <w:tc>
          <w:tcPr>
            <w:tcW w:type="dxa" w:w="3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5. Qualificação REN (FCR/aFRR/mFRR)</w:t>
            </w:r>
          </w:p>
        </w:tc>
        <w:tc>
          <w:tcPr>
            <w:tcW w:type="dxa" w:w="22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REN — mercado@ren.pt</w:t>
            </w:r>
          </w:p>
        </w:tc>
        <w:tc>
          <w:tcPr>
            <w:tcW w:type="dxa" w:w="18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3–6 meses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€10.000–€25.000</w:t>
            </w:r>
          </w:p>
        </w:tc>
      </w:tr>
      <w:tr>
        <w:tc>
          <w:tcPr>
            <w:tcW w:type="dxa" w:w="3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TOTAL</w:t>
            </w:r>
          </w:p>
        </w:tc>
        <w:tc>
          <w:tcPr>
            <w:tcW w:type="dxa" w:w="22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9–15 meses</w:t>
            </w:r>
          </w:p>
        </w:tc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€25.000–€60.000 (legal fees)</w:t>
            </w:r>
          </w:p>
        </w:tc>
      </w:tr>
    </w:tbl>
    <w:p>
      <w:pPr>
        <w:spacing w:before="200"/>
      </w:pPr>
    </w:p>
    <w:p>
      <w:pPr>
        <w:pStyle w:val="Heading2"/>
        <w:pBdr>
          <w:bottom w:val="single" w:color="00C9A7" w:sz="6"/>
        </w:pBdr>
        <w:spacing w:after="160" w:before="3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Contactos Regulatórios Chave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bottom w:type="dxa" w:w="2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Entidade</w:t>
            </w:r>
          </w:p>
        </w:tc>
        <w:tc>
          <w:tcPr>
            <w:tcW w:type="dxa" w:w="30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  <w:tc>
          <w:tcPr>
            <w:tcW w:type="dxa" w:w="40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Contacto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DGEG</w:t>
            </w:r>
          </w:p>
        </w:tc>
        <w:tc>
          <w:tcPr>
            <w:tcW w:type="dxa" w:w="3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Registo comercializador de mercado</w:t>
            </w:r>
          </w:p>
        </w:tc>
        <w:tc>
          <w:tcPr>
            <w:tcW w:type="dxa" w:w="4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info@dgeg.gov.pt | +351 210 924 600</w:t>
            </w:r>
          </w:p>
        </w:tc>
      </w:tr>
      <w:tr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ERSE</w:t>
            </w:r>
          </w:p>
        </w:tc>
        <w:tc>
          <w:tcPr>
            <w:tcW w:type="dxa" w:w="3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Registo agregador independente (código AGR)</w:t>
            </w:r>
          </w:p>
        </w:tc>
        <w:tc>
          <w:tcPr>
            <w:tcW w:type="dxa" w:w="4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erse@erse.pt | +351 217 892 700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OMIE</w:t>
            </w:r>
          </w:p>
        </w:tc>
        <w:tc>
          <w:tcPr>
            <w:tcW w:type="dxa" w:w="3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Registo agente de mercado ibérico</w:t>
            </w:r>
          </w:p>
        </w:tc>
        <w:tc>
          <w:tcPr>
            <w:tcW w:type="dxa" w:w="4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info@omie.es | +34 915 228 200</w:t>
            </w:r>
          </w:p>
        </w:tc>
      </w:tr>
      <w:tr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REN — Mercados</w:t>
            </w:r>
          </w:p>
        </w:tc>
        <w:tc>
          <w:tcPr>
            <w:tcW w:type="dxa" w:w="3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Qualificação técnica FCR/aFRR/mFRR</w:t>
            </w:r>
          </w:p>
        </w:tc>
        <w:tc>
          <w:tcPr>
            <w:tcW w:type="dxa" w:w="4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mercado@ren.pt | +351 210 013 200</w:t>
            </w:r>
          </w:p>
        </w:tc>
      </w:tr>
    </w:tbl>
    <w:p>
      <w:pPr>
        <w:spacing w:before="200"/>
      </w:pPr>
    </w:p>
    <w:p>
      <w:pPr>
        <w:pStyle w:val="Heading2"/>
        <w:pBdr>
          <w:bottom w:val="single" w:color="00C9A7" w:sz="6"/>
        </w:pBdr>
        <w:spacing w:after="160" w:before="3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Advogados de Energia Recomendados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bottom w:type="dxa" w:w="2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Escritório</w:t>
            </w:r>
          </w:p>
        </w:tc>
        <w:tc>
          <w:tcPr>
            <w:tcW w:type="dxa" w:w="32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Especialização</w:t>
            </w:r>
          </w:p>
        </w:tc>
        <w:tc>
          <w:tcPr>
            <w:tcW w:type="dxa" w:w="38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Porquê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Macedo Vitorino</w:t>
            </w:r>
          </w:p>
        </w:tc>
        <w:tc>
          <w:tcPr>
            <w:tcW w:type="dxa" w:w="32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DL 15/2022, storage, ERSE — Chambers Band 1</w:t>
            </w:r>
          </w:p>
        </w:tc>
        <w:tc>
          <w:tcPr>
            <w:tcW w:type="dxa" w:w="38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Assessoraram Casal da Cortiça; expertise mais específico em storage PT</w:t>
            </w:r>
          </w:p>
        </w:tc>
      </w:tr>
      <w:tr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PLMJ</w:t>
            </w:r>
          </w:p>
        </w:tc>
        <w:tc>
          <w:tcPr>
            <w:tcW w:type="dxa" w:w="32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DL 15/2022, aggregators — Legal 500 Tier 1</w:t>
            </w:r>
          </w:p>
        </w:tc>
        <w:tc>
          <w:tcPr>
            <w:tcW w:type="dxa" w:w="38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Experiência em demand aggregation e projetos EDP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GA_P</w:t>
            </w:r>
          </w:p>
        </w:tc>
        <w:tc>
          <w:tcPr>
            <w:tcW w:type="dxa" w:w="32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Regulação ERSE — Legal 500 Tier 1</w:t>
            </w:r>
          </w:p>
        </w:tc>
        <w:tc>
          <w:tcPr>
            <w:tcW w:type="dxa" w:w="38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Confirmado "deep knowledge of energy sector"</w:t>
            </w:r>
          </w:p>
        </w:tc>
      </w:tr>
      <w:tr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Cuatrecasas</w:t>
            </w:r>
          </w:p>
        </w:tc>
        <w:tc>
          <w:tcPr>
            <w:tcW w:type="dxa" w:w="32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Cross-border Ibéria</w:t>
            </w:r>
          </w:p>
        </w:tc>
        <w:tc>
          <w:tcPr>
            <w:tcW w:type="dxa" w:w="38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Ideal para expansão simultânea PT + ES</w:t>
            </w:r>
          </w:p>
        </w:tc>
      </w:tr>
    </w:tbl>
    <w:p>
      <w:pPr>
        <w:shd w:fill="EBF5FB" w:color="EBF5FB" w:val="clear"/>
        <w:spacing w:after="160" w:before="120"/>
        <w:ind w:left="227" w:right="227"/>
      </w:pPr>
      <w:r>
        <w:rPr>
          <w:rFonts w:ascii="Calibri" w:cs="Calibri" w:eastAsia="Calibri" w:hAnsi="Calibri"/>
          <w:i/>
          <w:iCs/>
          <w:color w:val="1B3A5C"/>
          <w:sz w:val="18"/>
          <w:szCs w:val="18"/>
        </w:rPr>
        <w:t xml:space="preserve">ℹ  Referência verificada: IGNIS Energía SL registou-se como comercializador DGEG em 13 de março de 2023 (posição 130 na lista pública). Código ERSE: AGR0265EE.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8. Equipa e Estrutura Organizacional</w:t>
      </w:r>
    </w:p>
    <w:p>
      <w:pPr>
        <w:pStyle w:val="Heading2"/>
        <w:pBdr>
          <w:bottom w:val="single" w:color="00C9A7" w:sz="6"/>
        </w:pBdr>
        <w:spacing w:after="160" w:before="3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8.1 Equipa Mínima Viável — Ano 1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bottom w:type="dxa" w:w="2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Papel</w:t>
            </w:r>
          </w:p>
        </w:tc>
        <w:tc>
          <w:tcPr>
            <w:tcW w:type="dxa" w:w="28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Perfil</w:t>
            </w:r>
          </w:p>
        </w:tc>
        <w:tc>
          <w:tcPr>
            <w:tcW w:type="dxa" w:w="22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Salário Bruto PT</w:t>
            </w:r>
          </w:p>
        </w:tc>
        <w:tc>
          <w:tcPr>
            <w:tcW w:type="dxa" w:w="15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Início</w:t>
            </w:r>
          </w:p>
        </w:tc>
      </w:tr>
      <w:tr>
        <w:tc>
          <w:tcPr>
            <w:tcW w:type="dxa" w:w="2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CEO / Business Dev</w:t>
            </w:r>
          </w:p>
        </w:tc>
        <w:tc>
          <w:tcPr>
            <w:tcW w:type="dxa" w:w="28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Fundador — rede setorial, regulatório, BD</w:t>
            </w:r>
          </w:p>
        </w:tc>
        <w:tc>
          <w:tcPr>
            <w:tcW w:type="dxa" w:w="22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Diferido / mínimo €36K</w:t>
            </w:r>
          </w:p>
        </w:tc>
        <w:tc>
          <w:tcPr>
            <w:tcW w:type="dxa" w:w="1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Mês 1</w:t>
            </w:r>
          </w:p>
        </w:tc>
      </w:tr>
      <w:tr>
        <w:tc>
          <w:tcPr>
            <w:tcW w:type="dxa" w:w="25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CTO / ML Engineer</w:t>
            </w:r>
          </w:p>
        </w:tc>
        <w:tc>
          <w:tcPr>
            <w:tcW w:type="dxa" w:w="28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Sénior, 5+ anos RL/forecasting</w:t>
            </w:r>
          </w:p>
        </w:tc>
        <w:tc>
          <w:tcPr>
            <w:tcW w:type="dxa" w:w="22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€65.000–€80.000</w:t>
            </w:r>
          </w:p>
        </w:tc>
        <w:tc>
          <w:tcPr>
            <w:tcW w:type="dxa" w:w="15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Mês 1</w:t>
            </w:r>
          </w:p>
        </w:tc>
      </w:tr>
      <w:tr>
        <w:tc>
          <w:tcPr>
            <w:tcW w:type="dxa" w:w="2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Energy Markets Specialist</w:t>
            </w:r>
          </w:p>
        </w:tc>
        <w:tc>
          <w:tcPr>
            <w:tcW w:type="dxa" w:w="28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Ex-REN, ex-EDP — mercados ibéricos</w:t>
            </w:r>
          </w:p>
        </w:tc>
        <w:tc>
          <w:tcPr>
            <w:tcW w:type="dxa" w:w="22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€55.000–€75.000</w:t>
            </w:r>
          </w:p>
        </w:tc>
        <w:tc>
          <w:tcPr>
            <w:tcW w:type="dxa" w:w="1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Mês 4–6</w:t>
            </w:r>
          </w:p>
        </w:tc>
      </w:tr>
      <w:tr>
        <w:tc>
          <w:tcPr>
            <w:tcW w:type="dxa" w:w="25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Full-Stack Developer</w:t>
            </w:r>
          </w:p>
        </w:tc>
        <w:tc>
          <w:tcPr>
            <w:tcW w:type="dxa" w:w="28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Python/FastAPI + React — 3+ anos</w:t>
            </w:r>
          </w:p>
        </w:tc>
        <w:tc>
          <w:tcPr>
            <w:tcW w:type="dxa" w:w="22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€45.000–€60.000</w:t>
            </w:r>
          </w:p>
        </w:tc>
        <w:tc>
          <w:tcPr>
            <w:tcW w:type="dxa" w:w="15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Mês 6–8</w:t>
            </w:r>
          </w:p>
        </w:tc>
      </w:tr>
    </w:tbl>
    <w:p>
      <w:pPr>
        <w:shd w:fill="EBF5FB" w:color="EBF5FB" w:val="clear"/>
        <w:spacing w:after="160" w:before="120"/>
        <w:ind w:left="227" w:right="227"/>
      </w:pPr>
      <w:r>
        <w:rPr>
          <w:rFonts w:ascii="Calibri" w:cs="Calibri" w:eastAsia="Calibri" w:hAnsi="Calibri"/>
          <w:i/>
          <w:iCs/>
          <w:color w:val="1B3A5C"/>
          <w:sz w:val="18"/>
          <w:szCs w:val="18"/>
        </w:rPr>
        <w:t xml:space="preserve">ℹ  TSU patronal: +23,75% sobre salário bruto. Custo total Ano 1 estimado: €220.000.</w:t>
      </w:r>
    </w:p>
    <w:p>
      <w:pPr>
        <w:pStyle w:val="Heading2"/>
        <w:pBdr>
          <w:bottom w:val="single" w:color="00C9A7" w:sz="6"/>
        </w:pBdr>
        <w:spacing w:after="160" w:before="3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8.2 Onde Recrutar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CTO/ML: IST (Lisboa), FEUP (Porto), LinkedIn 'machine learning + energy + Portugal', PyData Lisboa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Energy Markets Specialist: ex-REN (departamento mercados), ex-EDP Trading, ex-Galp Energy Solutions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Developer: ItJobs.pt, LinkedIn, feiras IST/FEUP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Salários verificados (Damia Group 2025): ML Engineer sénior €60K–€84K/ano</w:t>
      </w:r>
    </w:p>
    <w:p>
      <w:pPr>
        <w:pStyle w:val="Heading2"/>
        <w:pBdr>
          <w:bottom w:val="single" w:color="00C9A7" w:sz="6"/>
        </w:pBdr>
        <w:spacing w:after="160" w:before="3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8.3 Advisors Estratégicos</w:t>
      </w:r>
    </w:p>
    <w:p>
      <w:pPr>
        <w:spacing w:after="12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Complementar a equipa com 2–3 advisors (remuneração: opções sobre capital, sem salário):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Regulatory advisor: ex-diretor DGEG ou ERSE — acesso e credibilidade regulatória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REN insider: ex-responsável de mercados REN — acelera qualificação técnica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Energy investor: VC ou family office com portfolio energético — deal flow de promotores BESS</w:t>
      </w:r>
    </w:p>
    <w:p>
      <w:pPr>
        <w:pStyle w:val="Heading2"/>
        <w:pBdr>
          <w:bottom w:val="single" w:color="00C9A7" w:sz="6"/>
        </w:pBdr>
        <w:spacing w:after="160" w:before="3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8.4 Plano de Crescimento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bottom w:type="dxa" w:w="2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Ano</w:t>
            </w:r>
          </w:p>
        </w:tc>
        <w:tc>
          <w:tcPr>
            <w:tcW w:type="dxa" w:w="15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Headcount</w:t>
            </w:r>
          </w:p>
        </w:tc>
        <w:tc>
          <w:tcPr>
            <w:tcW w:type="dxa" w:w="60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Novos Papéis</w:t>
            </w:r>
          </w:p>
        </w:tc>
      </w:tr>
      <w:tr>
        <w:tc>
          <w:tcPr>
            <w:tcW w:type="dxa" w:w="1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2026</w:t>
            </w:r>
          </w:p>
        </w:tc>
        <w:tc>
          <w:tcPr>
            <w:tcW w:type="dxa" w:w="1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4 FTE</w:t>
            </w:r>
          </w:p>
        </w:tc>
        <w:tc>
          <w:tcPr>
            <w:tcW w:type="dxa" w:w="6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CEO + CTO + Energy Specialist + Developer</w:t>
            </w:r>
          </w:p>
        </w:tc>
      </w:tr>
      <w:tr>
        <w:tc>
          <w:tcPr>
            <w:tcW w:type="dxa" w:w="15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2027</w:t>
            </w:r>
          </w:p>
        </w:tc>
        <w:tc>
          <w:tcPr>
            <w:tcW w:type="dxa" w:w="15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7 FTE</w:t>
            </w:r>
          </w:p>
        </w:tc>
        <w:tc>
          <w:tcPr>
            <w:tcW w:type="dxa" w:w="6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+ Data Engineer + Customer Success + ML Engineer Jr</w:t>
            </w:r>
          </w:p>
        </w:tc>
      </w:tr>
      <w:tr>
        <w:tc>
          <w:tcPr>
            <w:tcW w:type="dxa" w:w="1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2028</w:t>
            </w:r>
          </w:p>
        </w:tc>
        <w:tc>
          <w:tcPr>
            <w:tcW w:type="dxa" w:w="1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11 FTE</w:t>
            </w:r>
          </w:p>
        </w:tc>
        <w:tc>
          <w:tcPr>
            <w:tcW w:type="dxa" w:w="6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+ Operations Lead + Sales Manager + 2× ML Engineers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9. Roadmap de Implementação — Mês a Mês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bottom w:type="dxa" w:w="2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Período</w:t>
            </w:r>
          </w:p>
        </w:tc>
        <w:tc>
          <w:tcPr>
            <w:tcW w:type="dxa" w:w="35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Prioridades</w:t>
            </w:r>
          </w:p>
        </w:tc>
        <w:tc>
          <w:tcPr>
            <w:tcW w:type="dxa" w:w="35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Marcos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Meses 1–2
(Fundação)</w:t>
            </w:r>
          </w:p>
        </w:tc>
        <w:tc>
          <w:tcPr>
            <w:tcW w:type="dxa" w:w="3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Constituir empresa + advogados
Submissão DGEG
Onboarding CTO
Pipeline OMIE histórico</w:t>
            </w:r>
          </w:p>
        </w:tc>
        <w:tc>
          <w:tcPr>
            <w:tcW w:type="dxa" w:w="3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Empresa legal. Processo regulatório iniciado.</w:t>
            </w:r>
          </w:p>
        </w:tc>
      </w:tr>
      <w:tr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Meses 3–4
(Algoritmo)</w:t>
            </w:r>
          </w:p>
        </w:tc>
        <w:tc>
          <w:tcPr>
            <w:tcW w:type="dxa" w:w="35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Modelo de forecasting XGBoost
Ambiente simulação Gymnasium
Follow-up DGEG
Shadow trading retroativo Infraventus</w:t>
            </w:r>
          </w:p>
        </w:tc>
        <w:tc>
          <w:tcPr>
            <w:tcW w:type="dxa" w:w="35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MAE &lt;€8/MWh. Pitch inicial a Infraventus.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Meses 5–6
(Primeiro cliente)</w:t>
            </w:r>
          </w:p>
        </w:tc>
        <w:tc>
          <w:tcPr>
            <w:tcW w:type="dxa" w:w="3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DGEG aprovado → Submissão ERSE
Onboarding Energy Specialist
Agente DRL com performance consistente
NDA + acesso dados Infraventus</w:t>
            </w:r>
          </w:p>
        </w:tc>
        <w:tc>
          <w:tcPr>
            <w:tcW w:type="dxa" w:w="3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Shadow trading ao vivo acordado com 1.º cliente.</w:t>
            </w:r>
          </w:p>
        </w:tc>
      </w:tr>
      <w:tr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Meses 7–8
(Integração)</w:t>
            </w:r>
          </w:p>
        </w:tc>
        <w:tc>
          <w:tcPr>
            <w:tcW w:type="dxa" w:w="35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Conector IEC 61850 para Infraventus
Onboarding Developer
Shadow trading 60 dias ao vivo
Preparação OMIE + pré-qualificação REN</w:t>
            </w:r>
          </w:p>
        </w:tc>
        <w:tc>
          <w:tcPr>
            <w:tcW w:type="dxa" w:w="35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Dados reais do BMS a chegar. 30 dias shadow trading.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Meses 9–10
(Go-Live)</w:t>
            </w:r>
          </w:p>
        </w:tc>
        <w:tc>
          <w:tcPr>
            <w:tcW w:type="dxa" w:w="3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OMIE aprovado → Primeiras licitações
Go-live day-ahead com Infraventus
Testes FCR com REN
Monitorização 24/7 operacional</w:t>
            </w:r>
          </w:p>
        </w:tc>
        <w:tc>
          <w:tcPr>
            <w:tcW w:type="dxa" w:w="3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Primeiras receitas reais. Track record iniciado.</w:t>
            </w:r>
          </w:p>
        </w:tc>
      </w:tr>
      <w:tr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Meses 11–12
(Operação plena)</w:t>
            </w:r>
          </w:p>
        </w:tc>
        <w:tc>
          <w:tcPr>
            <w:tcW w:type="dxa" w:w="35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FCR + aFRR live
Contrato assinado com 2.º cliente
Seed Round em negociação
Dashboard cliente v2</w:t>
            </w:r>
          </w:p>
        </w:tc>
        <w:tc>
          <w:tcPr>
            <w:tcW w:type="dxa" w:w="35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Receita recorrente ~€10–15K/mês. Seed Round em curso.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Meses 13–18
(Escala)</w:t>
            </w:r>
          </w:p>
        </w:tc>
        <w:tc>
          <w:tcPr>
            <w:tcW w:type="dxa" w:w="3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Fechar Seed Round
Qualificação mFRR
2.º e 3.º ativos live
Início expansão Espanha</w:t>
            </w:r>
          </w:p>
        </w:tc>
        <w:tc>
          <w:tcPr>
            <w:tcW w:type="dxa" w:w="3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40+ MW sob gestão. Seed Round fechado.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10. Projeções Financeiras</w:t>
      </w:r>
    </w:p>
    <w:p>
      <w:pPr>
        <w:shd w:fill="FFF3CD" w:color="FFF3CD" w:val="clear"/>
        <w:spacing w:after="160" w:before="120"/>
        <w:ind w:left="227" w:right="227"/>
      </w:pPr>
      <w:r>
        <w:rPr>
          <w:rFonts w:ascii="Calibri" w:cs="Calibri" w:eastAsia="Calibri" w:hAnsi="Calibri"/>
          <w:color w:val="7B5C00"/>
          <w:sz w:val="18"/>
          <w:szCs w:val="18"/>
        </w:rPr>
        <w:t xml:space="preserve">⚠  Nota metodológica: projeções baseadas em benchmarks verificados (enspired/KPMG, dados ERSE 2024) com desconto conservador de 40% para o mercado ibérico. Revenue/MW/ano é a variável com maior incerteza (±40%).</w:t>
      </w:r>
    </w:p>
    <w:p>
      <w:pPr>
        <w:pStyle w:val="Heading2"/>
        <w:pBdr>
          <w:bottom w:val="single" w:color="00C9A7" w:sz="6"/>
        </w:pBdr>
        <w:spacing w:after="160" w:before="3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10.1 P&amp;L — 3 Anos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bottom w:type="dxa" w:w="2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2026</w:t>
            </w:r>
          </w:p>
        </w:tc>
        <w:tc>
          <w:tcPr>
            <w:tcW w:type="dxa" w:w="20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2027</w:t>
            </w:r>
          </w:p>
        </w:tc>
        <w:tc>
          <w:tcPr>
            <w:tcW w:type="dxa" w:w="20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2028</w:t>
            </w:r>
          </w:p>
        </w:tc>
      </w:tr>
      <w:tr>
        <w:tc>
          <w:tcPr>
            <w:tcW w:type="dxa" w:w="3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MW sob gestão (fim de ano)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12 MW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42 MW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170 MW</w:t>
            </w:r>
          </w:p>
        </w:tc>
      </w:tr>
      <w:tr>
        <w:tc>
          <w:tcPr>
            <w:tcW w:type="dxa" w:w="3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MW médio no ano</w:t>
            </w:r>
          </w:p>
        </w:tc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~3 MW</w:t>
            </w:r>
          </w:p>
        </w:tc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24 MW</w:t>
            </w:r>
          </w:p>
        </w:tc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108 MW</w:t>
            </w:r>
          </w:p>
        </w:tc>
      </w:tr>
      <w:tr>
        <w:tc>
          <w:tcPr>
            <w:tcW w:type="dxa" w:w="3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Receita de trading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€0–€30K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€306K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€1.377K</w:t>
            </w:r>
          </w:p>
        </w:tc>
      </w:tr>
      <w:tr>
        <w:tc>
          <w:tcPr>
            <w:tcW w:type="dxa" w:w="3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Integrações one-time</w:t>
            </w:r>
          </w:p>
        </w:tc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€0</w:t>
            </w:r>
          </w:p>
        </w:tc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€40K</w:t>
            </w:r>
          </w:p>
        </w:tc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€100K</w:t>
            </w:r>
          </w:p>
        </w:tc>
      </w:tr>
      <w:tr>
        <w:tc>
          <w:tcPr>
            <w:tcW w:type="dxa" w:w="3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Contratos Tolling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€0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€0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€150K</w:t>
            </w:r>
          </w:p>
        </w:tc>
      </w:tr>
      <w:tr>
        <w:tc>
          <w:tcPr>
            <w:tcW w:type="dxa" w:w="3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RECEITA TOTAL</w:t>
            </w:r>
          </w:p>
        </w:tc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€0–€30K</w:t>
            </w:r>
          </w:p>
        </w:tc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€346K</w:t>
            </w:r>
          </w:p>
        </w:tc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€1.627K</w:t>
            </w:r>
          </w:p>
        </w:tc>
      </w:tr>
      <w:tr>
        <w:tc>
          <w:tcPr>
            <w:tcW w:type="dxa" w:w="3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Pessoal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€220K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€420K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€680K</w:t>
            </w:r>
          </w:p>
        </w:tc>
      </w:tr>
      <w:tr>
        <w:tc>
          <w:tcPr>
            <w:tcW w:type="dxa" w:w="3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Legal / Regulatório</w:t>
            </w:r>
          </w:p>
        </w:tc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€45K</w:t>
            </w:r>
          </w:p>
        </w:tc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€20K</w:t>
            </w:r>
          </w:p>
        </w:tc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€30K</w:t>
            </w:r>
          </w:p>
        </w:tc>
      </w:tr>
      <w:tr>
        <w:tc>
          <w:tcPr>
            <w:tcW w:type="dxa" w:w="3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Cloud e infra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€15K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€30K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€60K</w:t>
            </w:r>
          </w:p>
        </w:tc>
      </w:tr>
      <w:tr>
        <w:tc>
          <w:tcPr>
            <w:tcW w:type="dxa" w:w="3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Escritório + viagens</w:t>
            </w:r>
          </w:p>
        </w:tc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€22K</w:t>
            </w:r>
          </w:p>
        </w:tc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€38K</w:t>
            </w:r>
          </w:p>
        </w:tc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€55K</w:t>
            </w:r>
          </w:p>
        </w:tc>
      </w:tr>
      <w:tr>
        <w:tc>
          <w:tcPr>
            <w:tcW w:type="dxa" w:w="3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Outros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€13K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€15K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€25K</w:t>
            </w:r>
          </w:p>
        </w:tc>
      </w:tr>
      <w:tr>
        <w:tc>
          <w:tcPr>
            <w:tcW w:type="dxa" w:w="3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TOTAL CUSTOS</w:t>
            </w:r>
          </w:p>
        </w:tc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€315K</w:t>
            </w:r>
          </w:p>
        </w:tc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€523K</w:t>
            </w:r>
          </w:p>
        </w:tc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€850K</w:t>
            </w:r>
          </w:p>
        </w:tc>
      </w:tr>
      <w:tr>
        <w:tc>
          <w:tcPr>
            <w:tcW w:type="dxa" w:w="3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EBITDA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-€285K a -€315K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-€177K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+€777K</w:t>
            </w:r>
          </w:p>
        </w:tc>
      </w:tr>
    </w:tbl>
    <w:p>
      <w:pPr>
        <w:spacing w:before="200"/>
      </w:pPr>
    </w:p>
    <w:p>
      <w:pPr>
        <w:pStyle w:val="Heading2"/>
        <w:pBdr>
          <w:bottom w:val="single" w:color="00C9A7" w:sz="6"/>
        </w:pBdr>
        <w:spacing w:after="160" w:before="3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10.2 Cash Flow Mensal — Ano 1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bottom w:type="dxa" w:w="2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Mês</w:t>
            </w:r>
          </w:p>
        </w:tc>
        <w:tc>
          <w:tcPr>
            <w:tcW w:type="dxa" w:w="20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Entrada</w:t>
            </w:r>
          </w:p>
        </w:tc>
        <w:tc>
          <w:tcPr>
            <w:tcW w:type="dxa" w:w="18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Saída</w:t>
            </w:r>
          </w:p>
        </w:tc>
        <w:tc>
          <w:tcPr>
            <w:tcW w:type="dxa" w:w="20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Saldo Mês</w:t>
            </w:r>
          </w:p>
        </w:tc>
        <w:tc>
          <w:tcPr>
            <w:tcW w:type="dxa" w:w="27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Saldo Acumulado</w:t>
            </w:r>
          </w:p>
        </w:tc>
      </w:tr>
      <w:tr>
        <w:tc>
          <w:tcPr>
            <w:tcW w:type="dxa" w:w="1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Janeiro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€350.000 (pré-seed)</w:t>
            </w:r>
          </w:p>
        </w:tc>
        <w:tc>
          <w:tcPr>
            <w:tcW w:type="dxa" w:w="18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€20.000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+€330.000</w:t>
            </w:r>
          </w:p>
        </w:tc>
        <w:tc>
          <w:tcPr>
            <w:tcW w:type="dxa" w:w="27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€330.000</w:t>
            </w:r>
          </w:p>
        </w:tc>
      </w:tr>
      <w:tr>
        <w:tc>
          <w:tcPr>
            <w:tcW w:type="dxa" w:w="15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Fevereiro</w:t>
            </w:r>
          </w:p>
        </w:tc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€0</w:t>
            </w:r>
          </w:p>
        </w:tc>
        <w:tc>
          <w:tcPr>
            <w:tcW w:type="dxa" w:w="18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€22.000</w:t>
            </w:r>
          </w:p>
        </w:tc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-€22.000</w:t>
            </w:r>
          </w:p>
        </w:tc>
        <w:tc>
          <w:tcPr>
            <w:tcW w:type="dxa" w:w="27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€308.000</w:t>
            </w:r>
          </w:p>
        </w:tc>
      </w:tr>
      <w:tr>
        <w:tc>
          <w:tcPr>
            <w:tcW w:type="dxa" w:w="1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Março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€0</w:t>
            </w:r>
          </w:p>
        </w:tc>
        <w:tc>
          <w:tcPr>
            <w:tcW w:type="dxa" w:w="18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€22.000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-€22.000</w:t>
            </w:r>
          </w:p>
        </w:tc>
        <w:tc>
          <w:tcPr>
            <w:tcW w:type="dxa" w:w="27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€286.000</w:t>
            </w:r>
          </w:p>
        </w:tc>
      </w:tr>
      <w:tr>
        <w:tc>
          <w:tcPr>
            <w:tcW w:type="dxa" w:w="15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Abril</w:t>
            </w:r>
          </w:p>
        </w:tc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€0</w:t>
            </w:r>
          </w:p>
        </w:tc>
        <w:tc>
          <w:tcPr>
            <w:tcW w:type="dxa" w:w="18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€25.000</w:t>
            </w:r>
          </w:p>
        </w:tc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-€25.000</w:t>
            </w:r>
          </w:p>
        </w:tc>
        <w:tc>
          <w:tcPr>
            <w:tcW w:type="dxa" w:w="27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€261.000</w:t>
            </w:r>
          </w:p>
        </w:tc>
      </w:tr>
      <w:tr>
        <w:tc>
          <w:tcPr>
            <w:tcW w:type="dxa" w:w="1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Maio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€0</w:t>
            </w:r>
          </w:p>
        </w:tc>
        <w:tc>
          <w:tcPr>
            <w:tcW w:type="dxa" w:w="18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€28.000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-€28.000</w:t>
            </w:r>
          </w:p>
        </w:tc>
        <w:tc>
          <w:tcPr>
            <w:tcW w:type="dxa" w:w="27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€233.000</w:t>
            </w:r>
          </w:p>
        </w:tc>
      </w:tr>
      <w:tr>
        <w:tc>
          <w:tcPr>
            <w:tcW w:type="dxa" w:w="15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Junho</w:t>
            </w:r>
          </w:p>
        </w:tc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€0</w:t>
            </w:r>
          </w:p>
        </w:tc>
        <w:tc>
          <w:tcPr>
            <w:tcW w:type="dxa" w:w="18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€30.000</w:t>
            </w:r>
          </w:p>
        </w:tc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-€30.000</w:t>
            </w:r>
          </w:p>
        </w:tc>
        <w:tc>
          <w:tcPr>
            <w:tcW w:type="dxa" w:w="27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€203.000</w:t>
            </w:r>
          </w:p>
        </w:tc>
      </w:tr>
      <w:tr>
        <w:tc>
          <w:tcPr>
            <w:tcW w:type="dxa" w:w="1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Julho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€0</w:t>
            </w:r>
          </w:p>
        </w:tc>
        <w:tc>
          <w:tcPr>
            <w:tcW w:type="dxa" w:w="18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€33.000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-€33.000</w:t>
            </w:r>
          </w:p>
        </w:tc>
        <w:tc>
          <w:tcPr>
            <w:tcW w:type="dxa" w:w="27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€170.000</w:t>
            </w:r>
          </w:p>
        </w:tc>
      </w:tr>
      <w:tr>
        <w:tc>
          <w:tcPr>
            <w:tcW w:type="dxa" w:w="15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Agosto</w:t>
            </w:r>
          </w:p>
        </w:tc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€0</w:t>
            </w:r>
          </w:p>
        </w:tc>
        <w:tc>
          <w:tcPr>
            <w:tcW w:type="dxa" w:w="18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€33.000</w:t>
            </w:r>
          </w:p>
        </w:tc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-€33.000</w:t>
            </w:r>
          </w:p>
        </w:tc>
        <w:tc>
          <w:tcPr>
            <w:tcW w:type="dxa" w:w="27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€137.000</w:t>
            </w:r>
          </w:p>
        </w:tc>
      </w:tr>
      <w:tr>
        <w:tc>
          <w:tcPr>
            <w:tcW w:type="dxa" w:w="1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Setembro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€5.000</w:t>
            </w:r>
          </w:p>
        </w:tc>
        <w:tc>
          <w:tcPr>
            <w:tcW w:type="dxa" w:w="18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€33.000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-€28.000</w:t>
            </w:r>
          </w:p>
        </w:tc>
        <w:tc>
          <w:tcPr>
            <w:tcW w:type="dxa" w:w="27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€109.000</w:t>
            </w:r>
          </w:p>
        </w:tc>
      </w:tr>
      <w:tr>
        <w:tc>
          <w:tcPr>
            <w:tcW w:type="dxa" w:w="15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Outubro</w:t>
            </w:r>
          </w:p>
        </w:tc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€8.000</w:t>
            </w:r>
          </w:p>
        </w:tc>
        <w:tc>
          <w:tcPr>
            <w:tcW w:type="dxa" w:w="18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€33.000</w:t>
            </w:r>
          </w:p>
        </w:tc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-€25.000</w:t>
            </w:r>
          </w:p>
        </w:tc>
        <w:tc>
          <w:tcPr>
            <w:tcW w:type="dxa" w:w="27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€84.000</w:t>
            </w:r>
          </w:p>
        </w:tc>
      </w:tr>
      <w:tr>
        <w:tc>
          <w:tcPr>
            <w:tcW w:type="dxa" w:w="1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Novembro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€10.000</w:t>
            </w:r>
          </w:p>
        </w:tc>
        <w:tc>
          <w:tcPr>
            <w:tcW w:type="dxa" w:w="18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€33.000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-€23.000</w:t>
            </w:r>
          </w:p>
        </w:tc>
        <w:tc>
          <w:tcPr>
            <w:tcW w:type="dxa" w:w="27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€61.000</w:t>
            </w:r>
          </w:p>
        </w:tc>
      </w:tr>
      <w:tr>
        <w:tc>
          <w:tcPr>
            <w:tcW w:type="dxa" w:w="15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Dezembro</w:t>
            </w:r>
          </w:p>
        </w:tc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€12.000</w:t>
            </w:r>
          </w:p>
        </w:tc>
        <w:tc>
          <w:tcPr>
            <w:tcW w:type="dxa" w:w="18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€33.000</w:t>
            </w:r>
          </w:p>
        </w:tc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-€21.000</w:t>
            </w:r>
          </w:p>
        </w:tc>
        <w:tc>
          <w:tcPr>
            <w:tcW w:type="dxa" w:w="27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€40.000</w:t>
            </w:r>
          </w:p>
        </w:tc>
      </w:tr>
    </w:tbl>
    <w:p>
      <w:pPr>
        <w:shd w:fill="EBF5FB" w:color="EBF5FB" w:val="clear"/>
        <w:spacing w:after="160" w:before="120"/>
        <w:ind w:left="227" w:right="227"/>
      </w:pPr>
      <w:r>
        <w:rPr>
          <w:rFonts w:ascii="Calibri" w:cs="Calibri" w:eastAsia="Calibri" w:hAnsi="Calibri"/>
          <w:i/>
          <w:iCs/>
          <w:color w:val="1B3A5C"/>
          <w:sz w:val="18"/>
          <w:szCs w:val="18"/>
        </w:rPr>
        <w:t xml:space="preserve">ℹ  Saldo de €40K em dezembro exige que a Seed Round esteja em negociação avançada — momento ideal, com 3 meses de receita real como proof.</w:t>
      </w:r>
    </w:p>
    <w:p>
      <w:pPr>
        <w:pStyle w:val="Heading2"/>
        <w:pBdr>
          <w:bottom w:val="single" w:color="00C9A7" w:sz="6"/>
        </w:pBdr>
        <w:spacing w:after="160" w:before="3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10.3 Análise de Sensibilidade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bottom w:type="dxa" w:w="2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25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Revenue/MW</w:t>
            </w:r>
          </w:p>
        </w:tc>
        <w:tc>
          <w:tcPr>
            <w:tcW w:type="dxa" w:w="25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Breakeven (MW)</w:t>
            </w:r>
          </w:p>
        </w:tc>
        <w:tc>
          <w:tcPr>
            <w:tcW w:type="dxa" w:w="20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EBITDA Ano 3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Pessimista (-40%)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€7.650/MW/ano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~75 MW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+€200K</w:t>
            </w:r>
          </w:p>
        </w:tc>
      </w:tr>
      <w:tr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Base</w:t>
            </w:r>
          </w:p>
        </w:tc>
        <w:tc>
          <w:tcPr>
            <w:tcW w:type="dxa" w:w="25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€12.750/MW/ano</w:t>
            </w:r>
          </w:p>
        </w:tc>
        <w:tc>
          <w:tcPr>
            <w:tcW w:type="dxa" w:w="25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~38 MW (6 FTE)</w:t>
            </w:r>
          </w:p>
        </w:tc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+€777K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Otimista (+30%)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€16.575/MW/ano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~28 MW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+€1.400K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11. Necessidade de Investimento e Use of Funds</w:t>
      </w:r>
    </w:p>
    <w:p>
      <w:pPr>
        <w:pStyle w:val="Heading2"/>
        <w:pBdr>
          <w:bottom w:val="single" w:color="00C9A7" w:sz="6"/>
        </w:pBdr>
        <w:spacing w:after="160" w:before="3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11.1 Pré-Seed — €350.000–€400.000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bottom w:type="dxa" w:w="2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18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42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3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Pessoal (CEO + CTO — 12 meses)</w:t>
            </w:r>
          </w:p>
        </w:tc>
        <w:tc>
          <w:tcPr>
            <w:tcW w:type="dxa" w:w="18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€155.000</w:t>
            </w:r>
          </w:p>
        </w:tc>
        <w:tc>
          <w:tcPr>
            <w:tcW w:type="dxa" w:w="42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CEO mínimo + CTO €72K gross + TSU</w:t>
            </w:r>
          </w:p>
        </w:tc>
      </w:tr>
      <w:tr>
        <w:tc>
          <w:tcPr>
            <w:tcW w:type="dxa" w:w="3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Energy Specialist (8 meses)</w:t>
            </w:r>
          </w:p>
        </w:tc>
        <w:tc>
          <w:tcPr>
            <w:tcW w:type="dxa" w:w="18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€55.000</w:t>
            </w:r>
          </w:p>
        </w:tc>
        <w:tc>
          <w:tcPr>
            <w:tcW w:type="dxa" w:w="42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Desde mês 5</w:t>
            </w:r>
          </w:p>
        </w:tc>
      </w:tr>
      <w:tr>
        <w:tc>
          <w:tcPr>
            <w:tcW w:type="dxa" w:w="3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Advogados de energia (Ano 1)</w:t>
            </w:r>
          </w:p>
        </w:tc>
        <w:tc>
          <w:tcPr>
            <w:tcW w:type="dxa" w:w="18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€50.000</w:t>
            </w:r>
          </w:p>
        </w:tc>
        <w:tc>
          <w:tcPr>
            <w:tcW w:type="dxa" w:w="42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DGEG + ERSE + OMIE + REN</w:t>
            </w:r>
          </w:p>
        </w:tc>
      </w:tr>
      <w:tr>
        <w:tc>
          <w:tcPr>
            <w:tcW w:type="dxa" w:w="3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Cloud e infraestrutura</w:t>
            </w:r>
          </w:p>
        </w:tc>
        <w:tc>
          <w:tcPr>
            <w:tcW w:type="dxa" w:w="18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€15.000</w:t>
            </w:r>
          </w:p>
        </w:tc>
        <w:tc>
          <w:tcPr>
            <w:tcW w:type="dxa" w:w="42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AWS — 12 meses</w:t>
            </w:r>
          </w:p>
        </w:tc>
      </w:tr>
      <w:tr>
        <w:tc>
          <w:tcPr>
            <w:tcW w:type="dxa" w:w="3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Escritório + ops + viagens</w:t>
            </w:r>
          </w:p>
        </w:tc>
        <w:tc>
          <w:tcPr>
            <w:tcW w:type="dxa" w:w="18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€22.000</w:t>
            </w:r>
          </w:p>
        </w:tc>
        <w:tc>
          <w:tcPr>
            <w:tcW w:type="dxa" w:w="42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Cowork Lisboa + BD</w:t>
            </w:r>
          </w:p>
        </w:tc>
      </w:tr>
      <w:tr>
        <w:tc>
          <w:tcPr>
            <w:tcW w:type="dxa" w:w="3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Buffer (20%)</w:t>
            </w:r>
          </w:p>
        </w:tc>
        <w:tc>
          <w:tcPr>
            <w:tcW w:type="dxa" w:w="18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€59.000</w:t>
            </w:r>
          </w:p>
        </w:tc>
        <w:tc>
          <w:tcPr>
            <w:tcW w:type="dxa" w:w="42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Imprevistos regulatórios</w:t>
            </w:r>
          </w:p>
        </w:tc>
      </w:tr>
      <w:tr>
        <w:tc>
          <w:tcPr>
            <w:tcW w:type="dxa" w:w="3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TOTAL</w:t>
            </w:r>
          </w:p>
        </w:tc>
        <w:tc>
          <w:tcPr>
            <w:tcW w:type="dxa" w:w="18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€356.000</w:t>
            </w:r>
          </w:p>
        </w:tc>
        <w:tc>
          <w:tcPr>
            <w:tcW w:type="dxa" w:w="42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~€380K arredondado com buffer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O que valida: processo DGEG/ERSE em curso · algoritmo MVP com backtesting · shadow trading ao vivo · receitas reais nos primeiros 3 meses de trading</w:t>
      </w:r>
    </w:p>
    <w:p>
      <w:pPr>
        <w:spacing w:before="200"/>
      </w:pPr>
    </w:p>
    <w:p>
      <w:pPr>
        <w:pStyle w:val="Heading2"/>
        <w:pBdr>
          <w:bottom w:val="single" w:color="00C9A7" w:sz="6"/>
        </w:pBdr>
        <w:spacing w:after="160" w:before="3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11.2 Seed Round — €900.000–€1.200.000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bottom w:type="dxa" w:w="2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22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38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3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Pessoal (7 FTE — 12 meses)</w:t>
            </w:r>
          </w:p>
        </w:tc>
        <w:tc>
          <w:tcPr>
            <w:tcW w:type="dxa" w:w="22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€350.000</w:t>
            </w:r>
          </w:p>
        </w:tc>
        <w:tc>
          <w:tcPr>
            <w:tcW w:type="dxa" w:w="38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Equipa completa crescida</w:t>
            </w:r>
          </w:p>
        </w:tc>
      </w:tr>
      <w:tr>
        <w:tc>
          <w:tcPr>
            <w:tcW w:type="dxa" w:w="3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Garantias financeiras OMIE/REN</w:t>
            </w:r>
          </w:p>
        </w:tc>
        <w:tc>
          <w:tcPr>
            <w:tcW w:type="dxa" w:w="22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€100.000–€200.000</w:t>
            </w:r>
          </w:p>
        </w:tc>
        <w:tc>
          <w:tcPr>
            <w:tcW w:type="dxa" w:w="38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Colateral bloqueado — não é burn</w:t>
            </w:r>
          </w:p>
        </w:tc>
      </w:tr>
      <w:tr>
        <w:tc>
          <w:tcPr>
            <w:tcW w:type="dxa" w:w="3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Expansão para Espanha (CNMC + REE)</w:t>
            </w:r>
          </w:p>
        </w:tc>
        <w:tc>
          <w:tcPr>
            <w:tcW w:type="dxa" w:w="22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€50.000</w:t>
            </w:r>
          </w:p>
        </w:tc>
        <w:tc>
          <w:tcPr>
            <w:tcW w:type="dxa" w:w="38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Registo + adaptação regulatória</w:t>
            </w:r>
          </w:p>
        </w:tc>
      </w:tr>
      <w:tr>
        <w:tc>
          <w:tcPr>
            <w:tcW w:type="dxa" w:w="3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Contratação Data Eng + CS</w:t>
            </w:r>
          </w:p>
        </w:tc>
        <w:tc>
          <w:tcPr>
            <w:tcW w:type="dxa" w:w="22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€80.000</w:t>
            </w:r>
          </w:p>
        </w:tc>
        <w:tc>
          <w:tcPr>
            <w:tcW w:type="dxa" w:w="38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2 novos FTE no Ano 2</w:t>
            </w:r>
          </w:p>
        </w:tc>
      </w:tr>
      <w:tr>
        <w:tc>
          <w:tcPr>
            <w:tcW w:type="dxa" w:w="3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Cloud, BD, infra escalada</w:t>
            </w:r>
          </w:p>
        </w:tc>
        <w:tc>
          <w:tcPr>
            <w:tcW w:type="dxa" w:w="22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€50.000</w:t>
            </w:r>
          </w:p>
        </w:tc>
        <w:tc>
          <w:tcPr>
            <w:tcW w:type="dxa" w:w="38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Suporte 40+ MW</w:t>
            </w:r>
          </w:p>
        </w:tc>
      </w:tr>
      <w:tr>
        <w:tc>
          <w:tcPr>
            <w:tcW w:type="dxa" w:w="3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Operações, BD, marketing</w:t>
            </w:r>
          </w:p>
        </w:tc>
        <w:tc>
          <w:tcPr>
            <w:tcW w:type="dxa" w:w="22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€70.000</w:t>
            </w:r>
          </w:p>
        </w:tc>
        <w:tc>
          <w:tcPr>
            <w:tcW w:type="dxa" w:w="38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BD Ibéria + conteúdo de mercado</w:t>
            </w:r>
          </w:p>
        </w:tc>
      </w:tr>
      <w:tr>
        <w:tc>
          <w:tcPr>
            <w:tcW w:type="dxa" w:w="3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Buffer</w:t>
            </w:r>
          </w:p>
        </w:tc>
        <w:tc>
          <w:tcPr>
            <w:tcW w:type="dxa" w:w="22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€100.000</w:t>
            </w:r>
          </w:p>
        </w:tc>
        <w:tc>
          <w:tcPr>
            <w:tcW w:type="dxa" w:w="38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20% segurança</w:t>
            </w:r>
          </w:p>
        </w:tc>
      </w:tr>
      <w:tr>
        <w:tc>
          <w:tcPr>
            <w:tcW w:type="dxa" w:w="3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TOTAL</w:t>
            </w:r>
          </w:p>
        </w:tc>
        <w:tc>
          <w:tcPr>
            <w:tcW w:type="dxa" w:w="22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€800.000–€900.000</w:t>
            </w:r>
          </w:p>
        </w:tc>
        <w:tc>
          <w:tcPr>
            <w:tcW w:type="dxa" w:w="38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Seed arredondado €900K–€1,2M</w:t>
            </w:r>
          </w:p>
        </w:tc>
      </w:tr>
    </w:tbl>
    <w:p>
      <w:pPr>
        <w:shd w:fill="FFF3CD" w:color="FFF3CD" w:val="clear"/>
        <w:spacing w:after="160" w:before="120"/>
        <w:ind w:left="227" w:right="227"/>
      </w:pPr>
      <w:r>
        <w:rPr>
          <w:rFonts w:ascii="Calibri" w:cs="Calibri" w:eastAsia="Calibri" w:hAnsi="Calibri"/>
          <w:color w:val="7B5C00"/>
          <w:sz w:val="18"/>
          <w:szCs w:val="18"/>
        </w:rPr>
        <w:t xml:space="preserve">⚠  As garantias financeiras OMIE/REN (€100K–€200K) são colateral bloqueado, não gasto operacional. Com linha de garantia bancária, o burn operacional real é reduzido proporcionalmente.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12. Gestão de Risco</w:t>
      </w:r>
    </w:p>
    <w:p>
      <w:pPr>
        <w:pStyle w:val="Heading2"/>
        <w:pBdr>
          <w:bottom w:val="single" w:color="00C9A7" w:sz="6"/>
        </w:pBdr>
        <w:spacing w:after="160" w:before="3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12.1 Matriz de Riscos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bottom w:type="dxa" w:w="2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dxa" w:w="10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Prob.</w:t>
            </w:r>
          </w:p>
        </w:tc>
        <w:tc>
          <w:tcPr>
            <w:tcW w:type="dxa" w:w="12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43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Mitigação</w:t>
            </w:r>
          </w:p>
        </w:tc>
      </w:tr>
      <w:tr>
        <w:tc>
          <w:tcPr>
            <w:tcW w:type="dxa" w:w="2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Atraso regulatório &gt;15 meses</w:t>
            </w:r>
          </w:p>
        </w:tc>
        <w:tc>
          <w:tcPr>
            <w:tcW w:type="dxa" w:w="1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Média</w:t>
            </w:r>
          </w:p>
        </w:tc>
        <w:tc>
          <w:tcPr>
            <w:tcW w:type="dxa" w:w="12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Alto</w:t>
            </w:r>
          </w:p>
        </w:tc>
        <w:tc>
          <w:tcPr>
            <w:tcW w:type="dxa" w:w="43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Advogado sénior desde Mês 1; contacto proativo com DGEG/ERSE/REN</w:t>
            </w:r>
          </w:p>
        </w:tc>
      </w:tr>
      <w:tr>
        <w:tc>
          <w:tcPr>
            <w:tcW w:type="dxa" w:w="25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1.º cliente não assina</w:t>
            </w:r>
          </w:p>
        </w:tc>
        <w:tc>
          <w:tcPr>
            <w:tcW w:type="dxa" w:w="1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Média</w:t>
            </w:r>
          </w:p>
        </w:tc>
        <w:tc>
          <w:tcPr>
            <w:tcW w:type="dxa" w:w="12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Alto</w:t>
            </w:r>
          </w:p>
        </w:tc>
        <w:tc>
          <w:tcPr>
            <w:tcW w:type="dxa" w:w="43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Shadow trading como proof; pipeline de 3 targets simultâneos</w:t>
            </w:r>
          </w:p>
        </w:tc>
      </w:tr>
      <w:tr>
        <w:tc>
          <w:tcPr>
            <w:tcW w:type="dxa" w:w="2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Revenue/MW 40% abaixo</w:t>
            </w:r>
          </w:p>
        </w:tc>
        <w:tc>
          <w:tcPr>
            <w:tcW w:type="dxa" w:w="1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Média</w:t>
            </w:r>
          </w:p>
        </w:tc>
        <w:tc>
          <w:tcPr>
            <w:tcW w:type="dxa" w:w="12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Médio</w:t>
            </w:r>
          </w:p>
        </w:tc>
        <w:tc>
          <w:tcPr>
            <w:tcW w:type="dxa" w:w="43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Cenário pessimista ainda viável a 75 MW; expansão Espanha</w:t>
            </w:r>
          </w:p>
        </w:tc>
      </w:tr>
      <w:tr>
        <w:tc>
          <w:tcPr>
            <w:tcW w:type="dxa" w:w="25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Algoritmo underperforma</w:t>
            </w:r>
          </w:p>
        </w:tc>
        <w:tc>
          <w:tcPr>
            <w:tcW w:type="dxa" w:w="1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Baixa-Média</w:t>
            </w:r>
          </w:p>
        </w:tc>
        <w:tc>
          <w:tcPr>
            <w:tcW w:type="dxa" w:w="12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Alto</w:t>
            </w:r>
          </w:p>
        </w:tc>
        <w:tc>
          <w:tcPr>
            <w:tcW w:type="dxa" w:w="43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Shadow trading obrigatório 3+ meses; never go live sem validação</w:t>
            </w:r>
          </w:p>
        </w:tc>
      </w:tr>
      <w:tr>
        <w:tc>
          <w:tcPr>
            <w:tcW w:type="dxa" w:w="2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Capital trading insuficiente</w:t>
            </w:r>
          </w:p>
        </w:tc>
        <w:tc>
          <w:tcPr>
            <w:tcW w:type="dxa" w:w="1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Média</w:t>
            </w:r>
          </w:p>
        </w:tc>
        <w:tc>
          <w:tcPr>
            <w:tcW w:type="dxa" w:w="12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Alto</w:t>
            </w:r>
          </w:p>
        </w:tc>
        <w:tc>
          <w:tcPr>
            <w:tcW w:type="dxa" w:w="43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Linha de garantia bancária; volumes graduais</w:t>
            </w:r>
          </w:p>
        </w:tc>
      </w:tr>
      <w:tr>
        <w:tc>
          <w:tcPr>
            <w:tcW w:type="dxa" w:w="25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Key person risk (CTO)</w:t>
            </w:r>
          </w:p>
        </w:tc>
        <w:tc>
          <w:tcPr>
            <w:tcW w:type="dxa" w:w="1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Média</w:t>
            </w:r>
          </w:p>
        </w:tc>
        <w:tc>
          <w:tcPr>
            <w:tcW w:type="dxa" w:w="12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Alto</w:t>
            </w:r>
          </w:p>
        </w:tc>
        <w:tc>
          <w:tcPr>
            <w:tcW w:type="dxa" w:w="43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ESOP agressivo; documentação técnica desde início</w:t>
            </w:r>
          </w:p>
        </w:tc>
      </w:tr>
      <w:tr>
        <w:tc>
          <w:tcPr>
            <w:tcW w:type="dxa" w:w="2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Concorrente nativo surge</w:t>
            </w:r>
          </w:p>
        </w:tc>
        <w:tc>
          <w:tcPr>
            <w:tcW w:type="dxa" w:w="1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Baixa</w:t>
            </w:r>
          </w:p>
        </w:tc>
        <w:tc>
          <w:tcPr>
            <w:tcW w:type="dxa" w:w="12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Médio</w:t>
            </w:r>
          </w:p>
        </w:tc>
        <w:tc>
          <w:tcPr>
            <w:tcW w:type="dxa" w:w="43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Vantagem 9–15 meses; certificações são barreira real</w:t>
            </w:r>
          </w:p>
        </w:tc>
      </w:tr>
    </w:tbl>
    <w:p>
      <w:pPr>
        <w:spacing w:before="200"/>
      </w:pPr>
    </w:p>
    <w:p>
      <w:pPr>
        <w:pStyle w:val="Heading2"/>
        <w:pBdr>
          <w:bottom w:val="single" w:color="00C9A7" w:sz="6"/>
        </w:pBdr>
        <w:spacing w:after="160" w:before="3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12.2 KPIs de Alerta Precoce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bottom w:type="dxa" w:w="2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18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Frequência</w:t>
            </w:r>
          </w:p>
        </w:tc>
        <w:tc>
          <w:tcPr>
            <w:tcW w:type="dxa" w:w="42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Alerta (threshold)</w:t>
            </w:r>
          </w:p>
        </w:tc>
      </w:tr>
      <w:tr>
        <w:tc>
          <w:tcPr>
            <w:tcW w:type="dxa" w:w="3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Saldo de caixa</w:t>
            </w:r>
          </w:p>
        </w:tc>
        <w:tc>
          <w:tcPr>
            <w:tcW w:type="dxa" w:w="18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Semanal</w:t>
            </w:r>
          </w:p>
        </w:tc>
        <w:tc>
          <w:tcPr>
            <w:tcW w:type="dxa" w:w="42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&lt; 3 meses de runway</w:t>
            </w:r>
          </w:p>
        </w:tc>
      </w:tr>
      <w:tr>
        <w:tc>
          <w:tcPr>
            <w:tcW w:type="dxa" w:w="3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Revenue/MW real vs projetado</w:t>
            </w:r>
          </w:p>
        </w:tc>
        <w:tc>
          <w:tcPr>
            <w:tcW w:type="dxa" w:w="18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Mensal</w:t>
            </w:r>
          </w:p>
        </w:tc>
        <w:tc>
          <w:tcPr>
            <w:tcW w:type="dxa" w:w="42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&lt; 70% do projetado</w:t>
            </w:r>
          </w:p>
        </w:tc>
      </w:tr>
      <w:tr>
        <w:tc>
          <w:tcPr>
            <w:tcW w:type="dxa" w:w="3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Pipeline MW</w:t>
            </w:r>
          </w:p>
        </w:tc>
        <w:tc>
          <w:tcPr>
            <w:tcW w:type="dxa" w:w="18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Mensal</w:t>
            </w:r>
          </w:p>
        </w:tc>
        <w:tc>
          <w:tcPr>
            <w:tcW w:type="dxa" w:w="42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&lt; 2× objetivo de final de ano</w:t>
            </w:r>
          </w:p>
        </w:tc>
      </w:tr>
      <w:tr>
        <w:tc>
          <w:tcPr>
            <w:tcW w:type="dxa" w:w="3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Performance algoritmo (Sharpe ratio)</w:t>
            </w:r>
          </w:p>
        </w:tc>
        <w:tc>
          <w:tcPr>
            <w:tcW w:type="dxa" w:w="18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Semanal</w:t>
            </w:r>
          </w:p>
        </w:tc>
        <w:tc>
          <w:tcPr>
            <w:tcW w:type="dxa" w:w="42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&lt; 0,8 (benchmark: 1,2+)</w:t>
            </w:r>
          </w:p>
        </w:tc>
      </w:tr>
      <w:tr>
        <w:tc>
          <w:tcPr>
            <w:tcW w:type="dxa" w:w="3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Progresso regulatório</w:t>
            </w:r>
          </w:p>
        </w:tc>
        <w:tc>
          <w:tcPr>
            <w:tcW w:type="dxa" w:w="18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Bi-semanal</w:t>
            </w:r>
          </w:p>
        </w:tc>
        <w:tc>
          <w:tcPr>
            <w:tcW w:type="dxa" w:w="42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Atraso &gt; 4 semanas vs timeline</w:t>
            </w:r>
          </w:p>
        </w:tc>
      </w:tr>
      <w:tr>
        <w:tc>
          <w:tcPr>
            <w:tcW w:type="dxa" w:w="3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Uptime do sistema</w:t>
            </w:r>
          </w:p>
        </w:tc>
        <w:tc>
          <w:tcPr>
            <w:tcW w:type="dxa" w:w="18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Diário</w:t>
            </w:r>
          </w:p>
        </w:tc>
        <w:tc>
          <w:tcPr>
            <w:tcW w:type="dxa" w:w="42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&lt; 99,5%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13. Estratégia de Saída</w:t>
      </w:r>
    </w:p>
    <w:p>
      <w:pPr>
        <w:pStyle w:val="Heading2"/>
        <w:pBdr>
          <w:bottom w:val="single" w:color="00C9A7" w:sz="6"/>
        </w:pBdr>
        <w:spacing w:after="160" w:before="3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13.1 Cenários de Exit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bottom w:type="dxa" w:w="2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25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Compradores Prováveis</w:t>
            </w:r>
          </w:p>
        </w:tc>
        <w:tc>
          <w:tcPr>
            <w:tcW w:type="dxa" w:w="18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25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Múltiplo Estimado</w:t>
            </w:r>
          </w:p>
        </w:tc>
      </w:tr>
      <w:tr>
        <w:tc>
          <w:tcPr>
            <w:tcW w:type="dxa" w:w="22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Aquisição por utility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EDP, Galp, Endesa, Iberdrola</w:t>
            </w:r>
          </w:p>
        </w:tc>
        <w:tc>
          <w:tcPr>
            <w:tcW w:type="dxa" w:w="18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3–5 anos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5–10× receita / 15–25× EBITDA</w:t>
            </w:r>
          </w:p>
        </w:tc>
      </w:tr>
      <w:tr>
        <w:tc>
          <w:tcPr>
            <w:tcW w:type="dxa" w:w="22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Fusão com comparável EU</w:t>
            </w:r>
          </w:p>
        </w:tc>
        <w:tc>
          <w:tcPr>
            <w:tcW w:type="dxa" w:w="25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Capalo AI, enspired, Entrix</w:t>
            </w:r>
          </w:p>
        </w:tc>
        <w:tc>
          <w:tcPr>
            <w:tcW w:type="dxa" w:w="18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3–4 anos</w:t>
            </w:r>
          </w:p>
        </w:tc>
        <w:tc>
          <w:tcPr>
            <w:tcW w:type="dxa" w:w="25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Baseado em avaliação conjunta</w:t>
            </w:r>
          </w:p>
        </w:tc>
      </w:tr>
      <w:tr>
        <w:tc>
          <w:tcPr>
            <w:tcW w:type="dxa" w:w="22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Série B+ como empresa independente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VCs energia / infra</w:t>
            </w:r>
          </w:p>
        </w:tc>
        <w:tc>
          <w:tcPr>
            <w:tcW w:type="dxa" w:w="18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5–7 anos</w:t>
            </w:r>
          </w:p>
        </w:tc>
        <w:tc>
          <w:tcPr>
            <w:tcW w:type="dxa" w:w="2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Baseado em múltiplo de crescimento</w:t>
            </w:r>
          </w:p>
        </w:tc>
      </w:tr>
    </w:tbl>
    <w:p>
      <w:pPr>
        <w:shd w:fill="EBF5FB" w:color="EBF5FB" w:val="clear"/>
        <w:spacing w:after="160" w:before="120"/>
        <w:ind w:left="227" w:right="227"/>
      </w:pPr>
      <w:r>
        <w:rPr>
          <w:rFonts w:ascii="Calibri" w:cs="Calibri" w:eastAsia="Calibri" w:hAnsi="Calibri"/>
          <w:i/>
          <w:iCs/>
          <w:color w:val="1B3A5C"/>
          <w:sz w:val="18"/>
          <w:szCs w:val="18"/>
        </w:rPr>
        <w:t xml:space="preserve">ℹ  Estimativa de exit (Ano 4, receita €3M): Revenue múltiplo 7× = €21M. EBITDA múltiplo 20× (EBITDA €1,5M) = €30M.</w:t>
      </w:r>
    </w:p>
    <w:p>
      <w:pPr>
        <w:pStyle w:val="Heading2"/>
        <w:pBdr>
          <w:bottom w:val="single" w:color="00C9A7" w:sz="6"/>
        </w:pBdr>
        <w:spacing w:after="160" w:before="3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13.2 O Que Maximiza o Valor de Saída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Dados proprietários: histórico de licitações único — aumenta múltiplo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Certificações regulatórias: intransferíveis — comprador poupa 12+ meses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Contratos de longo prazo: visibilidade de receita 3–5 anos = múltiplo mais alto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Portfolio diversificado: 10+ ativos = sem concentração de cliente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2636"/>
          <w:sz w:val="20"/>
          <w:szCs w:val="20"/>
        </w:rPr>
        <w:t xml:space="preserve">Track record verificado: resultados auditados por terceiros (modelo enspired/KPMG)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14. Anexos</w:t>
      </w:r>
    </w:p>
    <w:p>
      <w:pPr>
        <w:pStyle w:val="Heading2"/>
        <w:pBdr>
          <w:bottom w:val="single" w:color="00C9A7" w:sz="6"/>
        </w:pBdr>
        <w:spacing w:after="160" w:before="3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A. Benchmark enspired (KPMG Verified)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bottom w:type="dxa" w:w="2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Período</w:t>
            </w:r>
          </w:p>
        </w:tc>
        <w:tc>
          <w:tcPr>
            <w:tcW w:type="dxa" w:w="22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Revenue/MW</w:t>
            </w:r>
          </w:p>
        </w:tc>
        <w:tc>
          <w:tcPr>
            <w:tcW w:type="dxa" w:w="16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Ciclos/dia</w:t>
            </w:r>
          </w:p>
        </w:tc>
        <w:tc>
          <w:tcPr>
            <w:tcW w:type="dxa" w:w="30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W w:type="dxa" w:w="22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2024 média</w:t>
            </w:r>
          </w:p>
        </w:tc>
        <w:tc>
          <w:tcPr>
            <w:tcW w:type="dxa" w:w="22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€116.000/MW</w:t>
            </w:r>
          </w:p>
        </w:tc>
        <w:tc>
          <w:tcPr>
            <w:tcW w:type="dxa" w:w="16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Alemanha</w:t>
            </w:r>
          </w:p>
        </w:tc>
      </w:tr>
      <w:tr>
        <w:tc>
          <w:tcPr>
            <w:tcW w:type="dxa" w:w="22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2025 média</w:t>
            </w:r>
          </w:p>
        </w:tc>
        <w:tc>
          <w:tcPr>
            <w:tcW w:type="dxa" w:w="22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€166.753/MW</w:t>
            </w:r>
          </w:p>
        </w:tc>
        <w:tc>
          <w:tcPr>
            <w:tcW w:type="dxa" w:w="16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1,06</w:t>
            </w:r>
          </w:p>
        </w:tc>
        <w:tc>
          <w:tcPr>
            <w:tcW w:type="dxa" w:w="3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+43% YoY</w:t>
            </w:r>
          </w:p>
        </w:tc>
      </w:tr>
      <w:tr>
        <w:tc>
          <w:tcPr>
            <w:tcW w:type="dxa" w:w="22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2025 top performers</w:t>
            </w:r>
          </w:p>
        </w:tc>
        <w:tc>
          <w:tcPr>
            <w:tcW w:type="dxa" w:w="22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€224.955/MW</w:t>
            </w:r>
          </w:p>
        </w:tc>
        <w:tc>
          <w:tcPr>
            <w:tcW w:type="dxa" w:w="16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Top quartil</w:t>
            </w:r>
          </w:p>
        </w:tc>
      </w:tr>
      <w:tr>
        <w:tc>
          <w:tcPr>
            <w:tcW w:type="dxa" w:w="22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Dezembro 2025</w:t>
            </w:r>
          </w:p>
        </w:tc>
        <w:tc>
          <w:tcPr>
            <w:tcW w:type="dxa" w:w="22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€62.549/MW</w:t>
            </w:r>
          </w:p>
        </w:tc>
        <w:tc>
          <w:tcPr>
            <w:tcW w:type="dxa" w:w="16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1,06</w:t>
            </w:r>
          </w:p>
        </w:tc>
        <w:tc>
          <w:tcPr>
            <w:tcW w:type="dxa" w:w="3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Mês fraco (sazonalidade)</w:t>
            </w:r>
          </w:p>
        </w:tc>
      </w:tr>
      <w:tr>
        <w:tc>
          <w:tcPr>
            <w:tcW w:type="dxa" w:w="22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Estimativa Ibéria (desconto 40%)</w:t>
            </w:r>
          </w:p>
        </w:tc>
        <w:tc>
          <w:tcPr>
            <w:tcW w:type="dxa" w:w="22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636"/>
                <w:sz w:val="18"/>
                <w:szCs w:val="18"/>
              </w:rPr>
              <w:t xml:space="preserve">€100.000–€133.000/MW</w:t>
            </w:r>
          </w:p>
        </w:tc>
        <w:tc>
          <w:tcPr>
            <w:tcW w:type="dxa" w:w="16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Estimativa de trabalho</w:t>
            </w:r>
          </w:p>
        </w:tc>
      </w:tr>
    </w:tbl>
    <w:p>
      <w:pPr>
        <w:spacing w:before="200"/>
      </w:pPr>
    </w:p>
    <w:p>
      <w:pPr>
        <w:pStyle w:val="Heading2"/>
        <w:pBdr>
          <w:bottom w:val="single" w:color="00C9A7" w:sz="6"/>
        </w:pBdr>
        <w:spacing w:after="160" w:before="3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B. Recursos Open-Source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bottom w:type="dxa" w:w="20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50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Recurso</w:t>
            </w:r>
          </w:p>
        </w:tc>
        <w:tc>
          <w:tcPr>
            <w:tcW w:type="dxa" w:w="40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</w:tr>
      <w:tr>
        <w:tc>
          <w:tcPr>
            <w:tcW w:type="dxa" w:w="5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OMIEData (github.com/acruzgarcia/OMIEData)</w:t>
            </w:r>
          </w:p>
        </w:tc>
        <w:tc>
          <w:tcPr>
            <w:tcW w:type="dxa" w:w="4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Dados OMIE históricos e live</w:t>
            </w:r>
          </w:p>
        </w:tc>
      </w:tr>
      <w:tr>
        <w:tc>
          <w:tcPr>
            <w:tcW w:type="dxa" w:w="5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entsoe-py (github.com/EnergieID/entsoe-py)</w:t>
            </w:r>
          </w:p>
        </w:tc>
        <w:tc>
          <w:tcPr>
            <w:tcW w:type="dxa" w:w="4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Dados ENTSO-E transparência</w:t>
            </w:r>
          </w:p>
        </w:tc>
      </w:tr>
      <w:tr>
        <w:tc>
          <w:tcPr>
            <w:tcW w:type="dxa" w:w="5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Stable-Baselines3 (stable-baselines3.readthedocs.io)</w:t>
            </w:r>
          </w:p>
        </w:tc>
        <w:tc>
          <w:tcPr>
            <w:tcW w:type="dxa" w:w="4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Algoritmos RL (PPO, SAC, etc.)</w:t>
            </w:r>
          </w:p>
        </w:tc>
      </w:tr>
      <w:tr>
        <w:tc>
          <w:tcPr>
            <w:tcW w:type="dxa" w:w="5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Gymnasium (gymnasium.farama.org)</w:t>
            </w:r>
          </w:p>
        </w:tc>
        <w:tc>
          <w:tcPr>
            <w:tcW w:type="dxa" w:w="4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Ambientes de simulação RL</w:t>
            </w:r>
          </w:p>
        </w:tc>
      </w:tr>
      <w:tr>
        <w:tc>
          <w:tcPr>
            <w:tcW w:type="dxa" w:w="5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Darts (unit8co.github.io/darts)</w:t>
            </w:r>
          </w:p>
        </w:tc>
        <w:tc>
          <w:tcPr>
            <w:tcW w:type="dxa" w:w="4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Time-series forecasting</w:t>
            </w:r>
          </w:p>
        </w:tc>
      </w:tr>
      <w:tr>
        <w:tc>
          <w:tcPr>
            <w:tcW w:type="dxa" w:w="5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pymodbus (pymodbus.readthedocs.io)</w:t>
            </w:r>
          </w:p>
        </w:tc>
        <w:tc>
          <w:tcPr>
            <w:tcW w:type="dxa" w:w="4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MODBUS TCP em Python</w:t>
            </w:r>
          </w:p>
        </w:tc>
      </w:tr>
      <w:tr>
        <w:tc>
          <w:tcPr>
            <w:tcW w:type="dxa" w:w="5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pyiec61850 (libiec61850.com)</w:t>
            </w:r>
          </w:p>
        </w:tc>
        <w:tc>
          <w:tcPr>
            <w:tcW w:type="dxa" w:w="4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IEC 61850 em Python/C</w:t>
            </w:r>
          </w:p>
        </w:tc>
      </w:tr>
    </w:tbl>
    <w:p>
      <w:pPr>
        <w:spacing w:before="200"/>
      </w:pPr>
    </w:p>
    <w:p>
      <w:pPr>
        <w:pStyle w:val="Heading2"/>
        <w:pBdr>
          <w:bottom w:val="single" w:color="00C9A7" w:sz="6"/>
        </w:pBdr>
        <w:spacing w:after="160" w:before="3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C. Glossário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bottom w:type="dxa" w:w="20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20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Termo</w:t>
            </w:r>
          </w:p>
        </w:tc>
        <w:tc>
          <w:tcPr>
            <w:tcW w:type="dxa" w:w="7000"/>
            <w:shd w:fill="0D1B2A" w:color="0D1B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Definição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BESS</w:t>
            </w:r>
          </w:p>
        </w:tc>
        <w:tc>
          <w:tcPr>
            <w:tcW w:type="dxa" w:w="7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Battery Energy Storage System — Sistema de armazenamento de energia em bateria</w:t>
            </w:r>
          </w:p>
        </w:tc>
      </w:tr>
      <w:tr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VPP</w:t>
            </w:r>
          </w:p>
        </w:tc>
        <w:tc>
          <w:tcPr>
            <w:tcW w:type="dxa" w:w="7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Virtual Power Plant — Agregação de múltiplos ativos geridos como central virtual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OMIE</w:t>
            </w:r>
          </w:p>
        </w:tc>
        <w:tc>
          <w:tcPr>
            <w:tcW w:type="dxa" w:w="7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Operador del Mercado Ibérico de Energía — bolsa de eletricidade ibérica</w:t>
            </w:r>
          </w:p>
        </w:tc>
      </w:tr>
      <w:tr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REN</w:t>
            </w:r>
          </w:p>
        </w:tc>
        <w:tc>
          <w:tcPr>
            <w:tcW w:type="dxa" w:w="7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Redes Energéticas Nacionais — TSO (operador de rede de transporte) de Portugal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FCR</w:t>
            </w:r>
          </w:p>
        </w:tc>
        <w:tc>
          <w:tcPr>
            <w:tcW w:type="dxa" w:w="7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Frequency Containment Reserve — Reserva de contenção de frequência (resposta em segundos)</w:t>
            </w:r>
          </w:p>
        </w:tc>
      </w:tr>
      <w:tr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aFRR</w:t>
            </w:r>
          </w:p>
        </w:tc>
        <w:tc>
          <w:tcPr>
            <w:tcW w:type="dxa" w:w="7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Automatic Frequency Restoration Reserve — Reserva automática de restauração de frequência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mFRR</w:t>
            </w:r>
          </w:p>
        </w:tc>
        <w:tc>
          <w:tcPr>
            <w:tcW w:type="dxa" w:w="7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Manual Frequency Restoration Reserve — adoptado em Portugal em março 2024</w:t>
            </w:r>
          </w:p>
        </w:tc>
      </w:tr>
      <w:tr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SoC</w:t>
            </w:r>
          </w:p>
        </w:tc>
        <w:tc>
          <w:tcPr>
            <w:tcW w:type="dxa" w:w="7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State of Charge — Estado de carga da bateria (0–100%)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DRL</w:t>
            </w:r>
          </w:p>
        </w:tc>
        <w:tc>
          <w:tcPr>
            <w:tcW w:type="dxa" w:w="7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Deep Reinforcement Learning — Aprendizagem por reforço profunda</w:t>
            </w:r>
          </w:p>
        </w:tc>
      </w:tr>
      <w:tr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SCADA</w:t>
            </w:r>
          </w:p>
        </w:tc>
        <w:tc>
          <w:tcPr>
            <w:tcW w:type="dxa" w:w="7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Supervisory Control and Data Acquisition — Sistema de supervisão e controlo industrial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DGEG</w:t>
            </w:r>
          </w:p>
        </w:tc>
        <w:tc>
          <w:tcPr>
            <w:tcW w:type="dxa" w:w="7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Direção-Geral de Energia e Geologia — Autoridade reguladora de energia (Portugal)</w:t>
            </w:r>
          </w:p>
        </w:tc>
      </w:tr>
      <w:tr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ERSE</w:t>
            </w:r>
          </w:p>
        </w:tc>
        <w:tc>
          <w:tcPr>
            <w:tcW w:type="dxa" w:w="7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Entidade Reguladora dos Serviços Energéticos — Regulador dos mercados (Portugal)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Revenue Share</w:t>
            </w:r>
          </w:p>
        </w:tc>
        <w:tc>
          <w:tcPr>
            <w:tcW w:type="dxa" w:w="7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Modelo em que o otimizador cobra uma % das receitas geradas</w:t>
            </w:r>
          </w:p>
        </w:tc>
      </w:tr>
      <w:tr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Tolling</w:t>
            </w:r>
          </w:p>
        </w:tc>
        <w:tc>
          <w:tcPr>
            <w:tcW w:type="dxa" w:w="7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Modelo em que o otimizador paga taxa fixa ao dono e retém toda a receita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Shadow Trading</w:t>
            </w:r>
          </w:p>
        </w:tc>
        <w:tc>
          <w:tcPr>
            <w:tcW w:type="dxa" w:w="7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Operação simulada em paralelo — sem execução de ordens reais</w:t>
            </w:r>
          </w:p>
        </w:tc>
      </w:tr>
      <w:tr>
        <w:tc>
          <w:tcPr>
            <w:tcW w:type="dxa" w:w="2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MAE</w:t>
            </w:r>
          </w:p>
        </w:tc>
        <w:tc>
          <w:tcPr>
            <w:tcW w:type="dxa" w:w="7000"/>
            <w:shd w:fill="F2F2F2" w:color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Mean Absolute Error — Métrica de avaliação de modelos de previsão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PPO</w:t>
            </w:r>
          </w:p>
        </w:tc>
        <w:tc>
          <w:tcPr>
            <w:tcW w:type="dxa" w:w="7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36"/>
                <w:sz w:val="18"/>
                <w:szCs w:val="18"/>
              </w:rPr>
              <w:t xml:space="preserve">Proximal Policy Optimization — Algoritmo RL para políticas contínuas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rFonts w:ascii="Calibri" w:cs="Calibri" w:eastAsia="Calibri" w:hAnsi="Calibri"/>
          <w:color w:val="8BA3B8"/>
          <w:sz w:val="18"/>
          <w:szCs w:val="18"/>
        </w:rPr>
        <w:t xml:space="preserve">Documento preparado com base em research de mercado realizado em março de 2026.</w:t>
      </w:r>
    </w:p>
    <w:p>
      <w:pPr>
        <w:jc w:val="center"/>
      </w:pPr>
      <w:r>
        <w:rPr>
          <w:rFonts w:ascii="Calibri" w:cs="Calibri" w:eastAsia="Calibri" w:hAnsi="Calibri"/>
          <w:color w:val="8BA3B8"/>
          <w:sz w:val="18"/>
          <w:szCs w:val="18"/>
        </w:rPr>
        <w:t xml:space="preserve">Fontes: ERSE, DGEG, OMIE, enspired (KPMG verified), Macedo Vitorino, ESS News, Legal 500, Damia Group 2025.</w:t>
      </w:r>
    </w:p>
    <w:p>
      <w:pPr>
        <w:jc w:val="center"/>
      </w:pPr>
      <w:r>
        <w:rPr>
          <w:rFonts w:ascii="Calibri" w:cs="Calibri" w:eastAsia="Calibri" w:hAnsi="Calibri"/>
          <w:color w:val="8BA3B8"/>
          <w:sz w:val="18"/>
          <w:szCs w:val="18"/>
        </w:rPr>
        <w:t xml:space="preserve">Estimativas financeiras são projeções de trabalho — incerteza significativa na variável revenue/MW/ano.</w:t>
      </w:r>
    </w:p>
    <w:sectPr>
      <w:headerReference w:type="default" r:id="rId7"/>
      <w:footerReference w:type="default" r:id="rId8"/>
      <w:pgSz w:w="11908" w:h="16833" w:orient="portrait"/>
      <w:pgMar w:top="1440" w:right="1440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</w:pPr>
    <w:r>
      <w:rPr>
        <w:rFonts w:ascii="Calibri" w:cs="Calibri" w:eastAsia="Calibri" w:hAnsi="Calibri"/>
        <w:color w:val="8BA3B8"/>
        <w:sz w:val="16"/>
        <w:szCs w:val="16"/>
      </w:rPr>
      <w:t xml:space="preserve">© 2026 BESS Optimizer — Documento confidencial para investidores    </w:t>
    </w:r>
    <w:r>
      <w:rPr>
        <w:rFonts w:ascii="Calibri" w:cs="Calibri" w:eastAsia="Calibri" w:hAnsi="Calibri"/>
        <w:color w:val="8BA3B8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C9A7" w:sz="4"/>
      </w:pBdr>
    </w:pPr>
    <w:r>
      <w:rPr>
        <w:rFonts w:ascii="Calibri" w:cs="Calibri" w:eastAsia="Calibri" w:hAnsi="Calibri"/>
        <w:color w:val="8BA3B8"/>
        <w:sz w:val="16"/>
        <w:szCs w:val="16"/>
      </w:rPr>
      <w:t xml:space="preserve">BESS Optimizer — Plano de Negócio 2026</w:t>
    </w:r>
    <w:r>
      <w:rPr>
        <w:rFonts w:ascii="Calibri" w:cs="Calibri" w:eastAsia="Calibri" w:hAnsi="Calibri"/>
        <w:color w:val="F5A623"/>
        <w:sz w:val="16"/>
        <w:szCs w:val="16"/>
      </w:rPr>
      <w:t xml:space="preserve">    |  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63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hd w:fill="0D1B2A" w:color="0D1B2A" w:val="clear"/>
      <w:spacing w:after="200" w:before="400"/>
    </w:pPr>
    <w:rPr>
      <w:rFonts w:ascii="Calibri" w:cs="Calibri" w:eastAsia="Calibri" w:hAnsi="Calibri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pPr>
      <w:spacing w:after="160" w:before="300"/>
    </w:pPr>
    <w:rPr>
      <w:rFonts w:ascii="Calibri" w:cs="Calibri" w:eastAsia="Calibri" w:hAnsi="Calibri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pPr>
      <w:spacing w:after="120" w:before="240"/>
    </w:pPr>
    <w:rPr>
      <w:rFonts w:ascii="Calibri" w:cs="Calibri" w:eastAsia="Calibri" w:hAnsi="Calibri"/>
      <w:b/>
      <w:bCs/>
      <w:color w:val="00C9A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2026-03-24T18:20:49.520Z</dcterms:created>
  <dcterms:modified xsi:type="dcterms:W3CDTF">2026-03-24T18:20:49.522Z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