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174" w:tblpY="2169"/>
        <w:tblOverlap w:val="never"/>
        <w:tblW w:w="93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7"/>
        <w:gridCol w:w="247"/>
        <w:gridCol w:w="1686"/>
        <w:gridCol w:w="223"/>
        <w:gridCol w:w="814"/>
        <w:gridCol w:w="230"/>
        <w:gridCol w:w="13"/>
        <w:gridCol w:w="1749"/>
        <w:gridCol w:w="14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997" w:type="dxa"/>
            <w:vMerge w:val="restart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2970" w:type="dxa"/>
            <w:gridSpan w:val="4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Model 1</w:t>
            </w:r>
          </w:p>
        </w:tc>
        <w:tc>
          <w:tcPr>
            <w:tcW w:w="243" w:type="dxa"/>
            <w:gridSpan w:val="2"/>
            <w:tcBorders>
              <w:top w:val="single" w:color="auto" w:sz="12" w:space="0"/>
              <w:left w:val="nil"/>
              <w:right w:val="nil"/>
            </w:tcBorders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3169" w:type="dxa"/>
            <w:gridSpan w:val="2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Model 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997" w:type="dxa"/>
            <w:vMerge w:val="continue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OR (95%CI)</w:t>
            </w:r>
          </w:p>
        </w:tc>
        <w:tc>
          <w:tcPr>
            <w:tcW w:w="1037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  <w:t>P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 value</w:t>
            </w:r>
          </w:p>
        </w:tc>
        <w:tc>
          <w:tcPr>
            <w:tcW w:w="243" w:type="dxa"/>
            <w:gridSpan w:val="2"/>
            <w:tcBorders>
              <w:left w:val="nil"/>
              <w:bottom w:val="single" w:color="000000" w:sz="8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OR (95%CI)</w:t>
            </w:r>
          </w:p>
        </w:tc>
        <w:tc>
          <w:tcPr>
            <w:tcW w:w="142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  <w:t>P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 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Total c</w:t>
            </w: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bidi="ar"/>
              </w:rPr>
              <w:t>offee</w:t>
            </w:r>
            <w:r>
              <w:rPr>
                <w:rFonts w:hint="eastAsia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intake </w:t>
            </w: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bidi="ar"/>
              </w:rPr>
              <w:t>(g/day)</w:t>
            </w: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vertAlign w:val="superscript"/>
                <w:lang w:bidi="ar"/>
              </w:rPr>
              <w:t>*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1.22(1.09,1.37)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0.002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1.22(1.09,1.37)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bidi="ar"/>
              </w:rPr>
              <w:t>Sweeten coffee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C1D1E"/>
                <w:spacing w:val="0"/>
                <w:sz w:val="22"/>
                <w:szCs w:val="22"/>
                <w:shd w:val="clear" w:fill="FFFFFF"/>
                <w:vertAlign w:val="superscript"/>
              </w:rPr>
              <w:t>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Times New Roman" w:cs="Arial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No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ref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ref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0.80(0.19,3.26)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0.74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0.77(0.19,3.05)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Unsweetened</w:t>
            </w: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bidi="ar"/>
              </w:rPr>
              <w:t xml:space="preserve"> coffee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C1D1E"/>
                <w:spacing w:val="0"/>
                <w:sz w:val="22"/>
                <w:szCs w:val="22"/>
                <w:shd w:val="clear" w:fill="FFFFFF"/>
                <w:vertAlign w:val="superscript"/>
              </w:rPr>
              <w:t>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No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ref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ref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1.36(1.08,1.71)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1.33(1.06,1.67)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bidi="ar"/>
              </w:rPr>
              <w:t>Caffeinated coffee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C1D1E"/>
                <w:spacing w:val="0"/>
                <w:sz w:val="22"/>
                <w:szCs w:val="22"/>
                <w:shd w:val="clear" w:fill="FFFFFF"/>
                <w:vertAlign w:val="superscript"/>
              </w:rPr>
              <w:t>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Times New Roman" w:cs="Arial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No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ref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ref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1.34(1.07,1.68)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1.32(1.06,1.64)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Deca</w:t>
            </w: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bidi="ar"/>
              </w:rPr>
              <w:t>ffeinated coffee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C1D1E"/>
                <w:spacing w:val="0"/>
                <w:sz w:val="22"/>
                <w:szCs w:val="22"/>
                <w:shd w:val="clear" w:fill="FFFFFF"/>
                <w:vertAlign w:val="superscript"/>
              </w:rPr>
              <w:t>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Times New Roman" w:cs="Arial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No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ref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ref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1.34(0.81,2.21)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1.30(0.78,2.17)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C</w:t>
            </w: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bidi="ar"/>
              </w:rPr>
              <w:t>offee with fat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C1D1E"/>
                <w:spacing w:val="0"/>
                <w:sz w:val="22"/>
                <w:szCs w:val="22"/>
                <w:shd w:val="clear" w:fill="FFFFFF"/>
                <w:vertAlign w:val="superscript"/>
              </w:rPr>
              <w:t>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Times New Roman" w:cs="Arial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Times New Roman" w:cs="Arial"/>
                <w:b w:val="0"/>
                <w:bCs w:val="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No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ref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ref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0.49(0.10,2.43)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0.49(0.10,2.42)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F</w:t>
            </w: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at-free coffee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C1D1E"/>
                <w:spacing w:val="0"/>
                <w:sz w:val="22"/>
                <w:szCs w:val="22"/>
                <w:shd w:val="clear" w:fill="FFFFFF"/>
                <w:vertAlign w:val="superscript"/>
              </w:rPr>
              <w:t>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No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ref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ref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1.35(1.08,1.69)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1.33(1.06,1.65)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Arial" w:hAnsi="Arial" w:cs="Arial" w:eastAsiaTheme="minorEastAsia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lang w:bidi="ar"/>
              </w:rPr>
              <w:t>Coffee with milk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C1D1E"/>
                <w:spacing w:val="0"/>
                <w:sz w:val="22"/>
                <w:szCs w:val="22"/>
                <w:shd w:val="clear" w:fill="FFFFFF"/>
                <w:vertAlign w:val="superscript"/>
              </w:rPr>
              <w:t>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lang w:bidi="ar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No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ref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ref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99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Arial" w:hAnsi="Arial" w:cs="Arial"/>
                <w:color w:val="000000"/>
                <w:kern w:val="0"/>
                <w:sz w:val="22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Yes</w:t>
            </w:r>
          </w:p>
        </w:tc>
        <w:tc>
          <w:tcPr>
            <w:tcW w:w="24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宋体" w:cs="Arial"/>
                <w:b w:val="0"/>
                <w:bCs w:val="0"/>
                <w:sz w:val="22"/>
                <w:szCs w:val="22"/>
                <w:lang w:val="en-US" w:eastAsia="zh-CN" w:bidi="ar"/>
              </w:rPr>
              <w:t>1.35(1.07,1.69)</w:t>
            </w:r>
          </w:p>
        </w:tc>
        <w:tc>
          <w:tcPr>
            <w:tcW w:w="81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widowControl/>
              <w:jc w:val="center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1.32(1.06,1.65)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rPr>
          <w:rFonts w:hint="eastAsia"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Supplementary Table </w:t>
      </w:r>
      <w:r>
        <w:rPr>
          <w:rFonts w:hint="eastAsia" w:ascii="Arial" w:hAnsi="Arial" w:cs="Arial"/>
          <w:kern w:val="0"/>
          <w:sz w:val="22"/>
        </w:rPr>
        <w:t>2</w:t>
      </w:r>
      <w:r>
        <w:rPr>
          <w:rFonts w:ascii="Arial" w:hAnsi="Arial" w:cs="Arial"/>
          <w:kern w:val="0"/>
          <w:sz w:val="22"/>
        </w:rPr>
        <w:t xml:space="preserve"> Sensitivity analysis of the association between total coffee,</w:t>
      </w:r>
      <w:r>
        <w:rPr>
          <w:rFonts w:hint="eastAsia" w:ascii="Arial" w:hAnsi="Arial" w:cs="Arial"/>
          <w:kern w:val="0"/>
          <w:sz w:val="22"/>
        </w:rPr>
        <w:t xml:space="preserve"> </w:t>
      </w:r>
      <w:r>
        <w:rPr>
          <w:rFonts w:ascii="Arial" w:hAnsi="Arial" w:cs="Arial"/>
          <w:kern w:val="0"/>
          <w:sz w:val="22"/>
        </w:rPr>
        <w:t xml:space="preserve">different types of coffee consumption </w:t>
      </w:r>
      <w:r>
        <w:rPr>
          <w:rFonts w:hint="eastAsia" w:ascii="Arial" w:hAnsi="Arial" w:cs="Arial"/>
          <w:kern w:val="0"/>
          <w:sz w:val="22"/>
        </w:rPr>
        <w:t>with</w:t>
      </w:r>
      <w:r>
        <w:rPr>
          <w:rFonts w:ascii="Arial" w:hAnsi="Arial" w:cs="Arial"/>
          <w:kern w:val="0"/>
          <w:sz w:val="22"/>
        </w:rPr>
        <w:t xml:space="preserve"> periodontitis by excluding pregnant and breastfeeding women</w:t>
      </w:r>
      <w:r>
        <w:rPr>
          <w:rFonts w:hint="eastAsia" w:ascii="Arial" w:hAnsi="Arial" w:cs="Arial"/>
          <w:kern w:val="0"/>
          <w:sz w:val="22"/>
        </w:rPr>
        <w:t>.</w:t>
      </w:r>
    </w:p>
    <w:p>
      <w:pPr>
        <w:rPr>
          <w:rStyle w:val="4"/>
          <w:rFonts w:hint="default" w:ascii="Arial" w:hAnsi="Arial" w:cs="Arial"/>
        </w:rPr>
      </w:pPr>
      <w:r>
        <w:rPr>
          <w:rStyle w:val="4"/>
          <w:rFonts w:hint="default" w:ascii="Arial" w:hAnsi="Arial" w:cs="Arial"/>
        </w:rPr>
        <w:t>Note:</w:t>
      </w:r>
      <w:r>
        <w:rPr>
          <w:rStyle w:val="4"/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  <w:kern w:val="0"/>
          <w:sz w:val="22"/>
          <w:vertAlign w:val="superscript"/>
          <w:lang w:bidi="ar"/>
        </w:rPr>
        <w:t>*</w:t>
      </w:r>
      <w:r>
        <w:rPr>
          <w:rStyle w:val="4"/>
          <w:rFonts w:hint="default" w:ascii="Arial" w:hAnsi="Arial" w:cs="Arial"/>
        </w:rPr>
        <w:t xml:space="preserve">Total coffee intake (g/day) were standardized according to interquartile range (IQR) to estimate the odds ratios (ORs) per IQR increase in levels of coffee. </w:t>
      </w:r>
      <w:r>
        <w:rPr>
          <w:rFonts w:ascii="Arial" w:hAnsi="Arial" w:eastAsia="sans-serif" w:cs="Arial"/>
          <w:color w:val="1C1D1E"/>
          <w:sz w:val="22"/>
          <w:shd w:val="clear" w:color="auto" w:fill="FFFFFF"/>
          <w:vertAlign w:val="superscript"/>
        </w:rPr>
        <w:t>†</w:t>
      </w:r>
      <w:r>
        <w:t xml:space="preserve"> </w:t>
      </w:r>
      <w:r>
        <w:rPr>
          <w:rFonts w:ascii="Arial" w:hAnsi="Arial" w:eastAsia="宋体" w:cs="Arial"/>
          <w:color w:val="1C1D1E"/>
          <w:sz w:val="22"/>
          <w:shd w:val="clear" w:color="auto" w:fill="FFFFFF"/>
        </w:rPr>
        <w:t>Those who never drank any type of coffee were set as the reference. “</w:t>
      </w:r>
      <w:r>
        <w:rPr>
          <w:rFonts w:hint="eastAsia" w:ascii="Arial" w:hAnsi="Arial" w:eastAsia="宋体" w:cs="Arial"/>
          <w:color w:val="1C1D1E"/>
          <w:sz w:val="22"/>
          <w:shd w:val="clear" w:color="auto" w:fill="FFFFFF"/>
        </w:rPr>
        <w:t>No</w:t>
      </w:r>
      <w:r>
        <w:rPr>
          <w:rFonts w:ascii="Arial" w:hAnsi="Arial" w:eastAsia="宋体" w:cs="Arial"/>
          <w:color w:val="1C1D1E"/>
          <w:sz w:val="22"/>
          <w:shd w:val="clear" w:color="auto" w:fill="FFFFFF"/>
        </w:rPr>
        <w:t>”</w:t>
      </w:r>
      <w:r>
        <w:rPr>
          <w:rFonts w:hint="eastAsia" w:ascii="Arial" w:hAnsi="Arial" w:eastAsia="宋体" w:cs="Arial"/>
          <w:color w:val="1C1D1E"/>
          <w:sz w:val="22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1C1D1E"/>
          <w:sz w:val="22"/>
          <w:shd w:val="clear" w:color="auto" w:fill="FFFFFF"/>
        </w:rPr>
        <w:t>indicate</w:t>
      </w:r>
      <w:r>
        <w:rPr>
          <w:rFonts w:hint="eastAsia" w:ascii="Arial" w:hAnsi="Arial" w:eastAsia="宋体" w:cs="Arial"/>
          <w:color w:val="1C1D1E"/>
          <w:sz w:val="22"/>
          <w:shd w:val="clear" w:color="auto" w:fill="FFFFFF"/>
        </w:rPr>
        <w:t xml:space="preserve">s not to drink </w:t>
      </w:r>
      <w:r>
        <w:rPr>
          <w:rFonts w:ascii="Arial" w:hAnsi="Arial" w:eastAsia="宋体" w:cs="Arial"/>
          <w:color w:val="1C1D1E"/>
          <w:sz w:val="22"/>
          <w:shd w:val="clear" w:color="auto" w:fill="FFFFFF"/>
        </w:rPr>
        <w:t>any type of</w:t>
      </w:r>
      <w:r>
        <w:rPr>
          <w:rFonts w:hint="eastAsia" w:ascii="Arial" w:hAnsi="Arial" w:eastAsia="宋体" w:cs="Arial"/>
          <w:color w:val="1C1D1E"/>
          <w:sz w:val="22"/>
          <w:shd w:val="clear" w:color="auto" w:fill="FFFFFF"/>
        </w:rPr>
        <w:t xml:space="preserve"> coffee, </w:t>
      </w:r>
      <w:r>
        <w:rPr>
          <w:rFonts w:ascii="Arial" w:hAnsi="Arial" w:eastAsia="宋体" w:cs="Arial"/>
          <w:color w:val="1C1D1E"/>
          <w:sz w:val="22"/>
          <w:shd w:val="clear" w:color="auto" w:fill="FFFFFF"/>
        </w:rPr>
        <w:t>while</w:t>
      </w:r>
      <w:r>
        <w:rPr>
          <w:rFonts w:hint="eastAsia" w:ascii="Arial" w:hAnsi="Arial" w:eastAsia="宋体" w:cs="Arial"/>
          <w:color w:val="1C1D1E"/>
          <w:sz w:val="22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1C1D1E"/>
          <w:sz w:val="22"/>
          <w:shd w:val="clear" w:color="auto" w:fill="FFFFFF"/>
        </w:rPr>
        <w:t>“</w:t>
      </w:r>
      <w:r>
        <w:rPr>
          <w:rFonts w:hint="eastAsia" w:ascii="Arial" w:hAnsi="Arial" w:eastAsia="宋体" w:cs="Arial"/>
          <w:color w:val="1C1D1E"/>
          <w:sz w:val="22"/>
          <w:shd w:val="clear" w:color="auto" w:fill="FFFFFF"/>
        </w:rPr>
        <w:t>Yes</w:t>
      </w:r>
      <w:r>
        <w:rPr>
          <w:rFonts w:ascii="Arial" w:hAnsi="Arial" w:eastAsia="宋体" w:cs="Arial"/>
          <w:color w:val="1C1D1E"/>
          <w:sz w:val="22"/>
          <w:shd w:val="clear" w:color="auto" w:fill="FFFFFF"/>
        </w:rPr>
        <w:t>”</w:t>
      </w:r>
      <w:r>
        <w:rPr>
          <w:rFonts w:hint="eastAsia" w:ascii="Arial" w:hAnsi="Arial" w:eastAsia="宋体" w:cs="Arial"/>
          <w:color w:val="1C1D1E"/>
          <w:sz w:val="22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1C1D1E"/>
          <w:sz w:val="22"/>
          <w:shd w:val="clear" w:color="auto" w:fill="FFFFFF"/>
        </w:rPr>
        <w:t>indicate</w:t>
      </w:r>
      <w:r>
        <w:rPr>
          <w:rFonts w:hint="eastAsia" w:ascii="Arial" w:hAnsi="Arial" w:eastAsia="宋体" w:cs="Arial"/>
          <w:color w:val="1C1D1E"/>
          <w:sz w:val="22"/>
          <w:shd w:val="clear" w:color="auto" w:fill="FFFFFF"/>
        </w:rPr>
        <w:t xml:space="preserve">s to drink </w:t>
      </w:r>
      <w:r>
        <w:rPr>
          <w:rFonts w:ascii="Arial" w:hAnsi="Arial" w:eastAsia="宋体" w:cs="Arial"/>
          <w:color w:val="1C1D1E"/>
          <w:sz w:val="22"/>
          <w:shd w:val="clear" w:color="auto" w:fill="FFFFFF"/>
        </w:rPr>
        <w:t>the corresponding</w:t>
      </w:r>
      <w:r>
        <w:rPr>
          <w:rFonts w:hint="eastAsia" w:ascii="Arial" w:hAnsi="Arial" w:eastAsia="宋体" w:cs="Arial"/>
          <w:color w:val="1C1D1E"/>
          <w:sz w:val="22"/>
          <w:shd w:val="clear" w:color="auto" w:fill="FFFFFF"/>
        </w:rPr>
        <w:t xml:space="preserve"> type of coffee. </w:t>
      </w:r>
      <w:r>
        <w:rPr>
          <w:rStyle w:val="4"/>
          <w:rFonts w:hint="default" w:ascii="Arial" w:hAnsi="Arial" w:cs="Arial"/>
        </w:rPr>
        <w:t>Model 1: adjusted for age, sex, race, educational level, marital status, PIR, BMI, alcohol drinking, smoking status, and DII</w:t>
      </w:r>
      <w:r>
        <w:rPr>
          <w:rStyle w:val="4"/>
          <w:rFonts w:ascii="Arial" w:hAnsi="Arial" w:cs="Arial"/>
        </w:rPr>
        <w:t>.</w:t>
      </w:r>
      <w:r>
        <w:rPr>
          <w:rStyle w:val="4"/>
          <w:rFonts w:hint="default" w:ascii="Arial" w:hAnsi="Arial" w:cs="Arial"/>
        </w:rPr>
        <w:t xml:space="preserve"> Model 2: additionally adjusted for hypertension and diabetes.</w:t>
      </w:r>
    </w:p>
    <w:p>
      <w:pPr>
        <w:widowControl/>
        <w:jc w:val="left"/>
      </w:pPr>
      <w:bookmarkStart w:id="0" w:name="_GoBack"/>
      <w:bookmarkEnd w:id="0"/>
      <w:r>
        <w:br w:type="page"/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5YTM4MGM0OTlmZGEwNTkyODU0MTM0MmJhZjBhMTkifQ=="/>
  </w:docVars>
  <w:rsids>
    <w:rsidRoot w:val="003D78B2"/>
    <w:rsid w:val="003D78B2"/>
    <w:rsid w:val="007B672B"/>
    <w:rsid w:val="00D9633C"/>
    <w:rsid w:val="18E1604E"/>
    <w:rsid w:val="199B6470"/>
    <w:rsid w:val="1BC60816"/>
    <w:rsid w:val="5169068A"/>
    <w:rsid w:val="64CD212B"/>
    <w:rsid w:val="66090980"/>
    <w:rsid w:val="703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16"/>
    <w:basedOn w:val="3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5">
    <w:name w:val="font11"/>
    <w:basedOn w:val="3"/>
    <w:qFormat/>
    <w:uiPriority w:val="0"/>
    <w:rPr>
      <w:rFonts w:hint="default" w:ascii="Calibri" w:hAnsi="Calibri" w:cs="Calibri"/>
      <w:color w:val="333333"/>
      <w:sz w:val="22"/>
      <w:szCs w:val="22"/>
      <w:u w:val="none"/>
    </w:rPr>
  </w:style>
  <w:style w:type="character" w:customStyle="1" w:styleId="6">
    <w:name w:val="font21"/>
    <w:basedOn w:val="3"/>
    <w:qFormat/>
    <w:uiPriority w:val="0"/>
    <w:rPr>
      <w:rFonts w:hint="default" w:ascii="Calibri" w:hAnsi="Calibri" w:cs="Calibri"/>
      <w:color w:val="333333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1124</Characters>
  <Lines>9</Lines>
  <Paragraphs>2</Paragraphs>
  <TotalTime>0</TotalTime>
  <ScaleCrop>false</ScaleCrop>
  <LinksUpToDate>false</LinksUpToDate>
  <CharactersWithSpaces>1319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2023-07-20T11:50:00Z</dcterms:created>
  <dc:creator>ASUS</dc:creator>
  <cp:lastModifiedBy>Sean</cp:lastModifiedBy>
  <dcterms:modified xsi:type="dcterms:W3CDTF">2023-07-25T02:54:15Z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CC8B3001C07E40889CD29904C25B85CB_13</vt:lpwstr>
  </property>
</Properties>
</file>