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CD3F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5713A23B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2743A20D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68ACA6C9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42875399" w14:textId="77777777" w:rsidR="0010173D" w:rsidRPr="009B613C" w:rsidRDefault="00000000">
      <w:pPr>
        <w:spacing w:after="120" w:line="360" w:lineRule="auto"/>
        <w:jc w:val="center"/>
        <w:rPr>
          <w:lang w:val="pt-PT"/>
        </w:rPr>
      </w:pPr>
      <w:r w:rsidRPr="009B613C">
        <w:rPr>
          <w:b/>
          <w:lang w:val="pt-PT"/>
        </w:rPr>
        <w:t>FIAP — Pós Tech</w:t>
      </w:r>
    </w:p>
    <w:p w14:paraId="5C9EE19B" w14:textId="77777777" w:rsidR="0010173D" w:rsidRPr="009B613C" w:rsidRDefault="00000000">
      <w:pPr>
        <w:spacing w:after="120" w:line="360" w:lineRule="auto"/>
        <w:jc w:val="center"/>
        <w:rPr>
          <w:lang w:val="pt-PT"/>
        </w:rPr>
      </w:pPr>
      <w:r w:rsidRPr="009B613C">
        <w:rPr>
          <w:b/>
          <w:lang w:val="pt-PT"/>
        </w:rPr>
        <w:t>Software Architecture</w:t>
      </w:r>
    </w:p>
    <w:p w14:paraId="5641ED05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3A2EC05E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2E96B10A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66128CC5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70AF4DFC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104FB662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5D148E90" w14:textId="77777777" w:rsidR="0010173D" w:rsidRPr="009B613C" w:rsidRDefault="00000000">
      <w:pPr>
        <w:spacing w:after="120" w:line="360" w:lineRule="auto"/>
        <w:jc w:val="center"/>
        <w:rPr>
          <w:lang w:val="pt-PT"/>
        </w:rPr>
      </w:pPr>
      <w:r w:rsidRPr="009B613C">
        <w:rPr>
          <w:b/>
          <w:sz w:val="28"/>
          <w:lang w:val="pt-PT"/>
        </w:rPr>
        <w:t>ADR 0001</w:t>
      </w:r>
    </w:p>
    <w:p w14:paraId="78AE16A8" w14:textId="77777777" w:rsidR="0010173D" w:rsidRPr="009B613C" w:rsidRDefault="00000000">
      <w:pPr>
        <w:spacing w:after="120" w:line="360" w:lineRule="auto"/>
        <w:jc w:val="center"/>
        <w:rPr>
          <w:lang w:val="pt-PT"/>
        </w:rPr>
      </w:pPr>
      <w:r w:rsidRPr="009B613C">
        <w:rPr>
          <w:b/>
          <w:sz w:val="40"/>
          <w:lang w:val="pt-PT"/>
        </w:rPr>
        <w:t>Adoção de banco de dados relacional</w:t>
      </w:r>
    </w:p>
    <w:p w14:paraId="49A81DE5" w14:textId="77777777" w:rsidR="0010173D" w:rsidRPr="009B613C" w:rsidRDefault="00000000">
      <w:pPr>
        <w:spacing w:after="120" w:line="360" w:lineRule="auto"/>
        <w:jc w:val="center"/>
        <w:rPr>
          <w:lang w:val="pt-PT"/>
        </w:rPr>
      </w:pPr>
      <w:r w:rsidRPr="009B613C">
        <w:rPr>
          <w:b/>
          <w:sz w:val="28"/>
          <w:lang w:val="pt-PT"/>
        </w:rPr>
        <w:t>PostgreSQL como sistema de persistência principal</w:t>
      </w:r>
    </w:p>
    <w:p w14:paraId="518FC590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139B0A52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3DE79992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78FB4F33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5C1A5D93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7A84A897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4E44A10A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39E2E3F6" w14:textId="77777777" w:rsidR="0010173D" w:rsidRPr="009B613C" w:rsidRDefault="0010173D">
      <w:pPr>
        <w:spacing w:after="120" w:line="360" w:lineRule="auto"/>
        <w:jc w:val="both"/>
        <w:rPr>
          <w:lang w:val="pt-PT"/>
        </w:rPr>
      </w:pPr>
    </w:p>
    <w:p w14:paraId="71026A41" w14:textId="77777777" w:rsidR="0010173D" w:rsidRPr="009B613C" w:rsidRDefault="00000000">
      <w:pPr>
        <w:spacing w:before="360" w:after="240" w:line="360" w:lineRule="auto"/>
        <w:rPr>
          <w:lang w:val="pt-PT"/>
        </w:rPr>
      </w:pPr>
      <w:r w:rsidRPr="009B613C">
        <w:rPr>
          <w:b/>
          <w:lang w:val="pt-PT"/>
        </w:rPr>
        <w:lastRenderedPageBreak/>
        <w:t>METADADOS DA DECISÃO</w:t>
      </w:r>
    </w:p>
    <w:tbl>
      <w:tblPr>
        <w:tblStyle w:val="ListaClara-nfase1"/>
        <w:tblW w:w="0" w:type="auto"/>
        <w:jc w:val="center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702"/>
        <w:gridCol w:w="4702"/>
      </w:tblGrid>
      <w:tr w:rsidR="0010173D" w:rsidRPr="009B613C" w14:paraId="165E6214" w14:textId="77777777" w:rsidTr="001017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4B345BD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Identificador</w:t>
            </w:r>
          </w:p>
        </w:tc>
        <w:tc>
          <w:tcPr>
            <w:tcW w:w="4702" w:type="dxa"/>
          </w:tcPr>
          <w:p w14:paraId="6C871C87" w14:textId="77777777" w:rsidR="0010173D" w:rsidRPr="009B613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ADR 0001</w:t>
            </w:r>
          </w:p>
        </w:tc>
      </w:tr>
      <w:tr w:rsidR="0010173D" w:rsidRPr="009B613C" w14:paraId="0C96ADA0" w14:textId="77777777" w:rsidTr="0010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DE556A2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Título</w:t>
            </w:r>
          </w:p>
        </w:tc>
        <w:tc>
          <w:tcPr>
            <w:tcW w:w="4702" w:type="dxa"/>
          </w:tcPr>
          <w:p w14:paraId="223955A0" w14:textId="77777777" w:rsidR="0010173D" w:rsidRPr="009B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Adoção de banco de dados relacional (PostgreSQL) como sistema de persistência principal</w:t>
            </w:r>
          </w:p>
        </w:tc>
      </w:tr>
      <w:tr w:rsidR="0010173D" w:rsidRPr="009B613C" w14:paraId="4ADE088E" w14:textId="77777777" w:rsidTr="001017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0B8F8614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Status</w:t>
            </w:r>
          </w:p>
        </w:tc>
        <w:tc>
          <w:tcPr>
            <w:tcW w:w="4702" w:type="dxa"/>
          </w:tcPr>
          <w:p w14:paraId="1C177486" w14:textId="77777777" w:rsidR="0010173D" w:rsidRPr="009B61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Aceita</w:t>
            </w:r>
          </w:p>
        </w:tc>
      </w:tr>
      <w:tr w:rsidR="0010173D" w:rsidRPr="009B613C" w14:paraId="13F4D53C" w14:textId="77777777" w:rsidTr="0010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42FAFB30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Data</w:t>
            </w:r>
          </w:p>
        </w:tc>
        <w:tc>
          <w:tcPr>
            <w:tcW w:w="4702" w:type="dxa"/>
          </w:tcPr>
          <w:p w14:paraId="318344D8" w14:textId="77777777" w:rsidR="0010173D" w:rsidRPr="009B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20/04/2025</w:t>
            </w:r>
          </w:p>
        </w:tc>
      </w:tr>
      <w:tr w:rsidR="0010173D" w:rsidRPr="009B613C" w14:paraId="13E012B2" w14:textId="77777777" w:rsidTr="001017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2A50C34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Decisores</w:t>
            </w:r>
          </w:p>
        </w:tc>
        <w:tc>
          <w:tcPr>
            <w:tcW w:w="4702" w:type="dxa"/>
          </w:tcPr>
          <w:p w14:paraId="00D20395" w14:textId="7E19CCDF" w:rsidR="0010173D" w:rsidRPr="009B61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Time técnico d</w:t>
            </w:r>
            <w:r w:rsidR="009B613C" w:rsidRPr="009B613C">
              <w:rPr>
                <w:sz w:val="20"/>
                <w:lang w:val="pt-PT"/>
              </w:rPr>
              <w:t>a</w:t>
            </w:r>
            <w:r w:rsidRPr="009B613C">
              <w:rPr>
                <w:sz w:val="20"/>
                <w:lang w:val="pt-PT"/>
              </w:rPr>
              <w:t xml:space="preserve"> </w:t>
            </w:r>
            <w:r w:rsidR="009B613C" w:rsidRPr="009B613C">
              <w:rPr>
                <w:sz w:val="20"/>
                <w:lang w:val="pt-PT"/>
              </w:rPr>
              <w:t>o</w:t>
            </w:r>
            <w:r w:rsidRPr="009B613C">
              <w:rPr>
                <w:sz w:val="20"/>
                <w:lang w:val="pt-PT"/>
              </w:rPr>
              <w:t>ficina</w:t>
            </w:r>
            <w:r w:rsidR="009B613C" w:rsidRPr="009B613C">
              <w:rPr>
                <w:sz w:val="20"/>
                <w:lang w:val="pt-PT"/>
              </w:rPr>
              <w:t xml:space="preserve"> mecanica b</w:t>
            </w:r>
            <w:r w:rsidRPr="009B613C">
              <w:rPr>
                <w:sz w:val="20"/>
                <w:lang w:val="pt-PT"/>
              </w:rPr>
              <w:t>ackend</w:t>
            </w:r>
          </w:p>
        </w:tc>
      </w:tr>
      <w:tr w:rsidR="0010173D" w:rsidRPr="009B613C" w14:paraId="448B5889" w14:textId="77777777" w:rsidTr="001017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639E68C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Contexto técnico</w:t>
            </w:r>
          </w:p>
        </w:tc>
        <w:tc>
          <w:tcPr>
            <w:tcW w:w="4702" w:type="dxa"/>
          </w:tcPr>
          <w:p w14:paraId="464E4A76" w14:textId="77777777" w:rsidR="0010173D" w:rsidRPr="009B613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Tech Challenge — Pós Tech Software Architecture (FIAP)</w:t>
            </w:r>
          </w:p>
        </w:tc>
      </w:tr>
      <w:tr w:rsidR="0010173D" w:rsidRPr="009B613C" w14:paraId="5ECBF4E9" w14:textId="77777777" w:rsidTr="001017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30D062D3" w14:textId="77777777" w:rsidR="0010173D" w:rsidRPr="009B613C" w:rsidRDefault="00000000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Stack alvo</w:t>
            </w:r>
          </w:p>
        </w:tc>
        <w:tc>
          <w:tcPr>
            <w:tcW w:w="4702" w:type="dxa"/>
          </w:tcPr>
          <w:p w14:paraId="456C1770" w14:textId="77777777" w:rsidR="0010173D" w:rsidRPr="009B613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Java 21, Spring Boot 3.3, Spring Data JPA, Flyway</w:t>
            </w:r>
          </w:p>
        </w:tc>
      </w:tr>
    </w:tbl>
    <w:p w14:paraId="7A69C835" w14:textId="77777777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  <w:r w:rsidRPr="009B613C"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  <w:t>1. CONTEXTO</w:t>
      </w:r>
    </w:p>
    <w:p w14:paraId="47329782" w14:textId="77777777" w:rsidR="009B613C" w:rsidRPr="009B613C" w:rsidRDefault="009B613C" w:rsidP="009B613C">
      <w:pPr>
        <w:spacing w:after="120" w:line="360" w:lineRule="auto"/>
        <w:ind w:right="510" w:firstLine="709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 xml:space="preserve">O Oficina Backend coordena o ciclo da Ordem de Serviço (OS) e seus domínios genéricos (Cadastros, Estoque, Suprimentos, Financeiro). O domínio é fortemente relacional e exige </w:t>
      </w:r>
      <w:r w:rsidRPr="007C50FA">
        <w:rPr>
          <w:b/>
          <w:bCs/>
          <w:color w:val="1F2937"/>
          <w:lang w:val="pt-PT"/>
        </w:rPr>
        <w:t xml:space="preserve">transações atômicas em operações que escrevem em mais de um contexto </w:t>
      </w:r>
      <w:r w:rsidRPr="009B613C">
        <w:rPr>
          <w:color w:val="1F2937"/>
          <w:lang w:val="pt-PT"/>
        </w:rPr>
        <w:t>(ex.: pagamento da OS abre Conta a Receber; emissão de NF credita Estoque e abre Conta a Pagar).</w:t>
      </w:r>
    </w:p>
    <w:p w14:paraId="7B2EB923" w14:textId="77777777" w:rsidR="009B613C" w:rsidRPr="009B613C" w:rsidRDefault="009B613C" w:rsidP="009B613C">
      <w:pPr>
        <w:spacing w:after="120" w:line="360" w:lineRule="auto"/>
        <w:ind w:right="510" w:firstLine="709"/>
        <w:jc w:val="both"/>
        <w:rPr>
          <w:color w:val="1F2937"/>
          <w:lang w:val="pt-PT"/>
        </w:rPr>
      </w:pPr>
    </w:p>
    <w:p w14:paraId="7AEB329C" w14:textId="77777777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  <w:r w:rsidRPr="009B613C"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  <w:t>2. DECISÃO</w:t>
      </w:r>
    </w:p>
    <w:p w14:paraId="2C018974" w14:textId="77777777" w:rsidR="009B613C" w:rsidRPr="009B613C" w:rsidRDefault="009B613C" w:rsidP="009B613C">
      <w:pPr>
        <w:spacing w:after="120" w:line="360" w:lineRule="auto"/>
        <w:ind w:right="510" w:firstLine="709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Adotar PostgreSQL 16 como SGBD principal, acessado via Spring Data JPA / Hibernate e versionado com Flyway. Modelo relacional normalizado, com integridade declarada no banco (CHECK, UNIQUE, FOREIGN KEY) e schema lógico separado por bounded context.</w:t>
      </w:r>
    </w:p>
    <w:p w14:paraId="60888FE0" w14:textId="77777777" w:rsidR="009B613C" w:rsidRPr="009B613C" w:rsidRDefault="009B613C" w:rsidP="009B613C">
      <w:pPr>
        <w:spacing w:after="120" w:line="360" w:lineRule="auto"/>
        <w:ind w:right="510" w:firstLine="709"/>
        <w:jc w:val="both"/>
        <w:rPr>
          <w:color w:val="1F2937"/>
          <w:lang w:val="pt-PT"/>
        </w:rPr>
      </w:pPr>
    </w:p>
    <w:p w14:paraId="5202E781" w14:textId="77777777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  <w:r w:rsidRPr="009B613C"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  <w:lastRenderedPageBreak/>
        <w:t>3. JUSTIFICATIVA</w:t>
      </w:r>
    </w:p>
    <w:p w14:paraId="54781AD3" w14:textId="56AB60E1" w:rsidR="009B613C" w:rsidRPr="009B613C" w:rsidRDefault="009B613C" w:rsidP="009B613C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ACID forte garante atomicidade nas dual writes (OS</w:t>
      </w:r>
      <w:r w:rsidRPr="009B613C">
        <w:rPr>
          <w:color w:val="1F2937"/>
          <w:lang w:val="pt-PT"/>
        </w:rPr>
        <w:t xml:space="preserve"> com </w:t>
      </w:r>
      <w:r w:rsidRPr="009B613C">
        <w:rPr>
          <w:color w:val="1F2937"/>
          <w:lang w:val="pt-PT"/>
        </w:rPr>
        <w:t>Financeiro, NF</w:t>
      </w:r>
      <w:r w:rsidRPr="009B613C">
        <w:rPr>
          <w:color w:val="1F2937"/>
          <w:lang w:val="pt-PT"/>
        </w:rPr>
        <w:t xml:space="preserve"> com </w:t>
      </w:r>
      <w:r w:rsidRPr="009B613C">
        <w:rPr>
          <w:color w:val="1F2937"/>
          <w:lang w:val="pt-PT"/>
        </w:rPr>
        <w:t>Estoque</w:t>
      </w:r>
      <w:r w:rsidRPr="009B613C">
        <w:rPr>
          <w:color w:val="1F2937"/>
          <w:lang w:val="pt-PT"/>
        </w:rPr>
        <w:t xml:space="preserve"> e </w:t>
      </w:r>
      <w:r w:rsidRPr="009B613C">
        <w:rPr>
          <w:color w:val="1F2937"/>
          <w:lang w:val="pt-PT"/>
        </w:rPr>
        <w:t>Financeiro).</w:t>
      </w:r>
    </w:p>
    <w:p w14:paraId="1EA9FE20" w14:textId="5AD58E74" w:rsidR="009B613C" w:rsidRPr="009B613C" w:rsidRDefault="009B613C" w:rsidP="009B613C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Integridade referencial declarativa entre os 7 bounded contexts protege invariantes como “estoque ≥ 0” e “chave única da</w:t>
      </w:r>
      <w:r w:rsidRPr="009B613C">
        <w:rPr>
          <w:color w:val="1F2937"/>
          <w:lang w:val="pt-PT"/>
        </w:rPr>
        <w:t xml:space="preserve"> nota fiscal de compra</w:t>
      </w:r>
      <w:r w:rsidRPr="009B613C">
        <w:rPr>
          <w:color w:val="1F2937"/>
          <w:lang w:val="pt-PT"/>
        </w:rPr>
        <w:t xml:space="preserve"> (número, série, CNPJ, data)”.</w:t>
      </w:r>
    </w:p>
    <w:p w14:paraId="7A86D38F" w14:textId="77777777" w:rsidR="009B613C" w:rsidRPr="009B613C" w:rsidRDefault="009B613C" w:rsidP="009B613C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PostgreSQL é open source, maduro, com MVCC, tipos avançados (enum, JSONB) e suporte de primeira classe nas plataformas gerenciadas (RDS, Cloud SQL, Azure DB).</w:t>
      </w:r>
    </w:p>
    <w:p w14:paraId="216F0F29" w14:textId="77777777" w:rsidR="009B613C" w:rsidRPr="009B613C" w:rsidRDefault="009B613C" w:rsidP="009B613C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Stack já dominada pelo time (Spring Data JPA + Flyway), reduzindo custo de adoção.</w:t>
      </w:r>
    </w:p>
    <w:p w14:paraId="3CA55543" w14:textId="77777777" w:rsidR="009B613C" w:rsidRPr="009B613C" w:rsidRDefault="009B613C" w:rsidP="009B613C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9B613C">
        <w:rPr>
          <w:color w:val="1F2937"/>
          <w:lang w:val="pt-PT"/>
        </w:rPr>
        <w:t>Volume previsto (centenas de OS/dia por oficina) é confortavelmente atendido por uma instância PostgreSQL com escala vertical.</w:t>
      </w:r>
    </w:p>
    <w:p w14:paraId="63F8C7BC" w14:textId="77777777" w:rsidR="009B613C" w:rsidRPr="009B613C" w:rsidRDefault="009B613C" w:rsidP="009B613C">
      <w:pPr>
        <w:pStyle w:val="Commarcadores"/>
        <w:spacing w:after="40"/>
        <w:ind w:left="360"/>
        <w:jc w:val="both"/>
        <w:rPr>
          <w:lang w:val="pt-PT"/>
        </w:rPr>
      </w:pPr>
    </w:p>
    <w:p w14:paraId="2DC4BC1D" w14:textId="77777777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  <w:r w:rsidRPr="009B613C"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  <w:t>4. ALTERNATIVAS CONSIDERADAS</w:t>
      </w:r>
    </w:p>
    <w:tbl>
      <w:tblPr>
        <w:tblStyle w:val="ListaClara-nfase1"/>
        <w:tblW w:w="0" w:type="auto"/>
        <w:jc w:val="center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4702"/>
        <w:gridCol w:w="4702"/>
      </w:tblGrid>
      <w:tr w:rsidR="009B613C" w:rsidRPr="009B613C" w14:paraId="12E91CF8" w14:textId="77777777" w:rsidTr="00AD5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F717707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Alternativa</w:t>
            </w:r>
          </w:p>
        </w:tc>
        <w:tc>
          <w:tcPr>
            <w:tcW w:w="4702" w:type="dxa"/>
          </w:tcPr>
          <w:p w14:paraId="6EF04738" w14:textId="77777777" w:rsidR="009B613C" w:rsidRPr="009B613C" w:rsidRDefault="009B613C" w:rsidP="00AD5B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Motivo de descarte</w:t>
            </w:r>
          </w:p>
        </w:tc>
      </w:tr>
      <w:tr w:rsidR="009B613C" w:rsidRPr="009B613C" w14:paraId="5E9D40F0" w14:textId="77777777" w:rsidTr="00AD5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408FFAF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MySQL / MariaDB</w:t>
            </w:r>
          </w:p>
        </w:tc>
        <w:tc>
          <w:tcPr>
            <w:tcW w:w="4702" w:type="dxa"/>
          </w:tcPr>
          <w:p w14:paraId="384588C8" w14:textId="77777777" w:rsidR="009B613C" w:rsidRPr="009B613C" w:rsidRDefault="009B613C" w:rsidP="00AD5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Atende, mas tem CHECK e JSONB inferiores ao PostgreSQL.</w:t>
            </w:r>
          </w:p>
        </w:tc>
      </w:tr>
      <w:tr w:rsidR="009B613C" w:rsidRPr="009B613C" w14:paraId="4B428985" w14:textId="77777777" w:rsidTr="00AD5B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1D120B0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SQL Server / Oracle</w:t>
            </w:r>
          </w:p>
        </w:tc>
        <w:tc>
          <w:tcPr>
            <w:tcW w:w="4702" w:type="dxa"/>
          </w:tcPr>
          <w:p w14:paraId="5EDFD02F" w14:textId="77777777" w:rsidR="009B613C" w:rsidRPr="009B613C" w:rsidRDefault="009B613C" w:rsidP="00AD5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Licença comercial inviável para o escopo do MVP.</w:t>
            </w:r>
          </w:p>
        </w:tc>
      </w:tr>
      <w:tr w:rsidR="009B613C" w:rsidRPr="009B613C" w14:paraId="19A87BEF" w14:textId="77777777" w:rsidTr="00AD5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52A2831D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MongoDB (documento)</w:t>
            </w:r>
          </w:p>
        </w:tc>
        <w:tc>
          <w:tcPr>
            <w:tcW w:w="4702" w:type="dxa"/>
          </w:tcPr>
          <w:p w14:paraId="3F8CDA88" w14:textId="77777777" w:rsidR="009B613C" w:rsidRPr="009B613C" w:rsidRDefault="009B613C" w:rsidP="00AD5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Sem FKs declarativas e dual writes mais frágeis; domínio é relacional.</w:t>
            </w:r>
          </w:p>
        </w:tc>
      </w:tr>
      <w:tr w:rsidR="009B613C" w:rsidRPr="009B613C" w14:paraId="712AFDA5" w14:textId="77777777" w:rsidTr="00AD5B7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6FA74235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DynamoDB (chave-valor)</w:t>
            </w:r>
          </w:p>
        </w:tc>
        <w:tc>
          <w:tcPr>
            <w:tcW w:w="4702" w:type="dxa"/>
          </w:tcPr>
          <w:p w14:paraId="7EA3E8E8" w14:textId="77777777" w:rsidR="009B613C" w:rsidRPr="009B613C" w:rsidRDefault="009B613C" w:rsidP="00AD5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Otimizado para escala horizontal; consultas analíticas inviáveis sem espelho.</w:t>
            </w:r>
          </w:p>
        </w:tc>
      </w:tr>
      <w:tr w:rsidR="009B613C" w:rsidRPr="009B613C" w14:paraId="293C9BA3" w14:textId="77777777" w:rsidTr="00AD5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2" w:type="dxa"/>
          </w:tcPr>
          <w:p w14:paraId="19519C67" w14:textId="77777777" w:rsidR="009B613C" w:rsidRPr="009B613C" w:rsidRDefault="009B613C" w:rsidP="00AD5B78">
            <w:pPr>
              <w:rPr>
                <w:lang w:val="pt-PT"/>
              </w:rPr>
            </w:pPr>
            <w:r w:rsidRPr="009B613C">
              <w:rPr>
                <w:b w:val="0"/>
                <w:sz w:val="20"/>
                <w:lang w:val="pt-PT"/>
              </w:rPr>
              <w:t>H2 / SQLite</w:t>
            </w:r>
          </w:p>
        </w:tc>
        <w:tc>
          <w:tcPr>
            <w:tcW w:w="4702" w:type="dxa"/>
          </w:tcPr>
          <w:p w14:paraId="6AE9DFD3" w14:textId="77777777" w:rsidR="009B613C" w:rsidRPr="009B613C" w:rsidRDefault="009B613C" w:rsidP="00AD5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9B613C">
              <w:rPr>
                <w:sz w:val="20"/>
                <w:lang w:val="pt-PT"/>
              </w:rPr>
              <w:t>Mantido apenas em testes; não é SGBD de produção.</w:t>
            </w:r>
          </w:p>
        </w:tc>
      </w:tr>
    </w:tbl>
    <w:p w14:paraId="3079294B" w14:textId="77777777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</w:p>
    <w:p w14:paraId="20756019" w14:textId="77777777" w:rsidR="009B613C" w:rsidRPr="009B613C" w:rsidRDefault="009B613C" w:rsidP="009B613C">
      <w:pPr>
        <w:rPr>
          <w:lang w:val="pt-PT"/>
        </w:rPr>
      </w:pPr>
    </w:p>
    <w:p w14:paraId="25498709" w14:textId="77777777" w:rsidR="009B613C" w:rsidRPr="009B613C" w:rsidRDefault="009B613C" w:rsidP="009B613C">
      <w:pPr>
        <w:rPr>
          <w:lang w:val="pt-PT"/>
        </w:rPr>
      </w:pPr>
    </w:p>
    <w:p w14:paraId="5245D473" w14:textId="77777777" w:rsidR="009B613C" w:rsidRPr="009B613C" w:rsidRDefault="009B613C" w:rsidP="009B613C">
      <w:pPr>
        <w:rPr>
          <w:lang w:val="pt-PT"/>
        </w:rPr>
      </w:pPr>
    </w:p>
    <w:p w14:paraId="152B8AF8" w14:textId="720477E9" w:rsidR="009B613C" w:rsidRPr="009B613C" w:rsidRDefault="009B613C" w:rsidP="009B613C">
      <w:pPr>
        <w:pStyle w:val="Ttulo2"/>
        <w:spacing w:before="240" w:after="120" w:line="360" w:lineRule="auto"/>
        <w:ind w:right="509"/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</w:pPr>
      <w:r w:rsidRPr="009B613C">
        <w:rPr>
          <w:rFonts w:ascii="Arial" w:eastAsia="Arial" w:hAnsi="Arial" w:cs="Arial"/>
          <w:bCs w:val="0"/>
          <w:color w:val="365F91" w:themeColor="accent1" w:themeShade="BF"/>
          <w:sz w:val="24"/>
          <w:szCs w:val="32"/>
          <w:lang w:val="pt-PT"/>
        </w:rPr>
        <w:lastRenderedPageBreak/>
        <w:t>5. CONSEQUÊNCIAS</w:t>
      </w:r>
    </w:p>
    <w:p w14:paraId="427EFBE6" w14:textId="77777777" w:rsidR="009B613C" w:rsidRPr="009B613C" w:rsidRDefault="009B613C" w:rsidP="009B613C">
      <w:pPr>
        <w:spacing w:before="160" w:after="80"/>
        <w:rPr>
          <w:lang w:val="pt-PT"/>
        </w:rPr>
      </w:pPr>
      <w:r w:rsidRPr="009B613C">
        <w:rPr>
          <w:b/>
          <w:lang w:val="pt-PT"/>
        </w:rPr>
        <w:t>Positivas</w:t>
      </w:r>
    </w:p>
    <w:p w14:paraId="1C927C0D" w14:textId="77777777" w:rsidR="009B613C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Integridade e atomicidade garantidas no SGBD, eliminando divergências silenciosas.</w:t>
      </w:r>
    </w:p>
    <w:p w14:paraId="3AADBBDD" w14:textId="77777777" w:rsidR="009B613C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SQL como ferramenta universal de auditoria e relatório.</w:t>
      </w:r>
    </w:p>
    <w:p w14:paraId="360CEF84" w14:textId="77777777" w:rsidR="009B613C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Custo zero de licença e portabilidade entre nuvens.</w:t>
      </w:r>
    </w:p>
    <w:p w14:paraId="6D2BEFA3" w14:textId="77777777" w:rsidR="009B613C" w:rsidRPr="009B613C" w:rsidRDefault="009B613C" w:rsidP="009B613C">
      <w:pPr>
        <w:pStyle w:val="Commarcadores"/>
        <w:tabs>
          <w:tab w:val="num" w:pos="360"/>
        </w:tabs>
        <w:spacing w:after="40"/>
        <w:ind w:left="360"/>
        <w:jc w:val="both"/>
        <w:rPr>
          <w:lang w:val="pt-PT"/>
        </w:rPr>
      </w:pPr>
    </w:p>
    <w:p w14:paraId="294D79D0" w14:textId="77777777" w:rsidR="009B613C" w:rsidRPr="009B613C" w:rsidRDefault="009B613C" w:rsidP="009B613C">
      <w:pPr>
        <w:spacing w:before="160" w:after="80"/>
        <w:rPr>
          <w:lang w:val="pt-PT"/>
        </w:rPr>
      </w:pPr>
      <w:r w:rsidRPr="009B613C">
        <w:rPr>
          <w:b/>
          <w:lang w:val="pt-PT"/>
        </w:rPr>
        <w:t>Negativas (mitigadas)</w:t>
      </w:r>
    </w:p>
    <w:p w14:paraId="1C46F8C1" w14:textId="77777777" w:rsidR="009B613C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Acoplamento ao schema — mitigado por migrações Flyway versionadas.</w:t>
      </w:r>
    </w:p>
    <w:p w14:paraId="69C1D5EF" w14:textId="0160F30A" w:rsidR="009B613C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Escalabilidade horizontal exige réplicas de leitura ou particionamento</w:t>
      </w:r>
      <w:r w:rsidR="00366B88">
        <w:rPr>
          <w:color w:val="1F2937"/>
          <w:lang w:val="pt-PT"/>
        </w:rPr>
        <w:t>,</w:t>
      </w:r>
      <w:r w:rsidRPr="007C50FA">
        <w:rPr>
          <w:color w:val="1F2937"/>
          <w:lang w:val="pt-PT"/>
        </w:rPr>
        <w:t xml:space="preserve"> aceitável no horizonte do MVP.</w:t>
      </w:r>
    </w:p>
    <w:p w14:paraId="599CF01E" w14:textId="19B9F010" w:rsidR="0010173D" w:rsidRPr="007C50FA" w:rsidRDefault="009B613C" w:rsidP="007C50FA">
      <w:pPr>
        <w:pStyle w:val="Commarcadores"/>
        <w:numPr>
          <w:ilvl w:val="0"/>
          <w:numId w:val="1"/>
        </w:numPr>
        <w:spacing w:after="0" w:line="360" w:lineRule="auto"/>
        <w:ind w:left="426" w:right="509" w:firstLine="0"/>
        <w:jc w:val="both"/>
        <w:rPr>
          <w:color w:val="1F2937"/>
          <w:lang w:val="pt-PT"/>
        </w:rPr>
      </w:pPr>
      <w:r w:rsidRPr="007C50FA">
        <w:rPr>
          <w:color w:val="1F2937"/>
          <w:lang w:val="pt-PT"/>
        </w:rPr>
        <w:t>Tipos específicos do PostgreSQL reduzem portabilidade</w:t>
      </w:r>
      <w:r w:rsidR="00366B88">
        <w:rPr>
          <w:color w:val="1F2937"/>
          <w:lang w:val="pt-PT"/>
        </w:rPr>
        <w:t xml:space="preserve">, </w:t>
      </w:r>
      <w:r w:rsidRPr="007C50FA">
        <w:rPr>
          <w:color w:val="1F2937"/>
          <w:lang w:val="pt-PT"/>
        </w:rPr>
        <w:t>trade-off assumido.</w:t>
      </w:r>
    </w:p>
    <w:sectPr w:rsidR="0010173D" w:rsidRPr="007C50FA" w:rsidSect="00034616">
      <w:headerReference w:type="default" r:id="rId8"/>
      <w:footerReference w:type="default" r:id="rId9"/>
      <w:headerReference w:type="first" r:id="rId10"/>
      <w:pgSz w:w="12240" w:h="15840"/>
      <w:pgMar w:top="1701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D992" w14:textId="77777777" w:rsidR="008029FD" w:rsidRDefault="008029FD">
      <w:pPr>
        <w:spacing w:after="0" w:line="240" w:lineRule="auto"/>
      </w:pPr>
      <w:r>
        <w:separator/>
      </w:r>
    </w:p>
  </w:endnote>
  <w:endnote w:type="continuationSeparator" w:id="0">
    <w:p w14:paraId="2E9F65D7" w14:textId="77777777" w:rsidR="008029FD" w:rsidRDefault="00802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05AE1" w14:textId="13F25FC9" w:rsidR="009B613C" w:rsidRDefault="009B613C" w:rsidP="009B613C">
    <w:pPr>
      <w:pStyle w:val="Cabealho"/>
      <w:jc w:val="center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27617746" w14:textId="6AFA0082" w:rsidR="009B613C" w:rsidRPr="009B613C" w:rsidRDefault="009B613C" w:rsidP="009B613C">
    <w:pPr>
      <w:pStyle w:val="Cabealho"/>
      <w:jc w:val="center"/>
      <w:rPr>
        <w:sz w:val="20"/>
        <w:szCs w:val="20"/>
      </w:rPr>
    </w:pPr>
    <w:r>
      <w:rPr>
        <w:sz w:val="20"/>
        <w:szCs w:val="20"/>
      </w:rPr>
      <w:t>tiagomiele@gmail.com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88FB" w14:textId="77777777" w:rsidR="008029FD" w:rsidRDefault="008029FD">
      <w:pPr>
        <w:spacing w:after="0" w:line="240" w:lineRule="auto"/>
      </w:pPr>
      <w:r>
        <w:separator/>
      </w:r>
    </w:p>
  </w:footnote>
  <w:footnote w:type="continuationSeparator" w:id="0">
    <w:p w14:paraId="20BD3A2B" w14:textId="77777777" w:rsidR="008029FD" w:rsidRDefault="00802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6B664" w14:textId="77777777" w:rsidR="009B613C" w:rsidRDefault="009B613C" w:rsidP="009B613C">
    <w:pPr>
      <w:pStyle w:val="Cabealho"/>
    </w:pPr>
    <w:r>
      <w:rPr>
        <w:noProof/>
      </w:rPr>
      <w:drawing>
        <wp:inline distT="0" distB="0" distL="0" distR="0" wp14:anchorId="1D52D0B4" wp14:editId="0D1D45DC">
          <wp:extent cx="5760085" cy="422357"/>
          <wp:effectExtent l="0" t="0" r="8255" b="0"/>
          <wp:docPr id="71763710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68FCE68" w14:textId="77777777" w:rsidR="009B613C" w:rsidRDefault="009B613C" w:rsidP="009B613C">
    <w:pPr>
      <w:pStyle w:val="Cabealho"/>
      <w:jc w:val="center"/>
      <w:rPr>
        <w:b/>
        <w:bCs/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75EE2878" w14:textId="77777777" w:rsidR="009B613C" w:rsidRPr="00494268" w:rsidRDefault="009B613C" w:rsidP="009B613C">
    <w:pPr>
      <w:pStyle w:val="Cabealho"/>
      <w:jc w:val="right"/>
      <w:rPr>
        <w:sz w:val="20"/>
      </w:rPr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2</w:t>
    </w:r>
    <w:r>
      <w:rPr>
        <w:sz w:val="20"/>
      </w:rPr>
      <w:fldChar w:fldCharType="end"/>
    </w:r>
  </w:p>
  <w:p w14:paraId="44AD2894" w14:textId="77777777" w:rsidR="009B613C" w:rsidRDefault="009B613C" w:rsidP="009B613C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5DBC0B34" w14:textId="530C5518" w:rsidR="009B613C" w:rsidRDefault="009B613C" w:rsidP="009B613C">
    <w:pPr>
      <w:pStyle w:val="Cabealho"/>
      <w:rPr>
        <w:sz w:val="20"/>
        <w:szCs w:val="20"/>
      </w:rPr>
    </w:pPr>
    <w:r>
      <w:rPr>
        <w:sz w:val="20"/>
        <w:szCs w:val="20"/>
      </w:rPr>
      <w:t>tiagomiele@gmail.com</w:t>
    </w:r>
  </w:p>
  <w:p w14:paraId="2A425F1E" w14:textId="77777777" w:rsidR="008A5FD4" w:rsidRPr="009B613C" w:rsidRDefault="008A5FD4" w:rsidP="009B613C">
    <w:pPr>
      <w:pStyle w:val="Cabealh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8E0EF" w14:textId="77777777" w:rsidR="009B613C" w:rsidRDefault="009B613C" w:rsidP="009B613C">
    <w:pPr>
      <w:pStyle w:val="Cabealho"/>
    </w:pPr>
    <w:r>
      <w:rPr>
        <w:noProof/>
      </w:rPr>
      <w:drawing>
        <wp:inline distT="0" distB="0" distL="0" distR="0" wp14:anchorId="38E015D8" wp14:editId="07B2C096">
          <wp:extent cx="5760085" cy="422357"/>
          <wp:effectExtent l="0" t="0" r="8255" b="0"/>
          <wp:docPr id="25028618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47711" name="Imagem 257447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422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09DD2E" w14:textId="77777777" w:rsidR="009B613C" w:rsidRPr="00494268" w:rsidRDefault="009B613C" w:rsidP="009B613C">
    <w:pPr>
      <w:pStyle w:val="Cabealho"/>
      <w:jc w:val="center"/>
      <w:rPr>
        <w:sz w:val="20"/>
        <w:szCs w:val="20"/>
      </w:rPr>
    </w:pPr>
    <w:r w:rsidRPr="00494268">
      <w:rPr>
        <w:b/>
        <w:bCs/>
        <w:sz w:val="20"/>
        <w:szCs w:val="20"/>
      </w:rPr>
      <w:t>Pós Tech - 15SOAT</w:t>
    </w:r>
  </w:p>
  <w:p w14:paraId="5F771BEE" w14:textId="77777777" w:rsidR="009B613C" w:rsidRDefault="009B613C" w:rsidP="009B613C">
    <w:pPr>
      <w:pStyle w:val="Cabealho"/>
      <w:rPr>
        <w:sz w:val="20"/>
        <w:szCs w:val="20"/>
      </w:rPr>
    </w:pPr>
    <w:r w:rsidRPr="002072B0">
      <w:rPr>
        <w:sz w:val="20"/>
        <w:szCs w:val="20"/>
      </w:rPr>
      <w:t>Tiago Augusto Miele - rm371273</w:t>
    </w:r>
  </w:p>
  <w:p w14:paraId="354A190D" w14:textId="0C16AC76" w:rsidR="009B613C" w:rsidRPr="009B613C" w:rsidRDefault="009B613C">
    <w:pPr>
      <w:pStyle w:val="Cabealho"/>
      <w:rPr>
        <w:sz w:val="20"/>
        <w:szCs w:val="20"/>
      </w:rPr>
    </w:pPr>
    <w:r>
      <w:rPr>
        <w:sz w:val="20"/>
        <w:szCs w:val="20"/>
      </w:rPr>
      <w:t>tiagomiele@gmail.com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7A564C"/>
    <w:multiLevelType w:val="hybridMultilevel"/>
    <w:tmpl w:val="F01888B4"/>
    <w:lvl w:ilvl="0" w:tplc="EBFCC004">
      <w:start w:val="1"/>
      <w:numFmt w:val="bullet"/>
      <w:lvlText w:val="﷒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17740">
    <w:abstractNumId w:val="8"/>
  </w:num>
  <w:num w:numId="2" w16cid:durableId="791242935">
    <w:abstractNumId w:val="6"/>
  </w:num>
  <w:num w:numId="3" w16cid:durableId="1422876622">
    <w:abstractNumId w:val="5"/>
  </w:num>
  <w:num w:numId="4" w16cid:durableId="842474028">
    <w:abstractNumId w:val="4"/>
  </w:num>
  <w:num w:numId="5" w16cid:durableId="1081020930">
    <w:abstractNumId w:val="7"/>
  </w:num>
  <w:num w:numId="6" w16cid:durableId="1894846037">
    <w:abstractNumId w:val="3"/>
  </w:num>
  <w:num w:numId="7" w16cid:durableId="639310621">
    <w:abstractNumId w:val="2"/>
  </w:num>
  <w:num w:numId="8" w16cid:durableId="1523278134">
    <w:abstractNumId w:val="1"/>
  </w:num>
  <w:num w:numId="9" w16cid:durableId="824474233">
    <w:abstractNumId w:val="0"/>
  </w:num>
  <w:num w:numId="10" w16cid:durableId="440691641">
    <w:abstractNumId w:val="9"/>
  </w:num>
  <w:num w:numId="11" w16cid:durableId="18746899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73D"/>
    <w:rsid w:val="0015074B"/>
    <w:rsid w:val="0029639D"/>
    <w:rsid w:val="00326F90"/>
    <w:rsid w:val="00366B88"/>
    <w:rsid w:val="006069F6"/>
    <w:rsid w:val="007C50FA"/>
    <w:rsid w:val="008029FD"/>
    <w:rsid w:val="008A5FD4"/>
    <w:rsid w:val="009B61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8F7480D"/>
  <w14:defaultImageDpi w14:val="300"/>
  <w15:docId w15:val="{C0CF402C-DA4B-4266-A8EC-59C781E64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B613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A5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417</Words>
  <Characters>2317</Characters>
  <Application>Microsoft Office Word</Application>
  <DocSecurity>0</DocSecurity>
  <Lines>96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Tiago Augusto Miele</cp:lastModifiedBy>
  <cp:revision>4</cp:revision>
  <dcterms:created xsi:type="dcterms:W3CDTF">2013-12-23T23:15:00Z</dcterms:created>
  <dcterms:modified xsi:type="dcterms:W3CDTF">2026-05-03T17:57:00Z</dcterms:modified>
  <cp:category/>
</cp:coreProperties>
</file>