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i w:val="0"/>
          <w:color w:val="005CA9"/>
          <w:sz w:val="32"/>
        </w:rPr>
        <w:t>PROJETO</w:t>
      </w:r>
    </w:p>
    <w:p>
      <w:pPr>
        <w:jc w:val="center"/>
      </w:pPr>
      <w:r>
        <w:rPr>
          <w:b/>
          <w:i w:val="0"/>
          <w:color w:val="003B5C"/>
          <w:sz w:val="68"/>
        </w:rPr>
        <w:t>ÁGUA EM FOCO</w:t>
      </w:r>
    </w:p>
    <w:p>
      <w:pPr>
        <w:jc w:val="center"/>
      </w:pPr>
      <w:r>
        <w:rPr>
          <w:b/>
          <w:i w:val="0"/>
          <w:color w:val="00796B"/>
          <w:sz w:val="32"/>
        </w:rPr>
        <w:t>Análise histórica do Reservatório Jaguari-Jacareí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005CA9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2551"/>
            <w:shd w:fill="00796B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2551"/>
            <w:shd w:fill="E67E22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3F8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5CA9"/>
                <w:sz w:val="16"/>
              </w:rPr>
              <w:t>PERÍODO</w:t>
              <w:br/>
            </w:r>
            <w:r>
              <w:rPr>
                <w:b/>
                <w:i w:val="0"/>
                <w:color w:val="003B5C"/>
                <w:sz w:val="20"/>
              </w:rPr>
              <w:t>01/01/2020 a 09/10/2026</w:t>
            </w:r>
          </w:p>
        </w:tc>
        <w:tc>
          <w:tcPr>
            <w:tcW w:type="dxa" w:w="3400"/>
            <w:shd w:fill="EAF3F8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5CA9"/>
                <w:sz w:val="16"/>
              </w:rPr>
              <w:t>BASE</w:t>
              <w:br/>
            </w:r>
            <w:r>
              <w:rPr>
                <w:b/>
                <w:i w:val="0"/>
                <w:color w:val="003B5C"/>
                <w:sz w:val="20"/>
              </w:rPr>
              <w:t>2.474 medições diárias</w:t>
            </w:r>
          </w:p>
        </w:tc>
        <w:tc>
          <w:tcPr>
            <w:tcW w:type="dxa" w:w="3400"/>
            <w:shd w:fill="EAF3F8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5CA9"/>
                <w:sz w:val="16"/>
              </w:rPr>
              <w:t>ESCOPO</w:t>
              <w:br/>
            </w:r>
            <w:r>
              <w:rPr>
                <w:b/>
                <w:i w:val="0"/>
                <w:color w:val="003B5C"/>
                <w:sz w:val="20"/>
              </w:rPr>
              <w:t>Reservatório Jaguari-Jacareí</w:t>
            </w:r>
          </w:p>
        </w:tc>
      </w:tr>
      <w:tr>
        <w:tc>
          <w:tcPr>
            <w:tcW w:type="dxa" w:w="3400"/>
            <w:shd w:fill="EAF3F8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5CA9"/>
                <w:sz w:val="16"/>
              </w:rPr>
              <w:t>ENTREGA</w:t>
              <w:br/>
            </w:r>
            <w:r>
              <w:rPr>
                <w:b/>
                <w:i w:val="0"/>
                <w:color w:val="003B5C"/>
                <w:sz w:val="20"/>
              </w:rPr>
              <w:t>Análise de portfólio</w:t>
            </w:r>
          </w:p>
        </w:tc>
        <w:tc>
          <w:tcPr>
            <w:tcW w:type="dxa" w:w="3400"/>
            <w:shd w:fill="EAF3F8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5CA9"/>
                <w:sz w:val="16"/>
              </w:rPr>
              <w:t>FERRAMENTAS</w:t>
              <w:br/>
            </w:r>
            <w:r>
              <w:rPr>
                <w:b/>
                <w:i w:val="0"/>
                <w:color w:val="003B5C"/>
                <w:sz w:val="20"/>
              </w:rPr>
              <w:t>Python, pandas e Matplotlib</w:t>
            </w:r>
          </w:p>
        </w:tc>
        <w:tc>
          <w:tcPr>
            <w:tcW w:type="dxa" w:w="3400"/>
            <w:shd w:fill="EAF3F8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5CA9"/>
                <w:sz w:val="16"/>
              </w:rPr>
              <w:t>AUTOR</w:t>
              <w:br/>
            </w:r>
            <w:r>
              <w:rPr>
                <w:b/>
                <w:i w:val="0"/>
                <w:color w:val="003B5C"/>
                <w:sz w:val="20"/>
              </w:rPr>
              <w:t>Tiago Moreira</w:t>
            </w:r>
          </w:p>
        </w:tc>
      </w:tr>
    </w:tbl>
    <w:p>
      <w:pPr>
        <w:spacing w:before="1900"/>
        <w:jc w:val="center"/>
      </w:pPr>
      <w:r>
        <w:rPr>
          <w:b/>
          <w:i w:val="0"/>
          <w:color w:val="607D8B"/>
          <w:sz w:val="22"/>
        </w:rPr>
        <w:t>RELATÓRIO EXECUTIVO</w:t>
      </w:r>
      <w:r>
        <w:rPr>
          <w:b w:val="0"/>
          <w:i w:val="0"/>
          <w:color w:val="607D8B"/>
          <w:sz w:val="18"/>
        </w:rPr>
        <w:br/>
        <w:t>10 de outubro de 2026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r>
        <w:rPr>
          <w:b w:val="0"/>
          <w:i w:val="0"/>
          <w:sz w:val="20"/>
        </w:rPr>
        <w:t xml:space="preserve">O Projeto Água em Foco analisou </w:t>
      </w:r>
      <w:r>
        <w:rPr>
          <w:b/>
          <w:i w:val="0"/>
          <w:color w:val="005CA9"/>
        </w:rPr>
        <w:t>2.474 medições diárias</w:t>
      </w:r>
      <w:r>
        <w:rPr>
          <w:b w:val="0"/>
          <w:i w:val="0"/>
        </w:rPr>
        <w:t xml:space="preserve"> do reservatório Jaguari-Jacareí entre 01/01/2020 e 09/10/2026. O trabalho consolidou uma fonte de dados não convencional, validou sua continuidade temporal e transformou a série em indicadores, comparações anuais e visuais executivos.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5CA9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005CA9"/>
              <w:left w:val="single" w:sz="5" w:color="005CA9"/>
              <w:bottom w:val="single" w:sz="5" w:color="005CA9"/>
              <w:right w:val="single" w:sz="5" w:color="005CA9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VOLUME ATUAL</w:t>
            </w:r>
          </w:p>
        </w:tc>
        <w:tc>
          <w:tcPr>
            <w:tcW w:type="dxa" w:w="2550"/>
            <w:shd w:fill="2E7D32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2E7D32"/>
              <w:left w:val="single" w:sz="5" w:color="2E7D32"/>
              <w:bottom w:val="single" w:sz="5" w:color="2E7D32"/>
              <w:right w:val="single" w:sz="5" w:color="2E7D32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VARIAÇÃO 2026</w:t>
            </w:r>
          </w:p>
        </w:tc>
        <w:tc>
          <w:tcPr>
            <w:tcW w:type="dxa" w:w="2550"/>
            <w:shd w:fill="C62828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C62828"/>
              <w:left w:val="single" w:sz="5" w:color="C62828"/>
              <w:bottom w:val="single" w:sz="5" w:color="C62828"/>
              <w:right w:val="single" w:sz="5" w:color="C62828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MÍNIMO HISTÓRICO</w:t>
            </w:r>
          </w:p>
        </w:tc>
        <w:tc>
          <w:tcPr>
            <w:tcW w:type="dxa" w:w="2550"/>
            <w:shd w:fill="00796B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00796B"/>
              <w:left w:val="single" w:sz="5" w:color="00796B"/>
              <w:bottom w:val="single" w:sz="5" w:color="00796B"/>
              <w:right w:val="single" w:sz="5" w:color="00796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MÁXIMO HISTÓRICO</w:t>
            </w:r>
          </w:p>
        </w:tc>
      </w:tr>
      <w:tr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42,42%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+24,4 p.p.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16,79%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94,11%</w:t>
            </w:r>
          </w:p>
        </w:tc>
      </w:tr>
    </w:tbl>
    <w:p/>
    <w:p>
      <w:pPr>
        <w:pStyle w:val="Heading2"/>
        <w:keepNext/>
      </w:pPr>
      <w:r>
        <w:t>Mensagem central</w:t>
      </w:r>
    </w:p>
    <w:p>
      <w:r>
        <w:rPr>
          <w:b w:val="0"/>
          <w:i w:val="0"/>
        </w:rPr>
        <w:t>A série mostra ciclos intensos de recuperação e redução. O maior nível foi observado em 2023, o ponto mais crítico ocorreu ao final de 2025 e, em 2026, houve recuperação relevante até outubro. A leitura da última medição deve ser combinada com sazonalidade, histórico anual e comportamento das vazões.</w:t>
      </w:r>
    </w:p>
    <w:p>
      <w:pPr>
        <w:pStyle w:val="Heading2"/>
        <w:keepNext/>
      </w:pPr>
      <w:r>
        <w:t>Principais achados</w:t>
      </w:r>
    </w:p>
    <w:p>
      <w:pPr>
        <w:pStyle w:val="ListBullet"/>
        <w:spacing w:after="60"/>
      </w:pPr>
      <w:r>
        <w:rPr>
          <w:b w:val="0"/>
          <w:i w:val="0"/>
        </w:rPr>
        <w:t>O volume útil passou de 40,97% em 01/01/2020 para 42,42% em 09/10/2026, variação acumulada de +1,45 p.p.</w:t>
      </w:r>
    </w:p>
    <w:p>
      <w:pPr>
        <w:pStyle w:val="ListBullet"/>
        <w:spacing w:after="60"/>
      </w:pPr>
      <w:r>
        <w:rPr>
          <w:b w:val="0"/>
          <w:i w:val="0"/>
        </w:rPr>
        <w:t>O menor volume útil foi 16,79% em 09/12/2025; o maior foi 94,11% em 17/06/2023.</w:t>
      </w:r>
    </w:p>
    <w:p>
      <w:pPr>
        <w:pStyle w:val="ListBullet"/>
        <w:spacing w:after="60"/>
      </w:pPr>
      <w:r>
        <w:rPr>
          <w:b w:val="0"/>
          <w:i w:val="0"/>
        </w:rPr>
        <w:t>2023 registrou a maior recuperação anual (+35,9 p.p.); 2025 apresentou a maior retração (-34,6 p.p.).</w:t>
      </w:r>
    </w:p>
    <w:p>
      <w:pPr>
        <w:pStyle w:val="ListBullet"/>
        <w:spacing w:after="60"/>
      </w:pPr>
      <w:r>
        <w:rPr>
          <w:b w:val="0"/>
          <w:i w:val="0"/>
        </w:rPr>
        <w:t>2026, período parcial até 09/10, apresentou recuperação de +24,4 p.p., saindo de aproximadamente 18% para 42,42%.</w:t>
      </w:r>
    </w:p>
    <w:p>
      <w:pPr>
        <w:pStyle w:val="ListBullet"/>
        <w:spacing w:after="60"/>
      </w:pPr>
      <w:r>
        <w:rPr>
          <w:b w:val="0"/>
          <w:i w:val="0"/>
        </w:rPr>
        <w:t>As tendências de 1, 7, 30 e 90 dias estavam classificadas como alta na data mais recente.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E67E22"/>
              <w:left w:val="single" w:sz="5" w:color="E67E22"/>
              <w:bottom w:val="single" w:sz="5" w:color="E67E22"/>
              <w:right w:val="single" w:sz="5" w:color="E67E22"/>
            </w:tcBorders>
          </w:tcPr>
          <w:p>
            <w:r>
              <w:rPr>
                <w:b w:val="0"/>
                <w:i w:val="0"/>
                <w:color w:val="003B5C"/>
                <w:sz w:val="18"/>
              </w:rPr>
              <w:t>Leitura executiva: a recuperação de 2026 é significativa, mas o resultado deve ser interpretado como período parcial e ainda permanece abaixo dos níveis observados no ciclo mais favorável de 2023.</w:t>
            </w:r>
          </w:p>
        </w:tc>
      </w:tr>
    </w:tbl>
    <w:p>
      <w:pPr>
        <w:pStyle w:val="Heading1"/>
        <w:keepNext/>
      </w:pPr>
      <w:r>
        <w:t>2. Objetivo, escopo e metodologia</w:t>
      </w:r>
    </w:p>
    <w:p>
      <w:pPr>
        <w:pStyle w:val="Heading2"/>
        <w:keepNext/>
      </w:pPr>
      <w:r>
        <w:t>Objetivo</w:t>
      </w:r>
    </w:p>
    <w:p>
      <w:r>
        <w:t>Organizar uma análise reproduzível capaz de demonstrar tratamento de dados, validação de série temporal, criação de indicadores, interpretação de sazonalidade e comunicação executiva de resultados.</w:t>
      </w:r>
    </w:p>
    <w:p>
      <w:pPr>
        <w:pStyle w:val="Heading2"/>
        <w:keepNext/>
      </w:pPr>
      <w:r>
        <w:t>Escopo</w:t>
      </w:r>
    </w:p>
    <w:p>
      <w:pPr>
        <w:pStyle w:val="ListBullet"/>
        <w:spacing w:after="60"/>
      </w:pPr>
      <w:r>
        <w:rPr>
          <w:b w:val="0"/>
          <w:i w:val="0"/>
        </w:rPr>
        <w:t>Reservatório analisado: Jaguari-Jacareí.</w:t>
      </w:r>
    </w:p>
    <w:p>
      <w:pPr>
        <w:pStyle w:val="ListBullet"/>
        <w:spacing w:after="60"/>
      </w:pPr>
      <w:r>
        <w:rPr>
          <w:b w:val="0"/>
          <w:i w:val="0"/>
        </w:rPr>
        <w:t>Período: 01/01/2020 a 09/10/2026.</w:t>
      </w:r>
    </w:p>
    <w:p>
      <w:pPr>
        <w:pStyle w:val="ListBullet"/>
        <w:spacing w:after="60"/>
      </w:pPr>
      <w:r>
        <w:rPr>
          <w:b w:val="0"/>
          <w:i w:val="0"/>
        </w:rPr>
        <w:t>Variáveis: cota, volume útil, afluência, defluência e data da medição.</w:t>
      </w:r>
    </w:p>
    <w:p>
      <w:pPr>
        <w:pStyle w:val="ListBullet"/>
        <w:spacing w:after="60"/>
      </w:pPr>
      <w:r>
        <w:rPr>
          <w:b w:val="0"/>
          <w:i w:val="0"/>
        </w:rPr>
        <w:t>Finalidade: estudo educacional e de portfólio em análise de dados.</w:t>
      </w:r>
    </w:p>
    <w:p>
      <w:pPr>
        <w:pStyle w:val="Heading2"/>
        <w:keepNext/>
      </w:pPr>
      <w:r>
        <w:t>Fluxo de preparação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005CA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003B5C"/>
                <w:sz w:val="18"/>
              </w:rPr>
              <w:t>Diagnóstico da fonte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455A64"/>
                <w:sz w:val="18"/>
              </w:rPr>
              <w:t>O arquivo possuía extensão .xls, mas armazenava conteúdo HTML.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005CA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003B5C"/>
                <w:sz w:val="18"/>
              </w:rPr>
              <w:t>Importação correta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455A64"/>
                <w:sz w:val="18"/>
              </w:rPr>
              <w:t>A tabela foi lida com pandas.read_html(), preservando 2.474 registros.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005CA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003B5C"/>
                <w:sz w:val="18"/>
              </w:rPr>
              <w:t>Padronização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455A64"/>
                <w:sz w:val="18"/>
              </w:rPr>
              <w:t>Datas e colunas foram normalizadas; casas decimais foram corrigidas.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005CA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003B5C"/>
                <w:sz w:val="18"/>
              </w:rPr>
              <w:t>Qualidade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455A64"/>
                <w:sz w:val="18"/>
              </w:rPr>
              <w:t>Foram verificadas duplicidades, lacunas temporais e valores ausentes.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005CA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003B5C"/>
                <w:sz w:val="18"/>
              </w:rPr>
              <w:t>Tratamento pontual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455A64"/>
                <w:sz w:val="18"/>
              </w:rPr>
              <w:t>O registro de 25/09/2026 foi preenchido por interpolação linear.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005CA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003B5C"/>
                <w:sz w:val="18"/>
              </w:rPr>
              <w:t>Análise e comunicação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455A64"/>
                <w:sz w:val="18"/>
              </w:rPr>
              <w:t>Foram produzidos indicadores, tabelas anuais, sazonalidade e gráficos.</w:t>
            </w:r>
          </w:p>
        </w:tc>
      </w:tr>
    </w:tbl>
    <w:p>
      <w:pPr>
        <w:pStyle w:val="Heading2"/>
        <w:keepNext/>
      </w:pPr>
      <w:r>
        <w:t>Resultado da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796B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00796B"/>
              <w:left w:val="single" w:sz="5" w:color="00796B"/>
              <w:bottom w:val="single" w:sz="5" w:color="00796B"/>
              <w:right w:val="single" w:sz="5" w:color="00796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Registros</w:t>
            </w:r>
          </w:p>
        </w:tc>
        <w:tc>
          <w:tcPr>
            <w:tcW w:type="dxa" w:w="2550"/>
            <w:shd w:fill="2E7D32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2E7D32"/>
              <w:left w:val="single" w:sz="5" w:color="2E7D32"/>
              <w:bottom w:val="single" w:sz="5" w:color="2E7D32"/>
              <w:right w:val="single" w:sz="5" w:color="2E7D32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Datas duplicadas</w:t>
            </w:r>
          </w:p>
        </w:tc>
        <w:tc>
          <w:tcPr>
            <w:tcW w:type="dxa" w:w="2550"/>
            <w:shd w:fill="2E7D32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2E7D32"/>
              <w:left w:val="single" w:sz="5" w:color="2E7D32"/>
              <w:bottom w:val="single" w:sz="5" w:color="2E7D32"/>
              <w:right w:val="single" w:sz="5" w:color="2E7D32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Valores ausentes</w:t>
            </w:r>
          </w:p>
        </w:tc>
        <w:tc>
          <w:tcPr>
            <w:tcW w:type="dxa" w:w="2550"/>
            <w:shd w:fill="00796B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00796B"/>
              <w:left w:val="single" w:sz="5" w:color="00796B"/>
              <w:bottom w:val="single" w:sz="5" w:color="00796B"/>
              <w:right w:val="single" w:sz="5" w:color="00796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Reservatórios</w:t>
            </w:r>
          </w:p>
        </w:tc>
      </w:tr>
      <w:tr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2.474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0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0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1</w:t>
            </w:r>
          </w:p>
        </w:tc>
      </w:tr>
    </w:tbl>
    <w:p>
      <w:pPr>
        <w:pStyle w:val="Heading1"/>
        <w:keepNext/>
      </w:pPr>
      <w:r>
        <w:t>3. Evolução histórica e comparação anual</w:t>
      </w:r>
    </w:p>
    <w:p>
      <w:r>
        <w:t>A comparação anual evidencia alternância entre ciclos de redução e de recuperação. Os movimentos mais relevantes ocorreram entre 2022 e 2025, seguidos por retomada parcial em 2026.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3321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paracao_anual_volume_ut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1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07D8B"/>
          <w:sz w:val="16"/>
        </w:rPr>
        <w:t>Figura 1 - Volume útil no início e no final de cada ano. 2026 é parcial até 09/10/2026.</w:t>
      </w:r>
    </w:p>
    <w:p>
      <w:pPr>
        <w:pStyle w:val="Heading2"/>
        <w:keepNext/>
      </w:pPr>
      <w:r>
        <w:t>Síntese 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Ano</w:t>
            </w:r>
          </w:p>
        </w:tc>
        <w:tc>
          <w:tcPr>
            <w:tcW w:type="dxa" w:w="204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Inicial</w:t>
            </w:r>
          </w:p>
        </w:tc>
        <w:tc>
          <w:tcPr>
            <w:tcW w:type="dxa" w:w="204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Final</w:t>
            </w:r>
          </w:p>
        </w:tc>
        <w:tc>
          <w:tcPr>
            <w:tcW w:type="dxa" w:w="204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Variação</w:t>
            </w:r>
          </w:p>
        </w:tc>
        <w:tc>
          <w:tcPr>
            <w:tcW w:type="dxa" w:w="204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Leitura</w:t>
            </w:r>
          </w:p>
        </w:tc>
      </w:tr>
      <w:tr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2020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41.0%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36.1%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C62828"/>
                <w:sz w:val="16"/>
              </w:rPr>
              <w:t>-4.9 p.p.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Redução</w:t>
            </w:r>
          </w:p>
        </w:tc>
      </w:tr>
      <w:tr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2021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36.3%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24.5%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/>
                <w:i w:val="0"/>
                <w:color w:val="C62828"/>
                <w:sz w:val="16"/>
              </w:rPr>
              <w:t>-11.8 p.p.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Redução</w:t>
            </w:r>
          </w:p>
        </w:tc>
      </w:tr>
      <w:tr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2022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24.6%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45.4%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6"/>
              </w:rPr>
              <w:t>+20.8 p.p.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Recuperação</w:t>
            </w:r>
          </w:p>
        </w:tc>
      </w:tr>
      <w:tr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2023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46.0%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81.9%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6"/>
              </w:rPr>
              <w:t>+35.9 p.p.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Recuperação</w:t>
            </w:r>
          </w:p>
        </w:tc>
      </w:tr>
      <w:tr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2024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81.6%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52.3%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C62828"/>
                <w:sz w:val="16"/>
              </w:rPr>
              <w:t>-29.3 p.p.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Redução</w:t>
            </w:r>
          </w:p>
        </w:tc>
      </w:tr>
      <w:tr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2025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52.7%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18.1%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/>
                <w:i w:val="0"/>
                <w:color w:val="C62828"/>
                <w:sz w:val="16"/>
              </w:rPr>
              <w:t>-34.6 p.p.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  <w:shd w:fill="EAF3F8"/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Redução</w:t>
            </w:r>
          </w:p>
        </w:tc>
      </w:tr>
      <w:tr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2026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18.0%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42.4%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6"/>
              </w:rPr>
              <w:t>+24.4 p.p.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6"/>
              </w:rPr>
              <w:t>Recuperação (parcial)</w:t>
            </w:r>
          </w:p>
        </w:tc>
      </w:tr>
    </w:tbl>
    <w:p>
      <w:pPr>
        <w:pStyle w:val="Heading2"/>
        <w:keepNext/>
      </w:pPr>
      <w:r>
        <w:t>Interpretação</w:t>
      </w:r>
    </w:p>
    <w:p>
      <w:pPr>
        <w:pStyle w:val="ListBullet"/>
        <w:spacing w:after="60"/>
      </w:pPr>
      <w:r>
        <w:rPr>
          <w:b w:val="0"/>
          <w:i w:val="0"/>
        </w:rPr>
        <w:t>2022 e 2023 formaram o ciclo de recuperação mais forte da série, culminando em 81,91% ao final de 2023.</w:t>
      </w:r>
    </w:p>
    <w:p>
      <w:pPr>
        <w:pStyle w:val="ListBullet"/>
        <w:spacing w:after="60"/>
      </w:pPr>
      <w:r>
        <w:rPr>
          <w:b w:val="0"/>
          <w:i w:val="0"/>
        </w:rPr>
        <w:t>2024 e 2025 inverteram a trajetória: as variações anuais foram -29,3 p.p. e -34,6 p.p., respectivamente.</w:t>
      </w:r>
    </w:p>
    <w:p>
      <w:pPr>
        <w:pStyle w:val="ListBullet"/>
        <w:spacing w:after="60"/>
      </w:pPr>
      <w:r>
        <w:rPr>
          <w:b w:val="0"/>
          <w:i w:val="0"/>
        </w:rPr>
        <w:t>2026 iniciou em 18,0% e chegou a 42,42% em 09/10/2026, apresentando retomada consistente, ainda que parcial.</w:t>
      </w:r>
    </w:p>
    <w:p>
      <w:pPr>
        <w:pStyle w:val="Heading1"/>
        <w:keepNext/>
      </w:pPr>
      <w:r>
        <w:t>4. Sazonalidade do volume útil</w:t>
      </w:r>
    </w:p>
    <w:p>
      <w:r>
        <w:t>O comportamento médio mensal mostra recuperação no primeiro quadrimestre, estabilização em patamar elevado entre abril e junho e redução gradual no segundo semestre.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90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zonalidade_historica_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0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07D8B"/>
          <w:sz w:val="16"/>
        </w:rPr>
        <w:t>Figura 2 - Média histórica mensal e faixa entre valores mínimos e máximos observados.</w:t>
      </w:r>
    </w:p>
    <w:p>
      <w:pPr>
        <w:pStyle w:val="Heading2"/>
        <w:keepNext/>
      </w:pPr>
      <w:r>
        <w:t>Leitura sazonal</w:t>
      </w:r>
    </w:p>
    <w:p>
      <w:pPr>
        <w:pStyle w:val="ListBullet"/>
        <w:spacing w:after="60"/>
      </w:pPr>
      <w:r>
        <w:rPr>
          <w:b w:val="0"/>
          <w:i w:val="0"/>
        </w:rPr>
        <w:t>A média histórica cresce de 45,8% em janeiro para 65,8% em abril, o maior valor médio mensal.</w:t>
      </w:r>
    </w:p>
    <w:p>
      <w:pPr>
        <w:pStyle w:val="ListBullet"/>
        <w:spacing w:after="60"/>
      </w:pPr>
      <w:r>
        <w:rPr>
          <w:b w:val="0"/>
          <w:i w:val="0"/>
        </w:rPr>
        <w:t>Após abril, a média diminui progressivamente até 41,6% em novembro e dezembro.</w:t>
      </w:r>
    </w:p>
    <w:p>
      <w:pPr>
        <w:pStyle w:val="ListBullet"/>
        <w:spacing w:after="60"/>
      </w:pPr>
      <w:r>
        <w:rPr>
          <w:b w:val="0"/>
          <w:i w:val="0"/>
        </w:rPr>
        <w:t>A faixa sombreada é ampla em todos os meses, indicando elevada diferença entre anos e reforçando que a sazonalidade não deve ser usada isoladamente.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E67E22"/>
              <w:left w:val="single" w:sz="5" w:color="E67E22"/>
              <w:bottom w:val="single" w:sz="5" w:color="E67E22"/>
              <w:right w:val="single" w:sz="5" w:color="E67E22"/>
            </w:tcBorders>
          </w:tcPr>
          <w:p>
            <w:r>
              <w:rPr>
                <w:b w:val="0"/>
                <w:i w:val="0"/>
                <w:color w:val="003B5C"/>
                <w:sz w:val="18"/>
              </w:rPr>
              <w:t>A linha de 40% é uma referência analítica criada para o portfólio. Não representa classificação oficial, regulatória ou operacional.</w:t>
            </w:r>
          </w:p>
        </w:tc>
      </w:tr>
    </w:tbl>
    <w:p>
      <w:pPr>
        <w:pStyle w:val="Heading1"/>
        <w:keepNext/>
      </w:pPr>
      <w:r>
        <w:t>5. Afluência, defluência e balanço analítico</w:t>
      </w:r>
    </w:p>
    <w:p>
      <w:r>
        <w:t>A afluência apresenta forte sazonalidade e picos concentrados no início de determinados anos. A defluência permanece em nível inferior durante a maior parte da série disponível.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3116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lanco_mensal_vaz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1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07D8B"/>
          <w:sz w:val="16"/>
        </w:rPr>
        <w:t>Figura 3 - Comparação mensal entre afluência média e defluência média.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5CA9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005CA9"/>
              <w:left w:val="single" w:sz="5" w:color="005CA9"/>
              <w:bottom w:val="single" w:sz="5" w:color="005CA9"/>
              <w:right w:val="single" w:sz="5" w:color="005CA9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AFLUÊNCIA ATUAL</w:t>
            </w:r>
          </w:p>
        </w:tc>
        <w:tc>
          <w:tcPr>
            <w:tcW w:type="dxa" w:w="2550"/>
            <w:shd w:fill="C62828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C62828"/>
              <w:left w:val="single" w:sz="5" w:color="C62828"/>
              <w:bottom w:val="single" w:sz="5" w:color="C62828"/>
              <w:right w:val="single" w:sz="5" w:color="C62828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DEFLUÊNCIA ATUAL</w:t>
            </w:r>
          </w:p>
        </w:tc>
        <w:tc>
          <w:tcPr>
            <w:tcW w:type="dxa" w:w="2550"/>
            <w:shd w:fill="2E7D32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2E7D32"/>
              <w:left w:val="single" w:sz="5" w:color="2E7D32"/>
              <w:bottom w:val="single" w:sz="5" w:color="2E7D32"/>
              <w:right w:val="single" w:sz="5" w:color="2E7D32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BALANÇO ATUAL</w:t>
            </w:r>
          </w:p>
        </w:tc>
        <w:tc>
          <w:tcPr>
            <w:tcW w:type="dxa" w:w="2550"/>
            <w:shd w:fill="00796B"/>
            <w:tcMar>
              <w:top w:w="80" w:type="dxa"/>
              <w:start w:w="80" w:type="dxa"/>
              <w:bottom w:w="60" w:type="dxa"/>
              <w:end w:w="80" w:type="dxa"/>
            </w:tcMar>
            <w:tcBorders>
              <w:top w:val="single" w:sz="5" w:color="00796B"/>
              <w:left w:val="single" w:sz="5" w:color="00796B"/>
              <w:bottom w:val="single" w:sz="5" w:color="00796B"/>
              <w:right w:val="single" w:sz="5" w:color="00796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PICO DIÁRIO</w:t>
            </w:r>
          </w:p>
        </w:tc>
      </w:tr>
      <w:tr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18,27 m³/s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0,25 m³/s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+18,02 m³/s</w:t>
            </w:r>
          </w:p>
        </w:tc>
        <w:tc>
          <w:tcPr>
            <w:tcW w:type="dxa" w:w="2550"/>
            <w:shd w:fill="F8FBFC"/>
            <w:tcMar>
              <w:top w:w="110" w:type="dxa"/>
              <w:start w:w="70" w:type="dxa"/>
              <w:bottom w:w="110" w:type="dxa"/>
              <w:end w:w="7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28"/>
              </w:rPr>
              <w:t>131,83 m³/s</w:t>
            </w:r>
          </w:p>
        </w:tc>
      </w:tr>
    </w:tbl>
    <w:p>
      <w:pPr>
        <w:pStyle w:val="Heading2"/>
        <w:keepNext/>
      </w:pPr>
      <w:r>
        <w:t>Leitura das vazões</w:t>
      </w:r>
    </w:p>
    <w:p>
      <w:pPr>
        <w:pStyle w:val="ListBullet"/>
        <w:spacing w:after="60"/>
      </w:pPr>
      <w:r>
        <w:rPr>
          <w:b w:val="0"/>
          <w:i w:val="0"/>
        </w:rPr>
        <w:t>A maior afluência diária ocorreu em 04/02/2023, com 131,83 m³/s, coincidindo com o ano de maior recuperação do volume útil.</w:t>
      </w:r>
    </w:p>
    <w:p>
      <w:pPr>
        <w:pStyle w:val="ListBullet"/>
        <w:spacing w:after="60"/>
      </w:pPr>
      <w:r>
        <w:rPr>
          <w:b w:val="0"/>
          <w:i w:val="0"/>
        </w:rPr>
        <w:t>Em outubro de 2026, até o dia 09, a afluência média foi 18,74 m³/s e a defluência média foi 0,25 m³/s, saldo analítico médio de +18,49 m³/s.</w:t>
      </w:r>
    </w:p>
    <w:p>
      <w:pPr>
        <w:pStyle w:val="ListBullet"/>
        <w:spacing w:after="60"/>
      </w:pPr>
      <w:r>
        <w:rPr>
          <w:b w:val="0"/>
          <w:i w:val="0"/>
        </w:rPr>
        <w:t>A área verde do gráfico representa meses em que a afluência média superou a defluência média.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62828"/>
              <w:left w:val="single" w:sz="5" w:color="C62828"/>
              <w:bottom w:val="single" w:sz="5" w:color="C62828"/>
              <w:right w:val="single" w:sz="5" w:color="C62828"/>
            </w:tcBorders>
          </w:tcPr>
          <w:p>
            <w:r>
              <w:rPr>
                <w:b w:val="0"/>
                <w:i w:val="0"/>
                <w:color w:val="003B5C"/>
                <w:sz w:val="18"/>
              </w:rPr>
              <w:t>Importante: afluência menos defluência é apenas um indicador analítico. O cálculo não inclui precipitação direta, evaporação, infiltração, transferências e demais componentes necessários a um balanço hídrico integral.</w:t>
            </w:r>
          </w:p>
        </w:tc>
      </w:tr>
    </w:tbl>
    <w:p>
      <w:pPr>
        <w:pStyle w:val="Heading1"/>
        <w:keepNext/>
      </w:pPr>
      <w:r>
        <w:t>6. Situação recente e eventos extremos</w:t>
      </w:r>
    </w:p>
    <w:p>
      <w:pPr>
        <w:pStyle w:val="Heading2"/>
        <w:keepNext/>
      </w:pPr>
      <w:r>
        <w:t>Tendências na última medição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Janela</w:t>
            </w:r>
          </w:p>
        </w:tc>
        <w:tc>
          <w:tcPr>
            <w:tcW w:type="dxa" w:w="255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Volume anterior</w:t>
            </w:r>
          </w:p>
        </w:tc>
        <w:tc>
          <w:tcPr>
            <w:tcW w:type="dxa" w:w="255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Variação</w:t>
            </w:r>
          </w:p>
        </w:tc>
        <w:tc>
          <w:tcPr>
            <w:tcW w:type="dxa" w:w="2550"/>
            <w:shd w:fill="003B5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Tendência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1 dia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42.23%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8"/>
              </w:rPr>
              <w:t>+0.19 p.p.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8"/>
              </w:rPr>
              <w:t>Alta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7 dias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40.93%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8"/>
              </w:rPr>
              <w:t>+1.49 p.p.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8"/>
              </w:rPr>
              <w:t>Alta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30 dias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33.68%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8"/>
              </w:rPr>
              <w:t>+8.74 p.p.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8"/>
              </w:rPr>
              <w:t>Alta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90 dias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41.10%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8"/>
              </w:rPr>
              <w:t>+1.32 p.p.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2E7D32"/>
                <w:sz w:val="18"/>
              </w:rPr>
              <w:t>Alta</w:t>
            </w:r>
          </w:p>
        </w:tc>
      </w:tr>
    </w:tbl>
    <w:p>
      <w:pPr>
        <w:pStyle w:val="Heading2"/>
        <w:keepNext/>
      </w:pPr>
      <w:r>
        <w:t>Eventos extremos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05CA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Evento</w:t>
            </w:r>
          </w:p>
        </w:tc>
        <w:tc>
          <w:tcPr>
            <w:tcW w:type="dxa" w:w="3400"/>
            <w:shd w:fill="005CA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Data</w:t>
            </w:r>
          </w:p>
        </w:tc>
        <w:tc>
          <w:tcPr>
            <w:tcW w:type="dxa" w:w="3400"/>
            <w:shd w:fill="005CA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3B5C"/>
                <w:sz w:val="18"/>
              </w:rPr>
              <w:t>Menor volume útil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09/12/2025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18"/>
              </w:rPr>
              <w:t>16.79 %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3B5C"/>
                <w:sz w:val="18"/>
              </w:rPr>
              <w:t>Maior volume útil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17/06/2023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18"/>
              </w:rPr>
              <w:t>94.11 %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3B5C"/>
                <w:sz w:val="18"/>
              </w:rPr>
              <w:t>Maior afluência diária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04/02/2023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18"/>
              </w:rPr>
              <w:t>131.83 m³/s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3B5C"/>
                <w:sz w:val="18"/>
              </w:rPr>
              <w:t>Maior alta diária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04/02/2023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18"/>
              </w:rPr>
              <w:t>1.40 p.p.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3B5C"/>
                <w:sz w:val="18"/>
              </w:rPr>
              <w:t>Maior queda diária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3B5C"/>
                <w:sz w:val="18"/>
              </w:rPr>
              <w:t>10/10/2024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pPr>
              <w:jc w:val="center"/>
            </w:pPr>
            <w:r>
              <w:rPr>
                <w:b/>
                <w:i w:val="0"/>
                <w:color w:val="003B5C"/>
                <w:sz w:val="18"/>
              </w:rPr>
              <w:t>-0.39 p.p.</w:t>
            </w:r>
          </w:p>
        </w:tc>
      </w:tr>
    </w:tbl>
    <w:p>
      <w:pPr>
        <w:pStyle w:val="Heading2"/>
        <w:keepNext/>
      </w:pPr>
      <w:r>
        <w:t>Síntese da posição atual</w:t>
      </w:r>
    </w:p>
    <w:p>
      <w:r>
        <w:t>Em 09/10/2026, o volume útil de 42,42% estava 8,74 p.p. acima do valor de 30 dias antes e 1,49 p.p. acima do valor de sete dias antes. O resultado confirma recuperação recente, mas a amplitude histórica da série recomenda acompanhamento contínuo.</w:t>
      </w:r>
    </w:p>
    <w:p>
      <w:pPr>
        <w:pStyle w:val="Heading1"/>
        <w:keepNext/>
      </w:pPr>
      <w:r>
        <w:t>7. Conclusões executivas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5CA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Recuperação em 2026</w:t>
            </w:r>
          </w:p>
        </w:tc>
        <w:tc>
          <w:tcPr>
            <w:tcW w:type="dxa" w:w="5100"/>
            <w:shd w:fill="F8FB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003B5C"/>
                <w:sz w:val="18"/>
              </w:rPr>
              <w:t>O volume útil aumentou aproximadamente 24,4 p.p. desde o início do ano até 09/10/2026.</w:t>
            </w:r>
          </w:p>
        </w:tc>
      </w:tr>
      <w:tr>
        <w:tc>
          <w:tcPr>
            <w:tcW w:type="dxa" w:w="5100"/>
            <w:shd w:fill="00796B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Grande amplitude histórica</w:t>
            </w:r>
          </w:p>
        </w:tc>
        <w:tc>
          <w:tcPr>
            <w:tcW w:type="dxa" w:w="5100"/>
            <w:shd w:fill="F8FB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003B5C"/>
                <w:sz w:val="18"/>
              </w:rPr>
              <w:t>A série variou de 16,79% a 94,11%, evidenciando ciclos pronunciados e necessidade de contexto temporal.</w:t>
            </w:r>
          </w:p>
        </w:tc>
      </w:tr>
      <w:tr>
        <w:tc>
          <w:tcPr>
            <w:tcW w:type="dxa" w:w="5100"/>
            <w:shd w:fill="005CA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Sazonalidade relevante</w:t>
            </w:r>
          </w:p>
        </w:tc>
        <w:tc>
          <w:tcPr>
            <w:tcW w:type="dxa" w:w="5100"/>
            <w:shd w:fill="F8FB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003B5C"/>
                <w:sz w:val="18"/>
              </w:rPr>
              <w:t>O volume médio tende a crescer no primeiro quadrimestre e reduzir no segundo semestre.</w:t>
            </w:r>
          </w:p>
        </w:tc>
      </w:tr>
      <w:tr>
        <w:tc>
          <w:tcPr>
            <w:tcW w:type="dxa" w:w="5100"/>
            <w:shd w:fill="00796B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Vazões como apoio, não como conclusão isolada</w:t>
            </w:r>
          </w:p>
        </w:tc>
        <w:tc>
          <w:tcPr>
            <w:tcW w:type="dxa" w:w="5100"/>
            <w:shd w:fill="F8FB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003B5C"/>
                <w:sz w:val="18"/>
              </w:rPr>
              <w:t>A diferença entre afluência e defluência ajuda na leitura operacional, mas não substitui balanço hídrico completo.</w:t>
            </w:r>
          </w:p>
        </w:tc>
      </w:tr>
      <w:tr>
        <w:tc>
          <w:tcPr>
            <w:tcW w:type="dxa" w:w="5100"/>
            <w:shd w:fill="005CA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Valor do processo analítico</w:t>
            </w:r>
          </w:p>
        </w:tc>
        <w:tc>
          <w:tcPr>
            <w:tcW w:type="dxa" w:w="5100"/>
            <w:shd w:fill="F8FB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6E2E8"/>
              <w:left w:val="single" w:sz="5" w:color="D6E2E8"/>
              <w:bottom w:val="single" w:sz="5" w:color="D6E2E8"/>
              <w:right w:val="single" w:sz="5" w:color="D6E2E8"/>
            </w:tcBorders>
          </w:tcPr>
          <w:p>
            <w:r>
              <w:rPr>
                <w:b w:val="0"/>
                <w:i w:val="0"/>
                <w:color w:val="003B5C"/>
                <w:sz w:val="18"/>
              </w:rPr>
              <w:t>O projeto demonstrou tratamento de fonte irregular, validação, análise temporal e comunicação executiva reproduzível.</w:t>
            </w:r>
          </w:p>
        </w:tc>
      </w:tr>
    </w:tbl>
    <w:p>
      <w:pPr>
        <w:pStyle w:val="Heading2"/>
        <w:keepNext/>
      </w:pPr>
      <w:r>
        <w:t>Limitações</w:t>
      </w:r>
    </w:p>
    <w:p>
      <w:pPr>
        <w:pStyle w:val="ListBullet"/>
        <w:spacing w:after="60"/>
      </w:pPr>
      <w:r>
        <w:rPr>
          <w:b w:val="0"/>
          <w:i w:val="0"/>
        </w:rPr>
        <w:t>O estudo contempla somente o reservatório Jaguari-Jacareí.</w:t>
      </w:r>
    </w:p>
    <w:p>
      <w:pPr>
        <w:pStyle w:val="ListBullet"/>
        <w:spacing w:after="60"/>
      </w:pPr>
      <w:r>
        <w:rPr>
          <w:b w:val="0"/>
          <w:i w:val="0"/>
        </w:rPr>
        <w:t>A série de 2026 é parcial até 09/10/2026.</w:t>
      </w:r>
    </w:p>
    <w:p>
      <w:pPr>
        <w:pStyle w:val="ListBullet"/>
        <w:spacing w:after="60"/>
      </w:pPr>
      <w:r>
        <w:rPr>
          <w:b w:val="0"/>
          <w:i w:val="0"/>
        </w:rPr>
        <w:t>O registro de 25/09/2026 foi preenchido por interpolação linear entre os dias adjacentes.</w:t>
      </w:r>
    </w:p>
    <w:p>
      <w:pPr>
        <w:pStyle w:val="ListBullet"/>
        <w:spacing w:after="60"/>
      </w:pPr>
      <w:r>
        <w:rPr>
          <w:b w:val="0"/>
          <w:i w:val="0"/>
        </w:rPr>
        <w:t>Não foram incorporados dados de precipitação, temperatura, evaporação ou regras operacionais do sistema.</w:t>
      </w:r>
    </w:p>
    <w:p>
      <w:pPr>
        <w:pStyle w:val="ListBullet"/>
        <w:spacing w:after="60"/>
      </w:pPr>
      <w:r>
        <w:rPr>
          <w:b w:val="0"/>
          <w:i w:val="0"/>
        </w:rPr>
        <w:t>A linha de 40% e demais faixas utilizadas têm finalidade apenas analítica no portfólio.</w:t>
      </w:r>
    </w:p>
    <w:p>
      <w:pPr>
        <w:pStyle w:val="Heading2"/>
        <w:keepNext/>
      </w:pPr>
      <w:r>
        <w:t>Próximas possibilidades</w:t>
      </w:r>
    </w:p>
    <w:p>
      <w:pPr>
        <w:pStyle w:val="ListBullet"/>
        <w:spacing w:after="60"/>
      </w:pPr>
      <w:r>
        <w:rPr>
          <w:b w:val="0"/>
          <w:i w:val="0"/>
        </w:rPr>
        <w:t>Integrar os demais reservatórios do Sistema Cantareira.</w:t>
      </w:r>
    </w:p>
    <w:p>
      <w:pPr>
        <w:pStyle w:val="ListBullet"/>
        <w:spacing w:after="60"/>
      </w:pPr>
      <w:r>
        <w:rPr>
          <w:b w:val="0"/>
          <w:i w:val="0"/>
        </w:rPr>
        <w:t>Incluir precipitação e estudar defasagens entre chuva, afluência e armazenamento.</w:t>
      </w:r>
    </w:p>
    <w:p>
      <w:pPr>
        <w:pStyle w:val="ListBullet"/>
        <w:spacing w:after="60"/>
      </w:pPr>
      <w:r>
        <w:rPr>
          <w:b w:val="0"/>
          <w:i w:val="0"/>
        </w:rPr>
        <w:t>Automatizar a atualização da base e publicar uma versão interativa.</w:t>
      </w:r>
    </w:p>
    <w:p>
      <w:pPr>
        <w:pStyle w:val="ListBullet"/>
        <w:spacing w:after="60"/>
      </w:pPr>
      <w:r>
        <w:rPr>
          <w:b w:val="0"/>
          <w:i w:val="0"/>
        </w:rPr>
        <w:t>Avaliar projeções de curto prazo somente após ampliar e validar as variáveis explicativas.</w:t>
      </w:r>
    </w:p>
    <w:p>
      <w:pPr>
        <w:spacing w:before="360"/>
        <w:jc w:val="center"/>
      </w:pPr>
      <w:r>
        <w:rPr>
          <w:b w:val="0"/>
          <w:i/>
          <w:color w:val="607D8B"/>
          <w:sz w:val="18"/>
        </w:rPr>
        <w:t>Projeto desenvolvido como estudo de portfólio em análise de dados.</w:t>
      </w:r>
      <w:r>
        <w:rPr>
          <w:b/>
          <w:i w:val="0"/>
          <w:color w:val="003B5C"/>
          <w:sz w:val="20"/>
        </w:rPr>
        <w:br/>
        <w:t>Tiago Moreira |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7D8B"/>
        <w:sz w:val="16"/>
      </w:rPr>
      <w:t>Relatório Executivo | Tiago Moreira | 10/10/2026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005CA9"/>
        <w:sz w:val="16"/>
      </w:rPr>
      <w:t>PROJETO ÁGUA EM FOCO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B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C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9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3B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- Projeto Água em Foco</dc:title>
  <dc:subject>Análise histórica do Reservatório Jaguari-Jacareí</dc:subject>
  <dc:creator>Tiago Moreira</dc:creator>
  <cp:keywords>análise de dados, reservatório, Cantareira, Jaguari-Jacareí, portfólio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