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3F3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863.9999999999999" w:top="1440" w:left="907.2" w:right="863.9999999999999" w:header="720" w:footer="720"/>
          <w:pgNumType w:start="1"/>
        </w:sectPr>
      </w:pPr>
      <w:bookmarkStart w:colFirst="0" w:colLast="0" w:name="_3y8z442vsfp4" w:id="0"/>
      <w:bookmarkEnd w:id="0"/>
      <w:r w:rsidDel="00000000" w:rsidR="00000000" w:rsidRPr="00000000">
        <w:rPr>
          <w:rFonts w:ascii="Lexend SemiBold" w:cs="Lexend SemiBold" w:eastAsia="Lexend SemiBold" w:hAnsi="Lexend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41951 Análise de Sistemas - 2024/25 [ASis25]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uwrn8clfsucb" w:id="1"/>
      <w:bookmarkEnd w:id="1"/>
      <w:r w:rsidDel="00000000" w:rsidR="00000000" w:rsidRPr="00000000">
        <w:rPr>
          <w:rtl w:val="0"/>
        </w:rPr>
        <w:t xml:space="preserve">Lab 05 - Classes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 10, 2025</w:t>
      </w:r>
      <w:r w:rsidDel="00000000" w:rsidR="00000000" w:rsidRPr="00000000">
        <w:rPr>
          <w:rtl w:val="0"/>
        </w:rPr>
        <w:t xml:space="preserve"> | Modelação concetual de um domínio (parte I) com o diagrama de classes da UML.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cvutwcuvubk4" w:id="2"/>
      <w:bookmarkEnd w:id="2"/>
      <w:r w:rsidDel="00000000" w:rsidR="00000000" w:rsidRPr="00000000">
        <w:rPr>
          <w:rtl w:val="0"/>
        </w:rPr>
        <w:t xml:space="preserve">Percurso de aprendizagem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 grupo.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2"/>
        </w:numPr>
        <w:rPr>
          <w:rFonts w:ascii="Lexend SemiBold" w:cs="Lexend SemiBold" w:eastAsia="Lexend SemiBold" w:hAnsi="Lexend SemiBold"/>
          <w:color w:val="434343"/>
          <w:sz w:val="26"/>
          <w:szCs w:val="26"/>
          <w:shd w:fill="ffd966" w:val="clear"/>
        </w:rPr>
      </w:pPr>
      <w:bookmarkStart w:colFirst="0" w:colLast="0" w:name="_fq4h4f4oxbed" w:id="3"/>
      <w:bookmarkEnd w:id="3"/>
      <w:r w:rsidDel="00000000" w:rsidR="00000000" w:rsidRPr="00000000">
        <w:rPr>
          <w:rtl w:val="0"/>
        </w:rPr>
        <w:t xml:space="preserve">Especificação com narrativas estruturadas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Considere a situação de modelação #3 nesta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apresentação de suporte</w:t>
        </w:r>
      </w:hyperlink>
      <w:r w:rsidDel="00000000" w:rsidR="00000000" w:rsidRPr="00000000">
        <w:rPr>
          <w:rtl w:val="0"/>
        </w:rPr>
        <w:t xml:space="preserve">, relativa à organização de concursos de programação.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Faça uma leitura geral do diagrama (explique o que está no modelo por palavras suas). E.g. “Cada Equipa tem um Professor responsável.”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Considerando o modelo representado no diagrama, explique se as seguintes afirmações têm ou não suporte no modelo, isto é, se são V/F face ao que está no diagrama.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Todas as Equipas precisam de indicar um Professor responsável.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Podem existir Professores que não são responsáveis por nenhuma Equipa.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É possível saber os alunos que realizam uma Entrega (submissão).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Uma Submissão é avaliada por um Membro do CC.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Uma Equipa poder ser composta por alunos de várias Instituições (i.e., a Equipa não é exclusiva de uma Instituição).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Um Membro do CC só avalia entregas resolvidas com linguagens de programação para as quais é especialista.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As Entregas de uma Equipa são sempre feitas pelo capitão da equipa.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Há docentes membros do CC que trabalham em mais que uma Instituição do ensino superior.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2"/>
        </w:numPr>
        <w:rPr>
          <w:rFonts w:ascii="Lexend SemiBold" w:cs="Lexend SemiBold" w:eastAsia="Lexend SemiBold" w:hAnsi="Lexend SemiBold"/>
          <w:color w:val="434343"/>
          <w:sz w:val="26"/>
          <w:szCs w:val="26"/>
          <w:shd w:fill="ffd966" w:val="clear"/>
        </w:rPr>
      </w:pPr>
      <w:bookmarkStart w:colFirst="0" w:colLast="0" w:name="_vx6j0f4obqxp" w:id="4"/>
      <w:bookmarkEnd w:id="4"/>
      <w:r w:rsidDel="00000000" w:rsidR="00000000" w:rsidRPr="00000000">
        <w:rPr>
          <w:rtl w:val="0"/>
        </w:rPr>
        <w:t xml:space="preserve">Especificação com narrativas estruturadas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Analise a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Guideline 9.12</w:t>
        </w:r>
      </w:hyperlink>
      <w:r w:rsidDel="00000000" w:rsidR="00000000" w:rsidRPr="00000000">
        <w:rPr>
          <w:rtl w:val="0"/>
        </w:rPr>
        <w:t xml:space="preserve">“ no livro do Larman, sobre a diferença entre modelar atributos e conceitos.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Neste contexto, como analisa as duas opções de modelação relativa ao exemplo #1  nesta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apresentação de suporte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Sugira um outro exemplo, numa área diferente, que evidencie a dualidade entre modelar como </w:t>
      </w:r>
      <w:r w:rsidDel="00000000" w:rsidR="00000000" w:rsidRPr="00000000">
        <w:rPr>
          <w:i w:val="1"/>
          <w:rtl w:val="0"/>
        </w:rPr>
        <w:t xml:space="preserve">atributo</w:t>
      </w:r>
      <w:r w:rsidDel="00000000" w:rsidR="00000000" w:rsidRPr="00000000">
        <w:rPr>
          <w:rtl w:val="0"/>
        </w:rPr>
        <w:t xml:space="preserve"> ou como </w:t>
      </w:r>
      <w:r w:rsidDel="00000000" w:rsidR="00000000" w:rsidRPr="00000000">
        <w:rPr>
          <w:i w:val="1"/>
          <w:rtl w:val="0"/>
        </w:rPr>
        <w:t xml:space="preserve">associação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2"/>
        </w:numPr>
        <w:rPr>
          <w:rFonts w:ascii="Lexend SemiBold" w:cs="Lexend SemiBold" w:eastAsia="Lexend SemiBold" w:hAnsi="Lexend SemiBold"/>
          <w:i w:val="1"/>
          <w:color w:val="434343"/>
          <w:sz w:val="26"/>
          <w:szCs w:val="26"/>
          <w:shd w:fill="ffd966" w:val="clear"/>
        </w:rPr>
      </w:pPr>
      <w:bookmarkStart w:colFirst="0" w:colLast="0" w:name="_umbjomh1ou9l" w:id="5"/>
      <w:bookmarkEnd w:id="5"/>
      <w:r w:rsidDel="00000000" w:rsidR="00000000" w:rsidRPr="00000000">
        <w:rPr>
          <w:i w:val="1"/>
          <w:rtl w:val="0"/>
        </w:rPr>
        <w:t xml:space="preserve">Já validate as faturas?...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forma útil de pensar no modelo concetual é imaginar que os elementos por ele descritos correspondem a informação que inicialmente existe apenas na cabeça dos utilizadores/stakeholder, sem estar a pensar como vai ser apresentada em ecrãs ou estruturada para ser armazenada num sistema computacional.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obter a atribuição de deduções fiscais, os contribuintes devem (1) comunicar/confirmar o seu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agregado familiar</w:t>
        </w:r>
      </w:hyperlink>
      <w:r w:rsidDel="00000000" w:rsidR="00000000" w:rsidRPr="00000000">
        <w:rPr>
          <w:rtl w:val="0"/>
        </w:rPr>
        <w:t xml:space="preserve"> e (2) proceder à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validação de faturas</w:t>
        </w:r>
      </w:hyperlink>
      <w:r w:rsidDel="00000000" w:rsidR="00000000" w:rsidRPr="00000000">
        <w:rPr>
          <w:rtl w:val="0"/>
        </w:rPr>
        <w:t xml:space="preserve"> no Portal das Finanças.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Quais os conceitos que têm de ser representados neste problema?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Apresente um modelo para captar os conceitos que se depreendem no contexto dos casos de utilização referidos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Avalie se as seguintes afirmações já estão suportadas no modelo que construiu, se faltam e devem levar a uma revisão do modelo, ou até se são irrelevantes para o nível de abstração do modelo concetual: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Os contribuintes podem pesquisar, no Portal, a função a que pretendem aceder em alternativa a navegar nos menus.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Existem vários setores de atividade para os quais o Estado concede benefícios fiscais aos consumidores.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 contribuinte pode ter dependentes a cargo.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 informação do agregado familiar pode ser alterada até 15 de fevereiro.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 base tributável é multiplicada pela taxa de IVA para calcular o valor de imposto a cobrar. O valor total é a base tributável com o valor de imposto.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Para haver lugar ao benefício, o consumidor deve pedir fatura dos serviços.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 classificação automática das faturas nem sempre é possível porque os fornecedores têm frequemente vários setores de atividade associados, ou seja, a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empresa tem vários CAE</w:t>
        </w:r>
      </w:hyperlink>
      <w:r w:rsidDel="00000000" w:rsidR="00000000" w:rsidRPr="00000000">
        <w:rPr>
          <w:rtl w:val="0"/>
        </w:rPr>
        <w:t xml:space="preserve"> (principal e secundários). Uma fatura da Universidade de Aveiro pode ser relativa a propinas (elegível), restauração (elegível), ou de </w:t>
      </w:r>
      <w:r w:rsidDel="00000000" w:rsidR="00000000" w:rsidRPr="00000000">
        <w:rPr>
          <w:i w:val="1"/>
          <w:rtl w:val="0"/>
        </w:rPr>
        <w:t xml:space="preserve">merchandising</w:t>
      </w:r>
      <w:r w:rsidDel="00000000" w:rsidR="00000000" w:rsidRPr="00000000">
        <w:rPr>
          <w:rtl w:val="0"/>
        </w:rPr>
        <w:t xml:space="preserve"> na papelaria (não elegível). Cada setor em que é possível  ter benefícios fiscais tem associado um grupo de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códigos de atividade</w:t>
        </w:r>
      </w:hyperlink>
      <w:r w:rsidDel="00000000" w:rsidR="00000000" w:rsidRPr="00000000">
        <w:rPr>
          <w:rtl w:val="0"/>
        </w:rPr>
        <w:t xml:space="preserve"> admissíveis (CAE).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 nr de contribuinte é validade com um dígito de controlo (</w:t>
      </w:r>
      <w:r w:rsidDel="00000000" w:rsidR="00000000" w:rsidRPr="00000000">
        <w:rPr>
          <w:i w:val="1"/>
          <w:rtl w:val="0"/>
        </w:rPr>
        <w:t xml:space="preserve">check-digit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8wz4kq38gpw6" w:id="6"/>
      <w:bookmarkEnd w:id="6"/>
      <w:r w:rsidDel="00000000" w:rsidR="00000000" w:rsidRPr="00000000">
        <w:rPr>
          <w:rtl w:val="0"/>
        </w:rPr>
        <w:t xml:space="preserve">Como aplicar no projeto?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 contexto do projeto, o grupo devem também desenvolver um modelo concetual.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Este modelo é feito de forma evolutiva: começa com um esboço das “ideias” principais (entidades e atributos mais evidentes), que se vai refinando. Numa primeira abordagem, podemos dispensar tipos de dados.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Como identificar os conceitos? Podemos fazê-lo de forma sistemática?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Larman sugere três abordagens</w:t>
        </w:r>
      </w:hyperlink>
      <w:r w:rsidDel="00000000" w:rsidR="00000000" w:rsidRPr="00000000">
        <w:rPr>
          <w:rtl w:val="0"/>
        </w:rPr>
        <w:t xml:space="preserve"> úteis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já existirem bons modelos na área, aproveitar como base (e.g.: publicações, normas de organismos internacionais).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Procurar numa lista de situações comuns (categorias)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Fazer uma análise textual à procura de substantivos. Esta abordagem é muito eficaz, especialmente quando temos descrições detalhadas dos casos de utilização disponíveis.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type w:val="nextPage"/>
      <w:pgSz w:h="16838" w:w="11906" w:orient="portrait"/>
      <w:pgMar w:bottom="863.9999999999999" w:top="1440" w:left="907.2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exend SemiBold">
    <w:embedRegular w:fontKey="{00000000-0000-0000-0000-000000000000}" r:id="rId1" w:subsetted="0"/>
    <w:embedBold w:fontKey="{00000000-0000-0000-0000-000000000000}" r:id="rId2" w:subsetted="0"/>
  </w:font>
  <w:font w:name="Inter Ligh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Lexend ExtraLight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Na maior parte dos domínios, as “Faturas” ou “Recibos” não são relevantes para o estudo dos conceitos (ver “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Guideline 9.9. - Include Receipt in the model?</w:t>
        </w:r>
      </w:hyperlink>
      <w:r w:rsidDel="00000000" w:rsidR="00000000" w:rsidRPr="00000000">
        <w:rPr>
          <w:sz w:val="20"/>
          <w:szCs w:val="20"/>
          <w:rtl w:val="0"/>
        </w:rPr>
        <w:t xml:space="preserve">”). No entanto, neste caso, é indispensável considerar a fatura, já que o problema é centrado nisso.</w:t>
      </w:r>
    </w:p>
  </w:footnote>
  <w:footnote w:id="1">
    <w:p w:rsidR="00000000" w:rsidDel="00000000" w:rsidP="00000000" w:rsidRDefault="00000000" w:rsidRPr="00000000" w14:paraId="000000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O site da OReilly aparenta não estar a apresentar nas melhores confições esta secção do livro, em </w:t>
      </w:r>
      <w:r w:rsidDel="00000000" w:rsidR="00000000" w:rsidRPr="00000000">
        <w:rPr>
          <w:i w:val="1"/>
          <w:sz w:val="20"/>
          <w:szCs w:val="20"/>
          <w:rtl w:val="0"/>
        </w:rPr>
        <w:t xml:space="preserve">browsers</w:t>
      </w:r>
      <w:r w:rsidDel="00000000" w:rsidR="00000000" w:rsidRPr="00000000">
        <w:rPr>
          <w:sz w:val="20"/>
          <w:szCs w:val="20"/>
          <w:rtl w:val="0"/>
        </w:rPr>
        <w:t xml:space="preserve"> baseados em Chrome…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>
        <w:rFonts w:ascii="Lexend ExtraLight" w:cs="Lexend ExtraLight" w:eastAsia="Lexend ExtraLight" w:hAnsi="Lexend ExtraLight"/>
        <w:sz w:val="22"/>
        <w:szCs w:val="22"/>
      </w:rPr>
    </w:pPr>
    <w:r w:rsidDel="00000000" w:rsidR="00000000" w:rsidRPr="00000000">
      <w:rPr>
        <w:rFonts w:ascii="Lexend ExtraLight" w:cs="Lexend ExtraLight" w:eastAsia="Lexend ExtraLight" w:hAnsi="Lexend ExtraLight"/>
        <w:sz w:val="22"/>
        <w:szCs w:val="22"/>
        <w:rtl w:val="0"/>
      </w:rPr>
      <w:t xml:space="preserve">UNIVERSIDADE DE AVEIRO | 41951 Análise de Sistemas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color w:val="f1c232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Atividade %1: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Atividade%1.%2: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Atividade%1.%2.%3: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Atividade%1.%2.%3.%4: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Atividade%1.%2.%3.%4.%5: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Atividade%1.%2.%3.%4.%5.%6: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Atividade%1.%2.%3.%4.%5.%6.%7: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Atividade%1.%2.%3.%4.%5.%6.%7.%8: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Atividade%1.%2.%3.%4.%5.%6.%7.%8.%9: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Inter Light" w:cs="Inter Light" w:eastAsia="Inter Light" w:hAnsi="Inter Light"/>
        <w:sz w:val="24"/>
        <w:szCs w:val="24"/>
        <w:lang w:val="en"/>
      </w:rPr>
    </w:rPrDefault>
    <w:pPrDefault>
      <w:pPr>
        <w:spacing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Lexend SemiBold" w:cs="Lexend SemiBold" w:eastAsia="Lexend SemiBold" w:hAnsi="Lexend SemiBol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80" w:lineRule="auto"/>
    </w:pPr>
    <w:rPr>
      <w:rFonts w:ascii="Lexend SemiBold" w:cs="Lexend SemiBold" w:eastAsia="Lexend SemiBold" w:hAnsi="Lexend SemiBold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ind w:left="1800"/>
    </w:pPr>
    <w:rPr>
      <w:rFonts w:ascii="Lexend SemiBold" w:cs="Lexend SemiBold" w:eastAsia="Lexend SemiBold" w:hAnsi="Lexend SemiBold"/>
      <w:color w:val="434343"/>
      <w:sz w:val="26"/>
      <w:szCs w:val="26"/>
      <w:shd w:fill="ffd966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720" w:hanging="360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rFonts w:ascii="Lexend SemiBold" w:cs="Lexend SemiBold" w:eastAsia="Lexend SemiBold" w:hAnsi="Lexend SemiBold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JkB4GuYTWtA" TargetMode="External"/><Relationship Id="rId10" Type="http://schemas.openxmlformats.org/officeDocument/2006/relationships/hyperlink" Target="https://www.youtube.com/watch?v=xHEMZJ0qre8" TargetMode="External"/><Relationship Id="rId13" Type="http://schemas.openxmlformats.org/officeDocument/2006/relationships/hyperlink" Target="https://smi.ine.pt/Categoria" TargetMode="External"/><Relationship Id="rId12" Type="http://schemas.openxmlformats.org/officeDocument/2006/relationships/hyperlink" Target="https://justica.gov.pt/Como-criar-uma-empresa-online/Atividade-da-empresa-e-objeto-social#CdigoCA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google.com/presentation/d/1L_KgWmIHhk5IJF0_FXydreX7PUmz7MQWIjsySCUgJEU/edit?usp=sharing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learning.oreilly.com/library/view/applying-uml-and/0131489062/ch09.html#ch09lev1sec6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presentation/d/1L_KgWmIHhk5IJF0_FXydreX7PUmz7MQWIjsySCUgJEU/edit?usp=sharing" TargetMode="External"/><Relationship Id="rId8" Type="http://schemas.openxmlformats.org/officeDocument/2006/relationships/hyperlink" Target="https://learning.oreilly.com/library/view/applying-uml-and/0131489062/ch09.html#ch09lev1sec1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Relationship Id="rId3" Type="http://schemas.openxmlformats.org/officeDocument/2006/relationships/font" Target="fonts/InterLight-regular.ttf"/><Relationship Id="rId4" Type="http://schemas.openxmlformats.org/officeDocument/2006/relationships/font" Target="fonts/InterLight-bold.ttf"/><Relationship Id="rId5" Type="http://schemas.openxmlformats.org/officeDocument/2006/relationships/font" Target="fonts/InterLight-italic.ttf"/><Relationship Id="rId6" Type="http://schemas.openxmlformats.org/officeDocument/2006/relationships/font" Target="fonts/InterLight-boldItalic.ttf"/><Relationship Id="rId7" Type="http://schemas.openxmlformats.org/officeDocument/2006/relationships/font" Target="fonts/LexendExtraLight-regular.ttf"/><Relationship Id="rId8" Type="http://schemas.openxmlformats.org/officeDocument/2006/relationships/font" Target="fonts/LexendExtraLight-bold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learning.oreilly.com/library/view/applying-uml-and/0131489062/ch09.html#ch09lev1sec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