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f9afk2b84dv" w:id="0"/>
      <w:bookmarkEnd w:id="0"/>
      <w:r w:rsidDel="00000000" w:rsidR="00000000" w:rsidRPr="00000000">
        <w:rPr>
          <w:rtl w:val="0"/>
        </w:rPr>
        <w:t xml:space="preserve">Classes 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“modelação orientada por objetos”, procuramos identificar os conceitos do problema e representá-los como classes conceituais, ou tipos de “coisas” (= Classes).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 Classe é um “molde” do qual se podem obter “cópias” para guardar informação de ocorrências concretas. Estas ocorrência podem ser chamadas de instâncias ou objetos.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Considere a apresentação que se segue, por um responsável de uma (hipotética) empresa de consultadoria tecnológica: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Sonae SGPS tem vários projetos connosco. Por exemplo,  o projeto “Norte 5”, coordenado pelo Eng. Casimiro, e o projeto “Continente Wireless”, coordenado pela Dr. Sílvia, que é especilista em soluções IoT.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Sonae SGPS é o nosso melhor cliente, mas temos cerca de outros 10 grandes clientes em carteira.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projeto “Norte 5”, pretende-se monitorizar a distribuição espacial dos compradores em grandes superfícies, com técnicas de visão por computador (VC). O nosso colaborador Justino, que está no projeto, acredita que terá um grande impacto. Se o quiser contactar, pode usar o email “justino_ninja@mymail.com”.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plano do projeto “Norte 5” está em preparação, mas prevê-se incluir as tarefas: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T1: Avaliação de frameworks de VC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T1.1: Pesquisa e seleção de frameworks open-source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T1.2 Ensaio exploratório num Continente Bom Dia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T2: Levantamento de requisitos e cenários de utilização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Construimos um “mapa” para os conceitos, ou modelo concetual, procurando: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conceitos/tipos de coisas que devem ser representados/memorizados num sistema de informação, 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Abstrair as especificidade de cada exemplo/ocorrência, para nos focarmos nas propriedades gerais.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exemplo, existem muitos clientes; podem ser “classificados” pelo tipo “Cliente”, para os quais deve ser representado um nome.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37512" cy="2778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512" cy="2778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Continuando o processo, e procurando identificar as associações: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68767" cy="3822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767" cy="382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 modelo (concetual, com classes) supõe que, mais à frente na implementação, haverá mecanismos (de programação) para: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Criar/instanciar objetos quando forem necessários. E.g.: criar um objeto para representar um novo projeto.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Ler e atualizar o estado em cada objeto. E.g.: podemos ler ou atualizar a informação de uma ocorrência de Cliente, a qualquer altura.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Percorrer cada coleção de objetos. E.g.: listar os clientes, contar os projetos, filtrar projetos por uma caraterística (que esteja representada no modelo), etc.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Ligar objetos de acordo com as associações</w:t>
      </w:r>
      <w:r w:rsidDel="00000000" w:rsidR="00000000" w:rsidRPr="00000000">
        <w:rPr>
          <w:rtl w:val="0"/>
        </w:rPr>
        <w:t xml:space="preserve"> (navegar entre objetos). E.g.: para um objeto de Projeto, é possível aceder ao respetivo objeto de Cliente.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after="60" w:before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Nunito Light" w:cs="Nunito Light" w:eastAsia="Nunito Light" w:hAnsi="Nuni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