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/>
    <w:p>
      <w:pPr>
        <w:spacing w:after="60"/>
        <w:jc w:val="left"/>
      </w:pPr>
      <w:r>
        <w:rPr>
          <w:rFonts w:ascii="Arial" w:cs="Arial" w:eastAsia="Arial" w:hAnsi="Arial"/>
          <w:b/>
          <w:bCs/>
          <w:color w:val="1F2F4A"/>
          <w:sz w:val="44"/>
          <w:szCs w:val="44"/>
        </w:rPr>
        <w:t xml:space="preserve">Match 3 — Lightning au Canadien</w:t>
      </w:r>
    </w:p>
    <w:p>
      <w:pPr>
        <w:spacing w:after="60"/>
        <w:jc w:val="left"/>
      </w:pPr>
      <w:r>
        <w:rPr>
          <w:rFonts w:ascii="Arial" w:cs="Arial" w:eastAsia="Arial" w:hAnsi="Arial"/>
          <w:i/>
          <w:iCs/>
          <w:color w:val="2F4A70"/>
          <w:sz w:val="24"/>
          <w:szCs w:val="24"/>
        </w:rPr>
        <w:t xml:space="preserve">Ce que trois matchs de données confirment, infirment ou nuancent</w:t>
      </w:r>
    </w:p>
    <w:p>
      <w:pPr>
        <w:pBdr>
          <w:bottom w:val="single" w:color="A6192E" w:sz="12" w:space="4"/>
        </w:pBdr>
        <w:spacing w:after="240"/>
        <w:jc w:val="left"/>
      </w:pPr>
      <w:r>
        <w:rPr>
          <w:rFonts w:ascii="Arial" w:cs="Arial" w:eastAsia="Arial" w:hAnsi="Arial"/>
          <w:color w:val="666666"/>
          <w:sz w:val="18"/>
          <w:szCs w:val="18"/>
        </w:rPr>
        <w:t xml:space="preserve">Publié 2026-04-25 · Série : MTL mène 2–1 · Match 4 à Montréal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2F4A70"/>
          <w:sz w:val="24"/>
          <w:szCs w:val="24"/>
        </w:rPr>
        <w:t xml:space="preserve">En un coup d'œil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La série est un cas d'école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Tampa génère le volume de tirs, Montréal convertit sur la qualité</w:t>
      </w:r>
      <w:r>
        <w:rPr>
          <w:rFonts w:ascii="Arial" w:cs="Arial" w:eastAsia="Arial" w:hAnsi="Arial"/>
          <w:sz w:val="20"/>
          <w:szCs w:val="20"/>
        </w:rPr>
        <w:t xml:space="preserve">. À 5 c. 5 sur 3 matchs, le TBL a 55,4 % des tentatives de tir (CF%) mais MTL détient 56,1 % des buts attendus et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75 %</w:t>
      </w:r>
      <w:r>
        <w:rPr>
          <w:rFonts w:ascii="Arial" w:cs="Arial" w:eastAsia="Arial" w:hAnsi="Arial"/>
          <w:sz w:val="20"/>
          <w:szCs w:val="20"/>
        </w:rPr>
        <w:t xml:space="preserve"> des chances à haut danger.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L'offensive individuelle de Slafkovský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s'est effondrée après son combat avec Hagel au M2 P2 5:14</w:t>
      </w:r>
      <w:r>
        <w:rPr>
          <w:rFonts w:ascii="Arial" w:cs="Arial" w:eastAsia="Arial" w:hAnsi="Arial"/>
          <w:sz w:val="20"/>
          <w:szCs w:val="20"/>
        </w:rPr>
        <w:t xml:space="preserve"> — 8 tirs / 3 buts avant, 2 tirs / 0 but après — mais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son trio gagne toujours le combat sur la glace (tirs 20-9, buts 2-1 après le combat)</w:t>
      </w:r>
      <w:r>
        <w:rPr>
          <w:rFonts w:ascii="Arial" w:cs="Arial" w:eastAsia="Arial" w:hAnsi="Arial"/>
          <w:sz w:val="20"/>
          <w:szCs w:val="20"/>
        </w:rPr>
        <w:t xml:space="preserve">. « Moins impactant » est le mauvais cadrage; « rôle modifié » est plus juste.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Le narratif de la profondeur offensive est réel, avec une nuance.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Bolduc, Dach, Texier, Hutson et Xhekaj ont surperformé leur impact isolé de la saison régulière</w:t>
      </w:r>
      <w:r>
        <w:rPr>
          <w:rFonts w:ascii="Arial" w:cs="Arial" w:eastAsia="Arial" w:hAnsi="Arial"/>
          <w:sz w:val="20"/>
          <w:szCs w:val="20"/>
        </w:rPr>
        <w:t xml:space="preserve">, alors que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Suzuki, Caufield et Hutson</w:t>
      </w:r>
      <w:r>
        <w:rPr>
          <w:rFonts w:ascii="Arial" w:cs="Arial" w:eastAsia="Arial" w:hAnsi="Arial"/>
          <w:sz w:val="20"/>
          <w:szCs w:val="20"/>
        </w:rPr>
        <w:t xml:space="preserve"> (malgré leurs buts) sont en deçà de leur impact isolé régulier à 5 c. 5. Les vedettes ne pilotent plus le jeu à forces égales; la profondeur prend le relais.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Les PDO sont MTL 1,008 / TBL 0,992 — les chiffres sous-jacents sont plus serrés que ne le laisse croire le 2-1. Sur la série, Vasilevskiy et Dobes ont fait face à des volumes de tirs quasi identiques (75 c. 74) avec des pourcentages d'arrêts similaires (,893 c. ,905) — l'écart de 29-17 du Match 3 est un phénomène d'un seul match, pas une tendance de série.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2F4A70"/>
          <w:sz w:val="24"/>
          <w:szCs w:val="24"/>
        </w:rPr>
        <w:t xml:space="preserve">Comment lire ce rapport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40"/>
          <w:left w:type="dxa" w:w="220"/>
          <w:bottom w:type="dxa" w:w="140"/>
          <w:right w:type="dxa" w:w="220"/>
        </w:tblCellMar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11111"/>
                <w:sz w:val="22"/>
                <w:szCs w:val="22"/>
              </w:rPr>
              <w:t xml:space="preserve"/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Codes couleurs des verdicts.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Chaque affirmation est notée selon les données : vert = confirmée, ambre = mitigée ou directionnelle, rouge = infirmée par les données disponibles.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Sources.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Tous les chiffres proviennent de Natural Stat Trick (totaux 5 c. 5 / 5 c. 4 de série) ou des API publiques de LNH.com (jeu par jeu et présences). La méthodologie, les formules et les mises en garde sont dans le lexique du projet.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Pas de prédictions.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Ce rapport note les affirmations, il ne prédit pas l'issue de la série. Trois matchs, c'est minuscule — chaque chiffre d'impact isolé est directionnel, pas prédictif.</w:t>
            </w:r>
          </w:p>
        </w:tc>
      </w:tr>
    </w:tbl>
    <w:p>
      <w:r>
        <w:br w:type="pag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F4A70"/>
          <w:sz w:val="24"/>
          <w:szCs w:val="24"/>
        </w:rPr>
        <w:t xml:space="preserve">Tableau des affirmations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Chaque ligne associe une citation publique à ce que les données montrent. Codes couleurs : vert = confirmée, ambre = mitigée, rouge = infirmée.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70"/>
          <w:left w:type="dxa" w:w="120"/>
          <w:bottom w:type="dxa" w:w="70"/>
          <w:right w:type="dxa" w:w="120"/>
        </w:tblCellMar>
      </w:tblPr>
      <w:tblGrid>
        <w:gridCol w:w="2400"/>
        <w:gridCol w:w="1400"/>
        <w:gridCol w:w="4060"/>
        <w:gridCol w:w="1500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Affirmation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  <w:tc>
          <w:tcPr>
            <w:tcW w:type="dxa" w:w="4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Ce que disent les données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Verdict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Tampa Bay is tilting the ice (drives shot volume).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NY Post</w:t>
            </w:r>
          </w:p>
        </w:tc>
        <w:tc>
          <w:tcPr>
            <w:tcW w:type="dxa" w:w="4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À 5 c. 5 sur les 3 matchs, TBL a 55.4% des tentatives Corsi (CF%). Tampa génère le volume.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E7D32"/>
                <w:sz w:val="18"/>
                <w:szCs w:val="18"/>
              </w:rPr>
              <w:t xml:space="preserve">✓ Confirmée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Montreal generates more high-danger chances.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NY Post</w:t>
            </w:r>
          </w:p>
        </w:tc>
        <w:tc>
          <w:tcPr>
            <w:tcW w:type="dxa" w:w="4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MTL a 75.0% des chances à haut danger et 56.1% des buts attendus. La qualité penche fortement vers Montréal.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E7D32"/>
                <w:sz w:val="18"/>
                <w:szCs w:val="18"/>
              </w:rPr>
              <w:t xml:space="preserve">✓ Confirmée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Vasilevskiy is more reliable than Dobes.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NY Post</w:t>
            </w:r>
          </w:p>
        </w:tc>
        <w:tc>
          <w:tcPr>
            <w:tcW w:type="dxa" w:w="4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Vasilevskiy : 75 tirs, 8 buts (SV 0.893); Dobes : 74 tirs, 7 buts (SV 0.905). À ce rythme Dobes est *légèrement supérieur*. Le narratif d'avant-série n'est pas soutenu par les 3 premiers matchs.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8B2A1A"/>
                <w:sz w:val="18"/>
                <w:szCs w:val="18"/>
              </w:rPr>
              <w:t xml:space="preserve">✗ Infirmée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Depth scoring is essential — contributors outside the top duo (Slafkovský / Anderson).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Habs Eyes On The Prize</w:t>
            </w:r>
          </w:p>
        </w:tc>
        <w:tc>
          <w:tcPr>
            <w:tcW w:type="dxa" w:w="4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En M3, les 3 buts de MTL viennent de Texier, Dach et Hutson — exactement le profil de profondeur recherché.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E7D32"/>
                <w:sz w:val="18"/>
                <w:szCs w:val="18"/>
              </w:rPr>
              <w:t xml:space="preserve">✓ Confirmée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Hagel is a consistent scorer (4th goal of the series).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NHL highlights</w:t>
            </w:r>
          </w:p>
        </w:tc>
        <w:tc>
          <w:tcPr>
            <w:tcW w:type="dxa" w:w="4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 buts en 3 matchs — taux de production exceptionnel à 5 c. 5 et confirmé par les données.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E7D32"/>
                <w:sz w:val="18"/>
                <w:szCs w:val="18"/>
              </w:rPr>
              <w:t xml:space="preserve">✓ Confirmée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Fast and physical (~163 hits across the first 2 games).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NY Post</w:t>
            </w:r>
          </w:p>
        </w:tc>
        <w:tc>
          <w:tcPr>
            <w:tcW w:type="dxa" w:w="4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Mises en échec : 163 sur M1+M2 (le NY Post mesurait avant le M3); le M3 ajoute 67 pour 230 sur la série.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E7D32"/>
                <w:sz w:val="18"/>
                <w:szCs w:val="18"/>
              </w:rPr>
              <w:t xml:space="preserve">✓ Confirmée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Series is tight (two straight overtime games).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CityNews Montreal</w:t>
            </w:r>
          </w:p>
        </w:tc>
        <w:tc>
          <w:tcPr>
            <w:tcW w:type="dxa" w:w="4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M2 et M3 ont tous deux exigé une prolongation. Sur les buts attendus à 5 c. 5, MTL mène 56-44 — l'écart est mince.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E7D32"/>
                <w:sz w:val="18"/>
                <w:szCs w:val="18"/>
              </w:rPr>
              <w:t xml:space="preserve">✓ Confirmée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Slafkovský "much less impactful" since the Hagel fight.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speculation / commentary</w:t>
            </w:r>
          </w:p>
        </w:tc>
        <w:tc>
          <w:tcPr>
            <w:tcW w:type="dxa" w:w="4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Vrai sur la production individuelle (8 → 2 tirs avant/après); faux sur l'impact sur la glace (MTL surclasse TBL 20-9 aux tirs et 2-1 aux buts après le combat). Voir section dédiée.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8A6D00"/>
                <w:sz w:val="18"/>
                <w:szCs w:val="18"/>
              </w:rPr>
              <w:t xml:space="preserve">◐ Mitigée / nuancée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F2F4A"/>
          <w:sz w:val="30"/>
          <w:szCs w:val="30"/>
        </w:rPr>
        <w:t xml:space="preserve">Slafkovský — avant et après le combat avec Hagel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Le combat Slafkovský–Hagel a eu lieu au **M2 période 2, 5:14**. Diviser ses événements sur la glace à cette seconde précise répond à la question plus directement que des découpages par match. Avant = M1 entier + M2 jusqu'à ce moment. Après = M2 à partir de ce moment + M3 entier.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70"/>
          <w:left w:type="dxa" w:w="120"/>
          <w:bottom w:type="dxa" w:w="70"/>
          <w:right w:type="dxa" w:w="120"/>
        </w:tblCellMar>
      </w:tblPr>
      <w:tblGrid>
        <w:gridCol w:w="3000"/>
        <w:gridCol w:w="3180"/>
        <w:gridCol w:w="318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Mesure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Avant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Après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TOI Slafkovský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+29.92 min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+34.95 min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Tirs cadrés (Slaf)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8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Buts (Slaf)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Tirs MTL sur la glace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16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20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Tirs TBL sur la glace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11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9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Buts MTL sur la glace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Buts TBL sur la glace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</w:tbl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40"/>
          <w:left w:type="dxa" w:w="220"/>
          <w:bottom w:type="dxa" w:w="140"/>
          <w:right w:type="dxa" w:w="220"/>
        </w:tblCellMar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11111"/>
                <w:sz w:val="22"/>
                <w:szCs w:val="22"/>
              </w:rPr>
              <w:t xml:space="preserve">Verdict sur le narratif « moins impactant »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Individuellement :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vrai. Sa génération de tirs s'est effondrée (4 → 2 → 1 par match; le clivage avant/après est 8 tirs contre 2). Buts : 3 à 0.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Sur la glace :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faux. Lorsque Slafkovský est sur la glace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après le combat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MTL surclasse TBL 20-9 aux tirs et 2-1 aux buts. Il étouffe les chances adverses, il ne les concède pas.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La lecture honnête :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son rôle est passé de moteur principal à ancrage défensif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. Est-ce tactique (St-Louis qui le protège) ou psychologique (réticence post-combat) — seule la voix du coach pourra trancher. Les données, elles, montrent qu'il aide encore son trio à gagner, à un coût personnel moindre.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F2F4A"/>
          <w:sz w:val="30"/>
          <w:szCs w:val="30"/>
        </w:rPr>
        <w:t xml:space="preserve">État de la série (5 c. 5, trois matchs)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Voici le portrait des chiffres sous-jacents sur les trois matchs. Les deux affirmations clés du New York Post — TBL « tilte la glace », MTL « génère plus de chances à haut danger » — sont vraies en même temps. Armes différentes.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70"/>
          <w:left w:type="dxa" w:w="120"/>
          <w:bottom w:type="dxa" w:w="70"/>
          <w:right w:type="dxa" w:w="120"/>
        </w:tblCellMar>
      </w:tblPr>
      <w:tblGrid>
        <w:gridCol w:w="4000"/>
        <w:gridCol w:w="2680"/>
        <w:gridCol w:w="2680"/>
      </w:tblGrid>
      <w:tr>
        <w:trPr>
          <w:tblHeader/>
        </w:trP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Mesure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MTL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TBL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Matchs joués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CF%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44.6%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55.4%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xGF%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56.1%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43.9%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HDCF%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75.0%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25.0%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SF / SA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48 / 52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52 / 48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GF / GA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 / 5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 / 5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xGF / xGA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5.11 / 4.00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4.00 / 5.11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PDO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1.008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0.992</w:t>
            </w:r>
          </w:p>
        </w:tc>
      </w:tr>
    </w:tbl>
    <w:p>
      <w:pPr>
        <w:pStyle w:val="Heading1"/>
      </w:pPr>
      <w:r>
        <w:rPr>
          <w:rFonts w:ascii="Arial" w:cs="Arial" w:eastAsia="Arial" w:hAnsi="Arial"/>
          <w:b/>
          <w:bCs/>
          <w:color w:val="1F2F4A"/>
          <w:sz w:val="30"/>
          <w:szCs w:val="30"/>
        </w:rPr>
        <w:t xml:space="preserve">Stabilité des formations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L'utilisateur a noté que MTL a conservé la formation du Match 2 pour le Match 3. Les principales combinaisons à cinq joueurs sur la glace confirment que les deux équipes ont gardé leurs trios ancrés; les différences relèvent du micro-déploiement, pas d'un remaniement.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70"/>
          <w:left w:type="dxa" w:w="120"/>
          <w:bottom w:type="dxa" w:w="70"/>
          <w:right w:type="dxa" w:w="120"/>
        </w:tblCellMar>
      </w:tblPr>
      <w:tblGrid>
        <w:gridCol w:w="1300"/>
        <w:gridCol w:w="4030"/>
        <w:gridCol w:w="4030"/>
      </w:tblGrid>
      <w:tr>
        <w:trPr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Match</w:t>
            </w:r>
          </w:p>
        </w:tc>
        <w:tc>
          <w:tcPr>
            <w:tcW w:type="dxa" w:w="40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MTL — combinaisons les plus jouées</w:t>
            </w:r>
          </w:p>
        </w:tc>
        <w:tc>
          <w:tcPr>
            <w:tcW w:type="dxa" w:w="40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TBL — combinaisons les plus jouées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Game 2</w:t>
            </w:r>
          </w:p>
        </w:tc>
        <w:tc>
          <w:tcPr>
            <w:tcW w:type="dxa" w:w="40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2.0 min — Mike Matheson, Jake Evans, Alexandre Carrier, Alex Newhook, Jakub Dobes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>1.6 min — Phillip Danault, Mike Matheson, Josh Anderson, Alexandre Carrier, Jakub Dobes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>1.6 min — Phillip Danault, Mike Matheson, Josh Anderson, Kaiden Guhle, Jakub Dobes</w:t>
            </w:r>
          </w:p>
        </w:tc>
        <w:tc>
          <w:tcPr>
            <w:tcW w:type="dxa" w:w="40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1.9 min — Ryan McDonagh, Andrei Vasilevskiy, Erik Cernak, Anthony Cirelli, Brandon Hagel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>1.4 min — Andrei Vasilevskiy, Erik Cernak, Anthony Cirelli, Brandon Hagel, J.J. Moser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>1.3 min — Ryan McDonagh, Andrei Vasilevskiy, Erik Cernak, Anthony Cirelli, Gage Goncalves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Game 3</w:t>
            </w:r>
          </w:p>
        </w:tc>
        <w:tc>
          <w:tcPr>
            <w:tcW w:type="dxa" w:w="40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3.6 min — Mike Matheson, Jake Evans, Alexandre Carrier, Alex Newhook, Jakub Dobes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>1.2 min — Phillip Danault, Josh Anderson, Kaiden Guhle, Jakub Dobes, Lane Hutson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>1.2 min — Phillip Danault, Josh Anderson, Alexandre Carrier, Kaiden Guhle, Jakub Dobes</w:t>
            </w:r>
          </w:p>
        </w:tc>
        <w:tc>
          <w:tcPr>
            <w:tcW w:type="dxa" w:w="40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1.9 min — Ryan McDonagh, Andrei Vasilevskiy, Erik Cernak, Anthony Cirelli, Brandon Hagel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>1.2 min — Yanni Gourde, Zemgus Girgensons, Andrei Vasilevskiy, J.J. Moser, Emil Lilleberg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>1.1 min — Ryan McDonagh, Andrei Vasilevskiy, Jake Guentzel, Erik Cernak, Anthony Cirelli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F2F4A"/>
          <w:sz w:val="30"/>
          <w:szCs w:val="30"/>
        </w:rPr>
        <w:t xml:space="preserve">Progression des joueurs — saison régulière → séries 2026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Pour chaque patineur du CH avec ≥ 200 minutes 5 c. 5 en saison et ≥ 15 minutes en séries, on compare l'impact net isolé (xGF/60 − xGA/60). Les progressions positives indiquent un joueur qui en fait plus en séries que ne le suggérait la saison régulière; les régressions, l'inverse.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2F4A70"/>
          <w:sz w:val="22"/>
          <w:szCs w:val="22"/>
        </w:rPr>
        <w:t xml:space="preserve">Plus grandes progressions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70"/>
          <w:left w:type="dxa" w:w="120"/>
          <w:bottom w:type="dxa" w:w="70"/>
          <w:right w:type="dxa" w:w="120"/>
        </w:tblCellMar>
      </w:tblPr>
      <w:tblGrid>
        <w:gridCol w:w="1900"/>
        <w:gridCol w:w="500"/>
        <w:gridCol w:w="1500"/>
        <w:gridCol w:w="1100"/>
        <w:gridCol w:w="1100"/>
        <w:gridCol w:w="1100"/>
        <w:gridCol w:w="1100"/>
        <w:gridCol w:w="1060"/>
      </w:tblGrid>
      <w:tr>
        <w:trPr>
          <w:tblHeader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Joueur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Pos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TOI rég / sér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iso xGF/60 rég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iso xGF/60 sér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iso xGA/60 rég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iso xGA/60 sér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Δ net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Arber Xhekaj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715 / 31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-0.76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+1.15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-0.16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-1.42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+3.17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Zachary Bolduc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919 / 29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+0.14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+2.00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-0.23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-1.18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+2.81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Jayden Struble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799 / 37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-0.11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+1.50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-0.09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-0.92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+2.45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Kirby Dach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440 / 28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-0.23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+0.94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-0.15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-0.98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+1.99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Phillip Danault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919 / 36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-0.42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+1.69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-0.08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+0.56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+1.47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Oliver Kapanen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933 / 26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-0.27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+0.65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+0.72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+0.19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+1.46</w:t>
            </w:r>
          </w:p>
        </w:tc>
      </w:tr>
    </w:tbl>
    <w:p>
      <w:pPr>
        <w:spacing w:after="60" w:before="200"/>
      </w:pPr>
      <w:r>
        <w:rPr>
          <w:rFonts w:ascii="Arial" w:cs="Arial" w:eastAsia="Arial" w:hAnsi="Arial"/>
          <w:b/>
          <w:bCs/>
          <w:color w:val="2F4A70"/>
          <w:sz w:val="22"/>
          <w:szCs w:val="22"/>
        </w:rPr>
        <w:t xml:space="preserve">Plus grandes régressions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70"/>
          <w:left w:type="dxa" w:w="120"/>
          <w:bottom w:type="dxa" w:w="70"/>
          <w:right w:type="dxa" w:w="120"/>
        </w:tblCellMar>
      </w:tblPr>
      <w:tblGrid>
        <w:gridCol w:w="1900"/>
        <w:gridCol w:w="500"/>
        <w:gridCol w:w="1500"/>
        <w:gridCol w:w="1100"/>
        <w:gridCol w:w="1100"/>
        <w:gridCol w:w="1100"/>
        <w:gridCol w:w="1100"/>
        <w:gridCol w:w="1060"/>
      </w:tblGrid>
      <w:tr>
        <w:trPr>
          <w:tblHeader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Joueur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Pos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TOI rég / sér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iso xGF/60 rég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iso xGF/60 sér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iso xGA/60 rég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iso xGA/60 sér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Δ net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Lane Hutson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1502 / 59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+0.71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+0.18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-0.42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+1.30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-2.26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Cole Caufield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1086 / 41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+0.72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-1.23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-0.28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-0.22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-2.01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Nick Suzuki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1203 / 45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+0.56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-1.04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-0.22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-0.31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-1.51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Kaiden Guhle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658 / 55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-0.28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+0.03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-0.06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+1.64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-1.38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Alex Newhook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494 / 36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-0.50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-1.19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+0.22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+0.69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-1.16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Juraj Slafkovský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1138 / 44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+0.29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-1.10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+0.24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-0.40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-0.75</w:t>
            </w:r>
          </w:p>
        </w:tc>
      </w:tr>
    </w:tbl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40"/>
          <w:left w:type="dxa" w:w="220"/>
          <w:bottom w:type="dxa" w:w="140"/>
          <w:right w:type="dxa" w:w="220"/>
        </w:tblCellMar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6E0" w:val="clea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11111"/>
                <w:sz w:val="22"/>
                <w:szCs w:val="22"/>
              </w:rPr>
              <w:t xml:space="preserve"/>
            </w:r>
          </w:p>
          <w:p>
            <w:pPr>
              <w:spacing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Note sur les régressions : Hutson, Caufield et Suzuki ont tous marqué dans la série. La régression d'impact isolé ne porte pas sur les buts — elle porte sur la part de buts attendus de l'équipe lorsqu'ils sont sur la glace. Ils convertissent (bien), mais le jeu sous-jacent est sous leur standard de saison régulière (à surveiller).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F2F4A"/>
          <w:sz w:val="30"/>
          <w:szCs w:val="30"/>
        </w:rPr>
        <w:t xml:space="preserve">Gardiens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Le NY Post a qualifié Vasilevskiy de « plus fiable » avant la série. Sur trois matchs, la charge de travail est sensiblement équivalente (le M3 est l'exception), et le pourcentage d'arrêts implicite de Dobes est en fait légèrement supérieur à celui de Vasilevskiy. La réputation porte le narratif d'avant-série; les données des trois premiers matchs ne le soutiennent pas.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70"/>
          <w:left w:type="dxa" w:w="120"/>
          <w:bottom w:type="dxa" w:w="70"/>
          <w:right w:type="dxa" w:w="120"/>
        </w:tblCellMar>
      </w:tblPr>
      <w:tblGrid>
        <w:gridCol w:w="3360"/>
        <w:gridCol w:w="3000"/>
        <w:gridCol w:w="3000"/>
      </w:tblGrid>
      <w:tr>
        <w:trPr>
          <w:tblHeader/>
        </w:trPr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Mesure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Vasilevskiy (TBL)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Dobes (MTL)</w:t>
            </w:r>
          </w:p>
        </w:tc>
      </w:tr>
      <w:tr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Tirs subis (3 matchs)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75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74</w:t>
            </w:r>
          </w:p>
        </w:tc>
      </w:tr>
      <w:tr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Buts accordés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9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8</w:t>
            </w:r>
          </w:p>
        </w:tc>
      </w:tr>
      <w:tr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SV% implicite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0.880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0.892</w:t>
            </w:r>
          </w:p>
        </w:tc>
      </w:tr>
      <w:tr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Charge par match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25.0 tirs/match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24.7 tirs/match</w:t>
            </w:r>
          </w:p>
        </w:tc>
      </w:tr>
    </w:tbl>
    <w:p>
      <w:pPr>
        <w:pStyle w:val="Heading1"/>
      </w:pPr>
      <w:r>
        <w:rPr>
          <w:rFonts w:ascii="Arial" w:cs="Arial" w:eastAsia="Arial" w:hAnsi="Arial"/>
          <w:b/>
          <w:bCs/>
          <w:color w:val="1F2F4A"/>
          <w:sz w:val="30"/>
          <w:szCs w:val="30"/>
        </w:rPr>
        <w:t xml:space="preserve">Ce que les données ne disent pas encore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Si la baisse de tirs de Slafkovský après le combat est psychologique ou tactique. Le modèle ne voit que son temps de jeu et ce qui s'y passe.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Combien de l'avantage qualité du CH est soutenable contre un Vasilevskiy qui n'a pas encore joué à son sommet habituel. La régression PDO va dans les deux sens.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Comment TBL ajustera sa formation au Match 4 — et si son avantage numérique (qui a produit leur seul but au M3) obtient plus de chances. La variance arbitrale est une inconnue.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Si la fatigue des séries a frappé un joueur en particulier — le TOI sur petit échantillon et la densité des présences ne suffisent pas à le dire.</w:t>
      </w:r>
    </w:p>
    <w:p>
      <w:pPr>
        <w:pStyle w:val="Heading1"/>
      </w:pPr>
      <w:r>
        <w:rPr>
          <w:rFonts w:ascii="Arial" w:cs="Arial" w:eastAsia="Arial" w:hAnsi="Arial"/>
          <w:b/>
          <w:bCs/>
          <w:color w:val="1F2F4A"/>
          <w:sz w:val="30"/>
          <w:szCs w:val="30"/>
        </w:rPr>
        <w:t xml:space="preserve">Sources</w:t>
      </w:r>
    </w:p>
    <w:p>
      <w:pPr>
        <w:pStyle w:val="ListParagraph"/>
        <w:numPr>
          <w:ilvl w:val="0"/>
          <w:numId w:val="2"/>
        </w:numPr>
        <w:spacing w:after="60"/>
      </w:pPr>
      <w:hyperlink w:history="1" r:id="rIddjw3-pym3p6ksrrcdqc1x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Natural Stat Trick — totaux d'équipe et de joueurs des séries LNH 25-26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xok34kf_zhducbwdzmgdv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API jeu par jeu de LNH.com (présences et événements)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y4lxaplg-l_dxt1exkdps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New York Post — analyse Lightning vs Canadiens M3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88u3s0vz-0gujfwz23zyn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Habs Eyes On The Prize — aperçu du Match 3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yhbaj1jwnprq2cjbrgtyq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HockeyDB — sommaire du Match 3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aafhf8oy8pgqgvhapfiwz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CityNews Montréal — couverture de la série</w:t>
        </w:r>
      </w:hyperlink>
    </w:p>
    <w:sectPr>
      <w:headerReference w:type="default" r:id="rId6"/>
      <w:footerReference w:type="default" r:id="rId7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left"/>
    </w:pPr>
    <w:r>
      <w:rPr>
        <w:rFonts w:ascii="Arial" w:cs="Arial" w:eastAsia="Arial" w:hAnsi="Arial"/>
        <w:color w:val="666666"/>
        <w:sz w:val="14"/>
        <w:szCs w:val="14"/>
      </w:rPr>
      <w:t xml:space="preserve">Lemieux · analytique de hockey à code source ouvert · github.com/lemieuxAI/framework   </w:t>
    </w:r>
    <w:r>
      <w:rPr>
        <w:rFonts w:ascii="Arial" w:cs="Arial" w:eastAsia="Arial" w:hAnsi="Arial"/>
        <w:color w:val="666666"/>
        <w:sz w:val="14"/>
        <w:szCs w:val="14"/>
      </w:rPr>
      <w:t xml:space="preserve">Page </w:t>
    </w:r>
    <w:r>
      <w:rPr>
        <w:rFonts w:ascii="Arial" w:cs="Arial" w:eastAsia="Arial" w:hAnsi="Arial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left"/>
    </w:pPr>
    <w:r>
      <w:rPr>
        <w:rFonts w:ascii="Arial" w:cs="Arial" w:eastAsia="Arial" w:hAnsi="Arial"/>
        <w:color w:val="A6192E"/>
        <w:sz w:val="16"/>
        <w:szCs w:val="16"/>
      </w:rPr>
      <w:t xml:space="preserve">◆  </w:t>
    </w:r>
    <w:r>
      <w:rPr>
        <w:rFonts w:ascii="Arial" w:cs="Arial" w:eastAsia="Arial" w:hAnsi="Arial"/>
        <w:b/>
        <w:bCs/>
        <w:color w:val="1F2F4A"/>
        <w:spacing w:val="60"/>
        <w:sz w:val="16"/>
        <w:szCs w:val="16"/>
      </w:rPr>
      <w:t xml:space="preserve">LEMIEUX · Analyse du match 3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◆"/>
      <w:lvlJc w:val="left"/>
      <w:pPr>
        <w:ind w:left="540" w:hanging="280"/>
      </w:pPr>
      <w:rPr>
        <w:color w:val="A6192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11111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280" w:after="140"/>
      <w:outlineLvl w:val="0"/>
    </w:pPr>
    <w:rPr>
      <w:rFonts w:ascii="Arial" w:cs="Arial" w:eastAsia="Arial" w:hAnsi="Arial"/>
      <w:b/>
      <w:bCs/>
      <w:color w:val="1F2F4A"/>
      <w:sz w:val="30"/>
      <w:szCs w:val="30"/>
    </w:rPr>
  </w:style>
  <w:style w:type="paragraph" w:styleId="Heading2">
    <w:name w:val="Heading 2"/>
    <w:basedOn w:val="Normal"/>
    <w:next w:val="Normal"/>
    <w:qFormat/>
    <w:pPr>
      <w:spacing w:before="200" w:after="100"/>
      <w:outlineLvl w:val="1"/>
    </w:pPr>
    <w:rPr>
      <w:rFonts w:ascii="Arial" w:cs="Arial" w:eastAsia="Arial" w:hAnsi="Arial"/>
      <w:b/>
      <w:bCs/>
      <w:color w:val="2F4A7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djw3-pym3p6ksrrcdqc1x" Type="http://schemas.openxmlformats.org/officeDocument/2006/relationships/hyperlink" Target="https://www.naturalstattrick.com/" TargetMode="External"/><Relationship Id="rIdxok34kf_zhducbwdzmgdv" Type="http://schemas.openxmlformats.org/officeDocument/2006/relationships/hyperlink" Target="https://api-web.nhle.com/v1/gamecenter/" TargetMode="External"/><Relationship Id="rIdy4lxaplg-l_dxt1exkdps" Type="http://schemas.openxmlformats.org/officeDocument/2006/relationships/hyperlink" Target="https://nypost.com/2026/04/24/betting/lightning-vs-canadiens-game-3-prediction-nhl-picks-odds-best-bets-for-stanley-cup-playoffs/" TargetMode="External"/><Relationship Id="rId88u3s0vz-0gujfwz23zyn" Type="http://schemas.openxmlformats.org/officeDocument/2006/relationships/hyperlink" Target="https://www.habseyesontheprize.com/" TargetMode="External"/><Relationship Id="rIdyhbaj1jwnprq2cjbrgtyq" Type="http://schemas.openxmlformats.org/officeDocument/2006/relationships/hyperlink" Target="https://www.hockeydb.com/boxscores/20260424-45-55.html" TargetMode="External"/><Relationship Id="rIdaafhf8oy8pgqgvhapfiwz" Type="http://schemas.openxmlformats.org/officeDocument/2006/relationships/hyperlink" Target="https://montreal.citynews.ca/2026/04/24/habs-lightning-montreal-series-hockey/" TargetMode="External"/><Relationship Id="rId14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Match 3 — Lightning au Canadien</dc:title>
  <dc:creator>Lemieux</dc:creator>
  <cp:lastModifiedBy>Un-named</cp:lastModifiedBy>
  <cp:revision>1</cp:revision>
  <dcterms:created xsi:type="dcterms:W3CDTF">2026-04-25T19:05:48.964Z</dcterms:created>
  <dcterms:modified xsi:type="dcterms:W3CDTF">2026-04-25T19:05:48.964Z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