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60"/>
      </w:pPr>
      <w:r>
        <w:rPr>
          <w:rFonts w:ascii="Arial" w:cs="Arial" w:eastAsia="Arial" w:hAnsi="Arial"/>
          <w:b/>
          <w:bCs/>
          <w:color w:val="1F2F4A"/>
          <w:sz w:val="44"/>
          <w:szCs w:val="44"/>
        </w:rPr>
        <w:t xml:space="preserve">Classement des joueurs du CH — séries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F4A70"/>
          <w:sz w:val="24"/>
          <w:szCs w:val="24"/>
        </w:rPr>
        <w:t xml:space="preserve">Trois matchs de statistiques avancées — qui fait bouger l'aiguille à Montréal</w:t>
      </w:r>
    </w:p>
    <w:p>
      <w:pPr>
        <w:pBdr>
          <w:bottom w:val="single" w:color="A6192E" w:sz="12" w:space="4"/>
        </w:pBd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Publié 2026-04-26 · Round 1 vs TBL (MTL leads 2-1) · Après 3 matchs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L'essentiel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Trois meilleurs en impact net isolé à 5 c. 5 : Bolduc, Xhekaj, Struble.</w:t>
      </w:r>
      <w:r>
        <w:rPr>
          <w:rFonts w:ascii="Arial" w:cs="Arial" w:eastAsia="Arial" w:hAnsi="Arial"/>
          <w:sz w:val="20"/>
          <w:szCs w:val="20"/>
        </w:rPr>
        <w:t xml:space="preserve"> Bolduc en tête à +3,18 xG/60 net (xGF/60 +2,00, xGA/60 -1,18); Xhekaj deuxième à +2,57; Struble troisième à +2,43. Aucun des trois n'est sur la première unité d'avantage numérique; tous sont quatrièmes attaquants ou troisièmes défenseurs par déploiement. La profondeur fait le travail sous-jacent.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Trois pires en impact net : Newhook, Guhle, Matheson.</w:t>
      </w:r>
      <w:r>
        <w:rPr>
          <w:rFonts w:ascii="Arial" w:cs="Arial" w:eastAsia="Arial" w:hAnsi="Arial"/>
          <w:sz w:val="20"/>
          <w:szCs w:val="20"/>
        </w:rPr>
        <w:t xml:space="preserve"> Newhook est le plus négatif à -1,89 (xGF/60 fortement négatif *et* xGA/60 positif); Guhle et Matheson — les deux défenseurs avec les plus grosses minutes après Hutson — sont sous l'eau à temps de glace élevé. Hutson est 4e en partant du bas à -1,12 malgré ses buts — ses 59 minutes lui donnent l'exposition défensive la plus lourde de l'équipe.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Trois meilleurs au pointage : Slafkovský (3B 0P), Hutson (2B 1P), Caufield (0B 3P).</w:t>
      </w:r>
      <w:r>
        <w:rPr>
          <w:rFonts w:ascii="Arial" w:cs="Arial" w:eastAsia="Arial" w:hAnsi="Arial"/>
          <w:sz w:val="20"/>
          <w:szCs w:val="20"/>
        </w:rPr>
        <w:t xml:space="preserve"> Trois joueurs à égalité avec 3 points, mais la décomposition compte — Slafkovský n'a que des buts (3B/0A), Hutson 2B/1A, Caufield 0B/3A. Suzuki est aussi à 3 points (0B/3A); le capitaine crée sans finir.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Avis sur la taille d'échantillon :</w:t>
      </w:r>
      <w:r>
        <w:rPr>
          <w:rFonts w:ascii="Arial" w:cs="Arial" w:eastAsia="Arial" w:hAnsi="Arial"/>
          <w:sz w:val="20"/>
          <w:szCs w:val="20"/>
        </w:rPr>
        <w:t xml:space="preserve"> chaque chiffre d'impact isolé ici repose sur 15 à 60 minutes de 5 c. 5 par joueur. Les intervalles de confiance sont larges; les classements peuvent basculer en un seul match. Lisez les directions, pas les amplitudes.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F4A70"/>
          <w:sz w:val="24"/>
          <w:szCs w:val="24"/>
        </w:rPr>
        <w:t xml:space="preserve">Comment lire ce rapport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left w:type="dxa" w:w="220"/>
          <w:bottom w:type="dxa" w:w="140"/>
          <w:right w:type="dxa" w:w="2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isolé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taux sur la glace moins taux de l'équipe sans le joueur. iso_xGF/60 = offensive (haut = mieux); iso_xGA/60 = défensive (bas = mieux — négatif est bon). Net = iso_xGF/60 − iso_xGA/60.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Échantillon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: 3 matchs des séries. Le TG à 5 c. 5 par joueur va de 15 à 60 minutes. Petit selon n'importe quel critère. Les taux d'impact isolé sont stables directionnellement, bruyants en amplitude.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: totaux NST 25-26 séries (5 c. 5 / 5 c. 4) et API jeu par jeu de LNH.com (buts et passes individuels). Le pourcentage d'arrêts du gardien est calculé directement à partir des événements PBP.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1. À 5 c. 5 — classement complet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Tous les patineurs du CH avec au moins 15 minutes à 5 c. 5. Triés par impact net isolé (décroissant). Lignes vertes = net positif; rouges = négatif.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2400"/>
        <w:gridCol w:w="600"/>
        <w:gridCol w:w="500"/>
        <w:gridCol w:w="900"/>
        <w:gridCol w:w="1500"/>
        <w:gridCol w:w="15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PJ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xGA/60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Zachary Bolduc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+3,18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Arber Xhekaj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30.7m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-1,42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+2,57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Jayden Struble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36.8m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-0,92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+2,43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+0,94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-0,98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+1,91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36.0m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+1,69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+0,56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+1,13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34.4m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-0,33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+0,58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Oliver Kapanen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26.0m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+0,19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+0,47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Jake Evans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34.6m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+0,90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-0,16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Josh Anderson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36.5m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+0,49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-0,17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Carrier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50.7m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-0,60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-0,55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43.5m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-0,40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-0,31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33.4m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-0,53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+0,20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-1,23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-0,22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59.2m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+1,30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Mike Matheson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51.1m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-1,61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-0,47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Kaiden Guhle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55.0m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+1,64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-1,61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 Newhook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35.8m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+0,69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-1,89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2. Avantage numérique (5 c. 4) — classement offensif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iso_xGF/60 seulement à 5 c. 4 (la défense n'est pas la question en avantage numérique). Note : les échantillons PP par joueur vont de 5 à 20 minutes — ces chiffres bougent énormément avec une ou deux occasions de plus. À lire comme un portrait de déploiement, pas comme un verdict sur PP1 contre PP2.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500"/>
        <w:gridCol w:w="800"/>
        <w:gridCol w:w="1500"/>
        <w:gridCol w:w="35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xGF/60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18.6m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+7,11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+6,97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+6,94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19.0m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+6,72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20.1m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+5,40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3. Production individuelle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Buts, passes principales, passes secondaires, tirs au but — toutes situations, dérivés directement des événements de but et des passes du jeu par jeu LNH.com.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700"/>
        <w:gridCol w:w="800"/>
        <w:gridCol w:w="800"/>
        <w:gridCol w:w="800"/>
        <w:gridCol w:w="1000"/>
        <w:gridCol w:w="226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Josh Anderson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Zachary Bolduc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Carrier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Mike Matheson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Arber Xhekaj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Jake Evans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4. Comparaison avec la saison régulière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Pour chaque joueur avec ≥ 200 minutes de 5 c. 5 en saison et ≥ 15 minutes en séries, écart d'impact net isolé (séries moins saison). Progressions positives : au-dessus du standard de saison; négatives : en deçà.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2700"/>
        <w:gridCol w:w="600"/>
        <w:gridCol w:w="1100"/>
        <w:gridCol w:w="1500"/>
        <w:gridCol w:w="1500"/>
        <w:gridCol w:w="19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rég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séries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Arber Xhekaj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715 / 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+2,57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+3,17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Zachary Bolduc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919 / 29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+3,18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+2,81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Jayden Struble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799 / 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+2,43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+2,45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Kirby Dach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440 / 28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+1,91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+1,99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Phillip Danault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919 / 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+1,13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+1,47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Oliver Kapanen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934 / 26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+0,47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+1,46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Josh Anderson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808 / 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-0,49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-0,17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+0,33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Texier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616 / 34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+0,31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+0,58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+0,27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Jake Evans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 / 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-0,16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-0,03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Ivan Demidov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932 / 33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-0,30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-0,43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Mike Matheson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1439 / 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-0,56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-1,14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-0,58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Alexandre Carrier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1119 / 51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-0,55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-0,61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Juraj Slafkovský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1138 / 44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 Newhook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 / 36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-1,89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-1,16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Kaiden Guhle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658 / 55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-1,61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-1,38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Nick Suzuki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1203 / 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+0,78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-0,73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-1,51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 Caufield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1086 / 41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-1,01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-2,01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Lane Hutson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1502 / 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+1,14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-1,12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-2,26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5. Les gardiens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Dobeš a joué les trois matchs. Le pourcentage d'arrêts est implicite (1 − BC/TS) à partir des tirs subis dans le jeu par jeu.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20"/>
          <w:bottom w:type="dxa" w:w="70"/>
          <w:right w:type="dxa" w:w="120"/>
        </w:tblCellMar>
      </w:tblPr>
      <w:tblGrid>
        <w:gridCol w:w="3000"/>
        <w:gridCol w:w="1300"/>
        <w:gridCol w:w="1700"/>
        <w:gridCol w:w="1700"/>
        <w:gridCol w:w="16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Joueur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F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arrêts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Jakub Dobeš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0,892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6. Ce que les chiffres ne disent pas encore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la production de la profondeur à 5 c. 5 est signal ou séquençage — elle tient sur trois matchs mais peut être une question de confrontations.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Combien de la régression des vedettes vient des confrontations imposées par Cooper plutôt que d'une dérive structurelle.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les chiffres PP1 reflètent une création répétable ou quelques bonnes chances. Les échantillons PP sont minuscules.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Comparaison gardiens vs. Vasilevskiy : les pourcentages d'arrêts cumulés sur la série sont presque identiques (les deux autour de ,89), mais la variance par match est grande. Les prochains matchs vont vite remodeler cette vue.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2F4A"/>
          <w:sz w:val="30"/>
          <w:szCs w:val="30"/>
        </w:rPr>
        <w:t xml:space="preserve">7. 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pcooflmgkuvvwhazbic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Natural Stat Trick — totaux d'équipe et de joueurs séries LNH 25-26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szsfnrb13bq0dkx-kil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API jeu par jeu LNH.com (événements, passes, tirs)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3quqb91hsbffoamhdlh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Cadriciel Lemieux — analyseur à examples/habs_round1_2026/playoff_rankings.py</w:t>
        </w:r>
      </w:hyperlink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color w:val="666666"/>
        <w:sz w:val="14"/>
        <w:szCs w:val="14"/>
      </w:rPr>
      <w:t xml:space="preserve">Lemieux · analytique de hockey à code source ouvert · github.com/lemieuxAI/framework   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color w:val="A6192E"/>
        <w:sz w:val="16"/>
        <w:szCs w:val="16"/>
      </w:rPr>
      <w:t xml:space="preserve">◆  </w:t>
    </w:r>
    <w:r>
      <w:rPr>
        <w:rFonts w:ascii="Arial" w:cs="Arial" w:eastAsia="Arial" w:hAnsi="Arial"/>
        <w:b/>
        <w:bCs/>
        <w:color w:val="1F2F4A"/>
        <w:spacing w:val="60"/>
        <w:sz w:val="16"/>
        <w:szCs w:val="16"/>
      </w:rPr>
      <w:t xml:space="preserve">LEMIEUX · Classement séries 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280"/>
      </w:pPr>
      <w:rPr>
        <w:color w:val="A61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2F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4A7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pcooflmgkuvvwhazbicb" Type="http://schemas.openxmlformats.org/officeDocument/2006/relationships/hyperlink" Target="https://www.naturalstattrick.com/" TargetMode="External"/><Relationship Id="rIdqszsfnrb13bq0dkx-kilf" Type="http://schemas.openxmlformats.org/officeDocument/2006/relationships/hyperlink" Target="https://api-web.nhle.com/v1/gamecenter/" TargetMode="External"/><Relationship Id="rIdm3quqb91hsbffoamhdlho" Type="http://schemas.openxmlformats.org/officeDocument/2006/relationships/hyperlink" Target="https://github.com/lemieuxAI/framewor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Classement des joueurs du CH — séries 2026</dc:title>
  <dc:creator>Lemieux</dc:creator>
  <cp:lastModifiedBy>Un-named</cp:lastModifiedBy>
  <cp:revision>1</cp:revision>
  <dcterms:created xsi:type="dcterms:W3CDTF">2026-04-26T17:27:46.217Z</dcterms:created>
  <dcterms:modified xsi:type="dcterms:W3CDTF">2026-04-26T17:27:46.217Z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