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after="80"/>
      </w:pPr>
      <w:r>
        <w:rPr>
          <w:rFonts w:ascii="Arial" w:cs="Arial" w:eastAsia="Arial" w:hAnsi="Arial"/>
          <w:b/>
          <w:bCs/>
          <w:color w:val="1F2F4A"/>
          <w:sz w:val="36"/>
          <w:szCs w:val="36"/>
        </w:rPr>
        <w:t xml:space="preserve">Classement de la 1ʳᵉ période — CH c. Lightning, Match 4 (26 avril 2026)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TBL 0 – 0 MTL après P1 · le CH mène 2–1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Ce que la P1 a révélé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Marque 0–0, mais Tampa a dirigé la période.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Corsi 5 c. 5 : MTL 9 – TBL 15 (37,5 % CH). Tentatives à haut danger : MTL 2 – TBL 7. Le blanchissage est une performance de Dobeš, pas une victoire structurelle du 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Brayden Point est le joueur de la période, toutes équipes confondues.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5 tentatives individuelles à haut danger en 6:08 — à lui seul plus de chances en zone payante que n'importe quel patineur du CH. Kucherov / Hagel actifs aussi. Le top 6 de Tampa a mangé.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La thèse d'avant-match a sous-performé en P1.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Texier–Dach–Bolduc, lancé contre la nouvelle paire Lilleberg–Crozier, a généré 1 tir au but et 1 tentative à haut danger (pointage de trio 2,2). Le trio de Suzuki a été le meilleur du CH (4 TB, 4 CHD, pointage 6,5) — inversant le patron du M3.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Niveau d'équipe en P1 (5 c. 5 sauf indication)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Toutes les tentatives (Corsi), tentatives à haut danger (CHD ≈ rondelles tirées à 22 pi ou moins du but), tirs au but, mises en échec, buts.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200"/>
        <w:gridCol w:w="1800"/>
        <w:gridCol w:w="1400"/>
        <w:gridCol w:w="118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Équipe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Corsi (5 c. 5)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Tent. CHD (5 c. 5)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 (toutes)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M.É.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Buts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MTL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TBL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Classement combiné — les deux équipes (top 12, bas 5)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Trié par pointage composite. Patineurs sous 1,0 min de TG filtrés.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700"/>
        <w:gridCol w:w="800"/>
        <w:gridCol w:w="800"/>
        <w:gridCol w:w="700"/>
        <w:gridCol w:w="700"/>
        <w:gridCol w:w="700"/>
        <w:gridCol w:w="700"/>
        <w:gridCol w:w="900"/>
        <w:gridCol w:w="8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Joueur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B–A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CHDi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Blq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M.É.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Réc/Rev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Pointage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TBL B. Point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6.1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5.35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MTL J. Slafkovský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6.4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3.30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MTL N. Suzuki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6.1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2.55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MTL J. Struble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3.4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2.00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TBL N. Kucherov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7.4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1.90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MTL K. Dach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4.2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1.65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MTL L. Hutson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9.1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1.55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MTL K. Guhle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6.9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1.50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MTL O. Kapanen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4.2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1.50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TBL J. Moser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7.6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1.30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MTL M. Matheson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7.6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0.90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MTL J. Anderson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4.1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0.90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Bas 5 par pointage (patineurs avec ≥ 2 min de TG)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700"/>
        <w:gridCol w:w="800"/>
        <w:gridCol w:w="800"/>
        <w:gridCol w:w="700"/>
        <w:gridCol w:w="700"/>
        <w:gridCol w:w="700"/>
        <w:gridCol w:w="700"/>
        <w:gridCol w:w="900"/>
        <w:gridCol w:w="8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Joueur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B–A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CHDi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Blq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M.É.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Réc/Rev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Pointage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TBL B. Hagel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8.1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0.00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TBL A. Cirelli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6.6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0.00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TBL M. Crozier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4.3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0.00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MTL P. Danault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4.3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-0.50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TBL N. Paul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2.0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-0.50</w:t>
            </w:r>
          </w:p>
        </w:tc>
      </w:tr>
    </w:tbl>
    <w:p>
      <w:r>
        <w:br w:type="pag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CH — classement complet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700"/>
        <w:gridCol w:w="800"/>
        <w:gridCol w:w="800"/>
        <w:gridCol w:w="700"/>
        <w:gridCol w:w="700"/>
        <w:gridCol w:w="700"/>
        <w:gridCol w:w="700"/>
        <w:gridCol w:w="900"/>
        <w:gridCol w:w="8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Joueur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B–A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CHDi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Blq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M.É.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Réc/Rev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Pointage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J. Slafkovský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6.4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3.30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N. Suzuki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6.1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2.55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J. Struble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3.4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2.00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K. Dach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4.2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1.65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L. Hutson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9.1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1.55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O. Kapanen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4.2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1.50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K. Guhle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6.9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1.50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J. Anderson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4.1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0.90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M. Matheson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7.6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0.90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J. Evans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5.1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0.75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A. Xhekaj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3.0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0.75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C. Caufield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5.4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0.65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A. Carrier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6.6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0.50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Z. Bolduc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5.0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0.40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A. Newhook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6.3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0.25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A. Texier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4.8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0.15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I. Demidov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5.8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0.15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P. Danault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4.3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-0.50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TBL — classement complet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700"/>
        <w:gridCol w:w="800"/>
        <w:gridCol w:w="800"/>
        <w:gridCol w:w="700"/>
        <w:gridCol w:w="700"/>
        <w:gridCol w:w="700"/>
        <w:gridCol w:w="700"/>
        <w:gridCol w:w="900"/>
        <w:gridCol w:w="8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Joueur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B–A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CHDi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Blq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M.É.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Réc/Rev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Pointage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B. Point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6.1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5.35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N. Kucherov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7.4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1.90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J. Moser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7.6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1.30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D. Raddysh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8.4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0.80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D. James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3.6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0.75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Y. Gourde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5.1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0.65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G. Goncalves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3.0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0.50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E. Lilleberg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5.8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0.50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E. Cernak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6.0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0.50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J. Guentzel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8.5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0.40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R. McDonagh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6.1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0.40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O. Bjorkstrand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2.6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0.30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Z. Girgensons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3.3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0.25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C. Perry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0.00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B. Hagel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8.1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0.00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A. Cirelli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6.6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0.00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M. Crozier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4.3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0.00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N. Paul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2.0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-0.50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Trios à l'avant du CH (somme des pointages)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Totaux agrégés par trio : somme des stats individuelles. À lire avec le TG en tête.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00"/>
        <w:gridCol w:w="600"/>
        <w:gridCol w:w="600"/>
        <w:gridCol w:w="600"/>
        <w:gridCol w:w="600"/>
        <w:gridCol w:w="600"/>
        <w:gridCol w:w="600"/>
        <w:gridCol w:w="800"/>
        <w:gridCol w:w="8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Trio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Joueurs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CHDi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M.É.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Blq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 pointage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 TG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J. Slafkovský / N. Suzuki / C. Caufield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6.50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17.9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A. Texier / K. Dach / Z. Bolduc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2.20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14.1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A. Newhook / O. Kapanen / I. Demidov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1.90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16.2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P. Danault / J. Anderson / J. Evans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1.15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13.4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Paires défensives du 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00"/>
        <w:gridCol w:w="600"/>
        <w:gridCol w:w="600"/>
        <w:gridCol w:w="600"/>
        <w:gridCol w:w="600"/>
        <w:gridCol w:w="600"/>
        <w:gridCol w:w="600"/>
        <w:gridCol w:w="800"/>
        <w:gridCol w:w="8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Trio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Joueurs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CHDi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M.É.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Blq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 pointage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 TG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M. Matheson / L. Hutson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2.45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16.6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J. Struble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3.4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K. Guhle / A. Carrier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13.5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Avant-match c. P1 — ce qui a changé en temps réel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Le levier d'appariement n'a pas livré.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Le survol d'avant-match plaidait pour servir Texier–Dach–Bolduc à la paire Lilleberg–Crozier. En P1, le trio de Dach a généré 1 TB / 1 tent. CHD (pointage 2,2). Le trio de Suzuki a généré 4 TB / 4 CHD (pointage 6,5). Le trio supposé bénéficiaire de l'appariement a été l'unité d'avant la plus discrète du 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La défense ajustée de Tampa n'a pas paru cassée.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Crozier-pour-Carlile projetait +0,11 net BA/match (IC chevauchant zéro) avant le match. En P1 spécifiquement, Crozier n'a aucun événement de chaque côté de la rondelle et le TBL a dirigé le jeu. La narration « 3ᵉ duo en pleine reconstruction » n'est pas encore validée par les résultats.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Point a été LA période.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5 tentatives individuelles à haut danger en 6:08 de TG, c'est un rythme de joueur en feu. Si la P2 lui redonne ce temps de glace à n'importe quelle force, le sursis du CH (la marque 0–0 contre le jeu) devient plus difficile à reproduire.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Méthode et mises en garde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Source : jeu par jeu + sommaire de match LNH.com (P1 complet). Le Corsi ON-ICE par joueur N'EST PAS dans ce dossier — le tableau des présences en direct est en retard sur le JPJ et causerait une mauvaise attribution. Les contributions individuelles et les totaux d'équipe sont complets.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Pointage composite : B×3 + A×2 + TB×0,5 + CHD-individuelles×0,75 + (tentatives ratées/bloquées)×0,15 + (mises en échec + blocages)×0,25 − revirements×0,5 + récupérations×0,5. Aucun ajustement pour effets de marque (la marque 0–0 limite les distorsions).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Échantillon : une seule période de 20 minutes. Lire les amplitudes comme directionnelles, pas prédictives.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Sources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j8dtiefkvy7hhrvr34i3n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LNH.com — JPJ Match 4 (en direct)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egvpem3nulyyeu8dt4aqs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LNH.com — Sommaire Match 4 (en direct)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Survol d'avant-match Match 4 — Lemieux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Arial" w:cs="Arial" w:eastAsia="Arial" w:hAnsi="Arial"/>
        <w:color w:val="666666"/>
        <w:sz w:val="16"/>
        <w:szCs w:val="16"/>
      </w:rPr>
      <w:t xml:space="preserve">Lemieux · classement P1 · Match 4 CH c. TBL</w:t>
    </w:r>
    <w:r>
      <w:rPr>
        <w:rFonts w:ascii="Arial" w:cs="Arial" w:eastAsia="Arial" w:hAnsi="Arial"/>
        <w:color w:val="666666"/>
        <w:sz w:val="16"/>
        <w:szCs w:val="16"/>
      </w:rPr>
      <w:t xml:space="preserve">   ·   </w:t>
    </w: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  <w:jc w:val="left"/>
    </w:pPr>
    <w:r>
      <w:rPr>
        <w:rFonts w:ascii="Arial" w:cs="Arial" w:eastAsia="Arial" w:hAnsi="Arial"/>
        <w:b/>
        <w:bCs/>
        <w:color w:val="A6192E"/>
        <w:sz w:val="18"/>
        <w:szCs w:val="18"/>
      </w:rPr>
      <w:t xml:space="preserve">LEMIEUX  </w:t>
    </w:r>
    <w:r>
      <w:rPr>
        <w:rFonts w:ascii="Arial" w:cs="Arial" w:eastAsia="Arial" w:hAnsi="Arial"/>
        <w:color w:val="666666"/>
        <w:sz w:val="16"/>
        <w:szCs w:val="16"/>
      </w:rPr>
      <w:t xml:space="preserve">· hockey analytics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540" w:hanging="280"/>
      </w:pPr>
      <w:rPr>
        <w:color w:val="A6192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2F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F4A7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j8dtiefkvy7hhrvr34i3n" Type="http://schemas.openxmlformats.org/officeDocument/2006/relationships/hyperlink" Target="https://api-web.nhle.com/v1/gamecenter/2025030124/play-by-play" TargetMode="External"/><Relationship Id="rIdegvpem3nulyyeu8dt4aqs" Type="http://schemas.openxmlformats.org/officeDocument/2006/relationships/hyperlink" Target="https://api-web.nhle.com/v1/gamecenter/2025030124/boxscore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Classement de la 1ʳᵉ période — CH c. Lightning, Match 4 (26 avril 2026)</dc:title>
  <dc:creator>Lemieux</dc:creator>
  <cp:lastModifiedBy>Un-named</cp:lastModifiedBy>
  <cp:revision>1</cp:revision>
  <dcterms:created xsi:type="dcterms:W3CDTF">2026-04-27T00:18:25.498Z</dcterms:created>
  <dcterms:modified xsi:type="dcterms:W3CDTF">2026-04-27T00:18:25.498Z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