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Survol d'avant-match — Canadien c. Lightning, Match 4 (26 avril 2026)</w:t>
      </w:r>
    </w:p>
    <w:p>
      <w:pPr>
        <w:spacing w:after="200"/>
      </w:pPr>
      <w:r>
        <w:rPr>
          <w:rFonts w:ascii="Arial" w:cs="Arial" w:eastAsia="Arial" w:hAnsi="Arial"/>
          <w:i/>
          <w:iCs/>
          <w:color w:val="666666"/>
          <w:sz w:val="22"/>
          <w:szCs w:val="22"/>
        </w:rPr>
        <w:t xml:space="preserve">Centre Bell · 19 h · le CH mène la série 2–1</w:t>
      </w:r>
    </w:p>
    <w:p>
      <w:pPr>
        <w:pStyle w:val="Heading1"/>
        <w:spacing w:after="140" w:before="280"/>
      </w:pPr>
      <w:r>
        <w:rPr>
          <w:rFonts w:ascii="Arial" w:cs="Arial" w:eastAsia="Arial" w:hAnsi="Arial"/>
          <w:b/>
          <w:bCs/>
          <w:color w:val="1F2F4A"/>
          <w:sz w:val="30"/>
          <w:szCs w:val="30"/>
        </w:rPr>
        <w:t xml:space="preserve">Trois constats</w:t>
      </w:r>
    </w:p>
    <w:p>
      <w:pPr>
        <w:pStyle w:val="ListParagraph"/>
        <w:numPr>
          <w:ilvl w:val="0"/>
          <w:numId w:val="2"/>
        </w:numPr>
        <w:spacing w:after="80"/>
      </w:pPr>
      <w:r>
        <w:rPr>
          <w:rFonts w:ascii="Arial" w:cs="Arial" w:eastAsia="Arial" w:hAnsi="Arial"/>
          <w:color w:val="111111"/>
          <w:sz w:val="20"/>
          <w:szCs w:val="20"/>
        </w:rPr>
        <w:t xml:space="preserve">Math du moteur d'échange (poolé : sais. rég. + séries 24-25 et 25-26, 5 c. 5) : Crozier-pour-Carlile projette </w:t>
      </w:r>
      <w:r>
        <w:rPr>
          <w:rFonts w:ascii="Arial" w:cs="Arial" w:eastAsia="Arial" w:hAnsi="Arial"/>
          <w:b/>
          <w:bCs/>
          <w:color w:val="111111"/>
          <w:sz w:val="20"/>
          <w:szCs w:val="20"/>
        </w:rPr>
        <w:t xml:space="preserve">+0,11 BAF et +0,00 BAC par match</w:t>
      </w:r>
      <w:r>
        <w:rPr>
          <w:rFonts w:ascii="Arial" w:cs="Arial" w:eastAsia="Arial" w:hAnsi="Arial"/>
          <w:color w:val="111111"/>
          <w:sz w:val="20"/>
          <w:szCs w:val="20"/>
        </w:rPr>
        <w:t xml:space="preserve"> pour Tampa sur une fenêtre de 12 minutes au 3ᵉ duo. Net : </w:t>
      </w:r>
      <w:r>
        <w:rPr>
          <w:rFonts w:ascii="Arial" w:cs="Arial" w:eastAsia="Arial" w:hAnsi="Arial"/>
          <w:b/>
          <w:bCs/>
          <w:color w:val="111111"/>
          <w:sz w:val="20"/>
          <w:szCs w:val="20"/>
        </w:rPr>
        <w:t xml:space="preserve">+0,11 BA/match</w:t>
      </w:r>
      <w:r>
        <w:rPr>
          <w:rFonts w:ascii="Arial" w:cs="Arial" w:eastAsia="Arial" w:hAnsi="Arial"/>
          <w:color w:val="111111"/>
          <w:sz w:val="20"/>
          <w:szCs w:val="20"/>
        </w:rPr>
        <w:t xml:space="preserve"> pour le TBL. Les deux IC à 80 % chevauchent zéro — direction haussière, ampleur statistiquement nulle.</w:t>
      </w:r>
    </w:p>
    <w:p>
      <w:pPr>
        <w:pStyle w:val="ListParagraph"/>
        <w:numPr>
          <w:ilvl w:val="0"/>
          <w:numId w:val="2"/>
        </w:numPr>
        <w:spacing w:after="80"/>
      </w:pPr>
      <w:r>
        <w:rPr>
          <w:rFonts w:ascii="Arial" w:cs="Arial" w:eastAsia="Arial" w:hAnsi="Arial"/>
          <w:color w:val="111111"/>
          <w:sz w:val="20"/>
          <w:szCs w:val="20"/>
        </w:rPr>
        <w:t xml:space="preserve">Le CH n'annonce aucun changement. Mêmes 18 patineurs qu'au M3, mêmes trios à l'avant (incluant Texier–Dach–Bolduc, qui a produit les deux buts à 5 c. 5 et la mise en place de la prolongation), mêmes paires défensives, Dobeš devant le filet. </w:t>
      </w:r>
      <w:r>
        <w:rPr>
          <w:rFonts w:ascii="Arial" w:cs="Arial" w:eastAsia="Arial" w:hAnsi="Arial"/>
          <w:b/>
          <w:bCs/>
          <w:color w:val="111111"/>
          <w:sz w:val="20"/>
          <w:szCs w:val="20"/>
        </w:rPr>
        <w:t xml:space="preserve">Impact projeté côté CH des changements annoncés : zéro.</w:t>
      </w:r>
    </w:p>
    <w:p>
      <w:pPr>
        <w:pStyle w:val="ListParagraph"/>
        <w:numPr>
          <w:ilvl w:val="0"/>
          <w:numId w:val="2"/>
        </w:numPr>
        <w:spacing w:after="80"/>
      </w:pPr>
      <w:r>
        <w:rPr>
          <w:rFonts w:ascii="Arial" w:cs="Arial" w:eastAsia="Arial" w:hAnsi="Arial"/>
          <w:color w:val="111111"/>
          <w:sz w:val="20"/>
          <w:szCs w:val="20"/>
        </w:rPr>
        <w:t xml:space="preserve">Le levier d'appariement appartient à St-Louis. Avec le dernier changement au Centre Bell, le CH peut servir au trio de Dach ses minutes les plus propres face à Lilleberg–Crozier (le duo le moins stable de Tampa; Lilleberg affiche un net iso poolé de -0,40 BA/60) plutôt que face à Cernák ou Sergachev.</w:t>
      </w:r>
    </w:p>
    <w:p>
      <w:pPr>
        <w:pStyle w:val="Heading1"/>
        <w:spacing w:after="140" w:before="280"/>
      </w:pPr>
      <w:r>
        <w:rPr>
          <w:rFonts w:ascii="Arial" w:cs="Arial" w:eastAsia="Arial" w:hAnsi="Arial"/>
          <w:b/>
          <w:bCs/>
          <w:color w:val="1F2F4A"/>
          <w:sz w:val="30"/>
          <w:szCs w:val="30"/>
        </w:rPr>
        <w:t xml:space="preserve">Alignements annoncés</w:t>
      </w:r>
    </w:p>
    <w:p>
      <w:pPr>
        <w:spacing w:after="100"/>
      </w:pPr>
      <w:r>
        <w:rPr>
          <w:rFonts w:ascii="Arial" w:cs="Arial" w:eastAsia="Arial" w:hAnsi="Arial"/>
          <w:i/>
          <w:iCs/>
          <w:color w:val="666666"/>
          <w:sz w:val="20"/>
          <w:szCs w:val="20"/>
        </w:rPr>
        <w:t xml:space="preserve">Les données du TBL viennent des comptes-rendus du patinage matinal (Dose.ca, Montreal Hockey Fanatics, NHL.com) — non confirmées par les présences réelles. Le CH est inchangé depuis le M3 selon St-Louis.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200"/>
        <w:gridCol w:w="2200"/>
        <w:gridCol w:w="21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Changement rapporté</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Entre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Sort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Position / rôle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Aucun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Mêmes 18 qu'au M3</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TBL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Échange à la défense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Max Crozier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Declan Carlile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Défenseur droitier (3ᵉ duo)</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TBL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Changement de côté</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Emil Lilleberg → gauche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Pour faire de la place à Crozier (D)</w:t>
            </w:r>
          </w:p>
        </w:tc>
      </w:tr>
    </w:tbl>
    <w:p>
      <w:r>
        <w:br w:type="page"/>
      </w:r>
    </w:p>
    <w:p>
      <w:pPr>
        <w:pStyle w:val="Heading1"/>
        <w:spacing w:after="140" w:before="280"/>
      </w:pPr>
      <w:r>
        <w:rPr>
          <w:rFonts w:ascii="Arial" w:cs="Arial" w:eastAsia="Arial" w:hAnsi="Arial"/>
          <w:b/>
          <w:bCs/>
          <w:color w:val="1F2F4A"/>
          <w:sz w:val="30"/>
          <w:szCs w:val="30"/>
        </w:rPr>
        <w:t xml:space="preserve">La rotation à la ligne bleue de Tampa sur 4 matchs</w:t>
      </w:r>
    </w:p>
    <w:p>
      <w:pPr>
        <w:spacing w:after="100"/>
      </w:pPr>
      <w:r>
        <w:rPr>
          <w:rFonts w:ascii="Arial" w:cs="Arial" w:eastAsia="Arial" w:hAnsi="Arial"/>
          <w:color w:val="111111"/>
          <w:sz w:val="20"/>
          <w:szCs w:val="20"/>
        </w:rPr>
        <w:t xml:space="preserve">Cooper a employé trois défenseurs différents du côté droit en quatre matchs. La cause est structurelle — Hedman absent, D'Astous (3ᵉ match consécutif) jour-à-jour après la mise en échec d'Anderson au M1 — et le carrousel atteint maintenant la troisième option.</w:t>
      </w:r>
    </w:p>
    <w:p>
      <w:pPr>
        <w:spacing w:after="100"/>
      </w:pPr>
      <w:r>
        <w:rPr>
          <w:rFonts w:ascii="Arial" w:cs="Arial" w:eastAsia="Arial" w:hAnsi="Arial"/>
          <w:i/>
          <w:iCs/>
          <w:color w:val="666666"/>
          <w:sz w:val="20"/>
          <w:szCs w:val="20"/>
        </w:rPr>
        <w:t xml:space="preserve">Rotation au 3ᵉ duo de Tampa, par match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44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Match</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3ᵉ duo (annoncé / déployé)</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Note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D'Astous (D) — partenaire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D'Astous frappé par Anderson; blessé.</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Carlile activé</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Premiers minutes en séries pour Carlile.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Carlile demeure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−3 / 11:20 de TG; minutes protégées.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 (annoncé)</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Crozier (D) — Lilleberg passe à G</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3ᵉ défenseur droitier différent en 4 matchs.</w:t>
            </w:r>
          </w:p>
        </w:tc>
      </w:tr>
    </w:tbl>
    <w:p>
      <w:r>
        <w:br w:type="page"/>
      </w:r>
    </w:p>
    <w:p>
      <w:pPr>
        <w:pStyle w:val="Heading1"/>
        <w:spacing w:after="140" w:before="280"/>
      </w:pPr>
      <w:r>
        <w:rPr>
          <w:rFonts w:ascii="Arial" w:cs="Arial" w:eastAsia="Arial" w:hAnsi="Arial"/>
          <w:b/>
          <w:bCs/>
          <w:color w:val="1F2F4A"/>
          <w:sz w:val="30"/>
          <w:szCs w:val="30"/>
        </w:rPr>
        <w:t xml:space="preserve">Impact projeté du changement annoncé (moteur d'échange)</w:t>
      </w:r>
    </w:p>
    <w:p>
      <w:pPr>
        <w:spacing w:after="100"/>
      </w:pPr>
      <w:r>
        <w:rPr>
          <w:rFonts w:ascii="Arial" w:cs="Arial" w:eastAsia="Arial" w:hAnsi="Arial"/>
          <w:i/>
          <w:iCs/>
          <w:color w:val="666666"/>
          <w:sz w:val="20"/>
          <w:szCs w:val="20"/>
        </w:rPr>
        <w:t xml:space="preserve">Splits NST 5 c. 5 sur la glace / hors glace, poolés sur saison rég. + séries 24-25 et 25-26 (actuelle). Iso = taux sur la glace − taux équipe-sans-joueur. Fenêtre = 12 min/match (3ᵉ duo 5 c. 5).</w:t>
      </w:r>
    </w:p>
    <w:p>
      <w:pPr>
        <w:pStyle w:val="Heading2"/>
        <w:spacing w:after="100" w:before="200"/>
      </w:pPr>
      <w:r>
        <w:rPr>
          <w:rFonts w:ascii="Arial" w:cs="Arial" w:eastAsia="Arial" w:hAnsi="Arial"/>
          <w:b/>
          <w:bCs/>
          <w:color w:val="2F4A70"/>
          <w:sz w:val="24"/>
          <w:szCs w:val="24"/>
        </w:rPr>
        <w:t xml:space="preserve">Impacts isolés poolés</w:t>
      </w:r>
    </w:p>
    <w:p>
      <w:pPr>
        <w:spacing w:after="100"/>
      </w:pPr>
      <w:r>
        <w:rPr>
          <w:rFonts w:ascii="Arial" w:cs="Arial" w:eastAsia="Arial" w:hAnsi="Arial"/>
          <w:i/>
          <w:iCs/>
          <w:color w:val="666666"/>
          <w:sz w:val="20"/>
          <w:szCs w:val="20"/>
        </w:rPr>
        <w:t xml:space="preserve">Impacts isolés poolés à 5 c. 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700"/>
        <w:gridCol w:w="1700"/>
        <w:gridCol w:w="12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Joueur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 poolé (min)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BAF/60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BAC/60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Declan Carlile  (sortant)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627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-0,510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-0,106</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-0,404</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Max Crozier  (entrant)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501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+0,059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-0,087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+0,146</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Emil Lilleberg  (côté G nouveau)</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1952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-0,428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-0,028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-0,400</w:t>
            </w:r>
          </w:p>
        </w:tc>
      </w:tr>
    </w:tbl>
    <w:p>
      <w:pPr>
        <w:pStyle w:val="Heading2"/>
        <w:spacing w:after="100" w:before="200"/>
      </w:pPr>
      <w:r>
        <w:rPr>
          <w:rFonts w:ascii="Arial" w:cs="Arial" w:eastAsia="Arial" w:hAnsi="Arial"/>
          <w:b/>
          <w:bCs/>
          <w:color w:val="2F4A70"/>
          <w:sz w:val="24"/>
          <w:szCs w:val="24"/>
        </w:rPr>
        <w:t xml:space="preserve">Delta projeté du changement (perspective TBL)</w:t>
      </w:r>
    </w:p>
    <w:p>
      <w:pPr>
        <w:spacing w:after="100"/>
      </w:pPr>
      <w:r>
        <w:rPr>
          <w:rFonts w:ascii="Arial" w:cs="Arial" w:eastAsia="Arial" w:hAnsi="Arial"/>
          <w:i/>
          <w:iCs/>
          <w:color w:val="666666"/>
          <w:sz w:val="20"/>
          <w:szCs w:val="20"/>
        </w:rPr>
        <w:t xml:space="preserve">Δ = (iso joueur entrant − iso joueur sortant) × part de la fenêtre. Variance : approximation Poisson sur le nombre d'événements.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Mesure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 par match</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IC 80 %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Δ BAF/match</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+0,114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[-0,081, +0,309]</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Δ BAC/match</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+0,004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[-0,185, +0,193]</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Δ Net/match</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+0,110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r>
    </w:tbl>
    <w:p>
      <w:pPr>
        <w:pStyle w:val="Heading2"/>
        <w:spacing w:after="100" w:before="200"/>
      </w:pPr>
      <w:r>
        <w:rPr>
          <w:rFonts w:ascii="Arial" w:cs="Arial" w:eastAsia="Arial" w:hAnsi="Arial"/>
          <w:b/>
          <w:bCs/>
          <w:color w:val="2F4A70"/>
          <w:sz w:val="24"/>
          <w:szCs w:val="24"/>
        </w:rPr>
        <w:t xml:space="preserve">Ce que ça veut dire</w:t>
      </w:r>
    </w:p>
    <w:p>
      <w:pPr>
        <w:pStyle w:val="ListParagraph"/>
        <w:numPr>
          <w:ilvl w:val="0"/>
          <w:numId w:val="2"/>
        </w:numPr>
        <w:spacing w:after="80"/>
      </w:pPr>
      <w:r>
        <w:rPr>
          <w:rFonts w:ascii="Arial" w:cs="Arial" w:eastAsia="Arial" w:hAnsi="Arial"/>
          <w:b/>
          <w:bCs/>
          <w:color w:val="111111"/>
          <w:sz w:val="20"/>
          <w:szCs w:val="20"/>
        </w:rPr>
        <w:t xml:space="preserve">Le chiffre vedette est +0,11 BA/match en faveur de Tampa, mais ni la jambe BAF ni la BAC n'est significative à 80 %.</w:t>
      </w:r>
      <w:r>
        <w:rPr>
          <w:rFonts w:ascii="Arial" w:cs="Arial" w:eastAsia="Arial" w:hAnsi="Arial"/>
          <w:color w:val="111111"/>
          <w:sz w:val="20"/>
          <w:szCs w:val="20"/>
        </w:rPr>
        <w:t xml:space="preserve"> Δ BAF : +0,11 (IC [-0,08, 0,31]). Δ BAC : +0,00 (IC [-0,18, 0,19]). Les deux bandes traversent zéro — le changement pourrait nuire à Tampa autant qu'aider.</w:t>
      </w:r>
    </w:p>
    <w:p>
      <w:pPr>
        <w:pStyle w:val="ListParagraph"/>
        <w:numPr>
          <w:ilvl w:val="0"/>
          <w:numId w:val="2"/>
        </w:numPr>
        <w:spacing w:after="80"/>
      </w:pPr>
      <w:r>
        <w:rPr>
          <w:rFonts w:ascii="Arial" w:cs="Arial" w:eastAsia="Arial" w:hAnsi="Arial"/>
          <w:b/>
          <w:bCs/>
          <w:color w:val="111111"/>
          <w:sz w:val="20"/>
          <w:szCs w:val="20"/>
        </w:rPr>
        <w:t xml:space="preserve">Le moteur du gain, c'est l'iso poolé de Carlile, pas l'apport de Crozier.</w:t>
      </w:r>
      <w:r>
        <w:rPr>
          <w:rFonts w:ascii="Arial" w:cs="Arial" w:eastAsia="Arial" w:hAnsi="Arial"/>
          <w:color w:val="111111"/>
          <w:sz w:val="20"/>
          <w:szCs w:val="20"/>
        </w:rPr>
        <w:t xml:space="preserve"> Carlile est à -0,40 BA/60 net sur 627 minutes poolées (rég. 24-25 + 25-26 + séries 25-26). Crozier : +0,15 sur 501 minutes — proche de la base d'équipe. Cooper retire un mangeur de minutes clairement sous la base, plus qu'il ne fait monter un défenseur positif.</w:t>
      </w:r>
    </w:p>
    <w:p>
      <w:pPr>
        <w:pStyle w:val="ListParagraph"/>
        <w:numPr>
          <w:ilvl w:val="0"/>
          <w:numId w:val="2"/>
        </w:numPr>
        <w:spacing w:after="80"/>
      </w:pPr>
      <w:r>
        <w:rPr>
          <w:rFonts w:ascii="Arial" w:cs="Arial" w:eastAsia="Arial" w:hAnsi="Arial"/>
          <w:b/>
          <w:bCs/>
          <w:color w:val="111111"/>
          <w:sz w:val="20"/>
          <w:szCs w:val="20"/>
        </w:rPr>
        <w:t xml:space="preserve">Le plafond cumulatif sur 4 matchs restants au pire est d'environ 0,4 BA d'effet net pour Tampa, soit grosso modo un demi-but d'impact attendu.</w:t>
      </w:r>
      <w:r>
        <w:rPr>
          <w:rFonts w:ascii="Arial" w:cs="Arial" w:eastAsia="Arial" w:hAnsi="Arial"/>
          <w:color w:val="111111"/>
          <w:sz w:val="20"/>
          <w:szCs w:val="20"/>
        </w:rPr>
        <w:t xml:space="preserve"> Sous le seuil de bruit d'une seule sortie de gardien. Le changement est réel; son ampleur attendue au tableau indicateur est petite.</w:t>
      </w:r>
    </w:p>
    <w:p>
      <w:pPr>
        <w:pStyle w:val="ListParagraph"/>
        <w:numPr>
          <w:ilvl w:val="0"/>
          <w:numId w:val="2"/>
        </w:numPr>
        <w:spacing w:after="80"/>
      </w:pPr>
      <w:r>
        <w:rPr>
          <w:rFonts w:ascii="Arial" w:cs="Arial" w:eastAsia="Arial" w:hAnsi="Arial"/>
          <w:b/>
          <w:bCs/>
          <w:color w:val="111111"/>
          <w:sz w:val="20"/>
          <w:szCs w:val="20"/>
        </w:rPr>
        <w:t xml:space="preserve">Le changement de côté de Lilleberg n'est pas mesurable ici.</w:t>
      </w:r>
      <w:r>
        <w:rPr>
          <w:rFonts w:ascii="Arial" w:cs="Arial" w:eastAsia="Arial" w:hAnsi="Arial"/>
          <w:color w:val="111111"/>
          <w:sz w:val="20"/>
          <w:szCs w:val="20"/>
        </w:rPr>
        <w:t xml:space="preserve"> Son net iso poolé est de -0,40 BA/60 — aussi sous la base. Si jouer à gauche améliore ses sorties de zone, c'est un item à surveiller au M4, pas un chiffre que le cadriciel projette.</w:t>
      </w:r>
    </w:p>
    <w:p>
      <w:r>
        <w:br w:type="page"/>
      </w:r>
    </w:p>
    <w:p>
      <w:pPr>
        <w:pStyle w:val="Heading1"/>
        <w:spacing w:after="140" w:before="280"/>
      </w:pPr>
      <w:r>
        <w:rPr>
          <w:rFonts w:ascii="Arial" w:cs="Arial" w:eastAsia="Arial" w:hAnsi="Arial"/>
          <w:b/>
          <w:bCs/>
          <w:color w:val="1F2F4A"/>
          <w:sz w:val="30"/>
          <w:szCs w:val="30"/>
        </w:rPr>
        <w:t xml:space="preserve">Ce que ça ouvre — le levier d'appariement</w:t>
      </w:r>
    </w:p>
    <w:p>
      <w:pPr>
        <w:spacing w:after="100"/>
      </w:pPr>
      <w:r>
        <w:rPr>
          <w:rFonts w:ascii="Arial" w:cs="Arial" w:eastAsia="Arial" w:hAnsi="Arial"/>
          <w:color w:val="111111"/>
          <w:sz w:val="20"/>
          <w:szCs w:val="20"/>
        </w:rPr>
        <w:t xml:space="preserve">Dernier changement au Centre Bell + 3ᵉ duo refait à neuf = la fenêtre d'appariement la plus nette de la série pour le trio que St-Louis voudra servir. Le candidat évident : Texier–Dach–Bolduc, dont les impacts isolés à 5 c. 5 sur 3 matchs dominent les groupes d'attaquants du CH.</w:t>
      </w:r>
    </w:p>
    <w:p>
      <w:pPr>
        <w:spacing w:after="100"/>
      </w:pPr>
      <w:r>
        <w:rPr>
          <w:rFonts w:ascii="Arial" w:cs="Arial" w:eastAsia="Arial" w:hAnsi="Arial"/>
          <w:i/>
          <w:iCs/>
          <w:color w:val="666666"/>
          <w:sz w:val="20"/>
          <w:szCs w:val="20"/>
        </w:rPr>
        <w:t xml:space="preserve">Impacts isolés des trios du CH à 5 c. 5 (moyenne de 3 joueurs, 3 matchs)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800"/>
        <w:gridCol w:w="26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Trio</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Net iso moyen (BAF/60 − BAC/60)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CHD% moyen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Résultats au M3</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Texier–Dach–Bolduc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+1,89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90,3 %</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Les 2 buts à 5 c. 5; mention sur le but en prolongation (Bolduc).</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Suzuki–Caufield–Slafkovský</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-0,81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Aucun but à 5 c. 5; production via l'avantage numérique.</w:t>
            </w:r>
          </w:p>
        </w:tc>
      </w:tr>
    </w:tbl>
    <w:p>
      <w:pPr>
        <w:pStyle w:val="Heading2"/>
        <w:spacing w:after="100" w:before="200"/>
      </w:pPr>
      <w:r>
        <w:rPr>
          <w:rFonts w:ascii="Arial" w:cs="Arial" w:eastAsia="Arial" w:hAnsi="Arial"/>
          <w:b/>
          <w:bCs/>
          <w:color w:val="2F4A70"/>
          <w:sz w:val="24"/>
          <w:szCs w:val="24"/>
        </w:rPr>
        <w:t xml:space="preserve">Comment le CH peut jouer ça</w:t>
      </w:r>
    </w:p>
    <w:p>
      <w:pPr>
        <w:pStyle w:val="ListParagraph"/>
        <w:numPr>
          <w:ilvl w:val="0"/>
          <w:numId w:val="2"/>
        </w:numPr>
        <w:spacing w:after="80"/>
      </w:pPr>
      <w:r>
        <w:rPr>
          <w:rFonts w:ascii="Arial" w:cs="Arial" w:eastAsia="Arial" w:hAnsi="Arial"/>
          <w:color w:val="111111"/>
          <w:sz w:val="20"/>
          <w:szCs w:val="20"/>
        </w:rPr>
        <w:t xml:space="preserve">Cibler le trio de Dach contre le duo Lilleberg–Crozier. Crozier joue peu depuis février; Lilleberg change de côté en pleine série. C'est l'unité défensive la moins stable que Tampa a alignée jusqu'ici.</w:t>
      </w:r>
    </w:p>
    <w:p>
      <w:pPr>
        <w:pStyle w:val="ListParagraph"/>
        <w:numPr>
          <w:ilvl w:val="0"/>
          <w:numId w:val="2"/>
        </w:numPr>
        <w:spacing w:after="80"/>
      </w:pPr>
      <w:r>
        <w:rPr>
          <w:rFonts w:ascii="Arial" w:cs="Arial" w:eastAsia="Arial" w:hAnsi="Arial"/>
          <w:color w:val="111111"/>
          <w:sz w:val="20"/>
          <w:szCs w:val="20"/>
        </w:rPr>
        <w:t xml:space="preserve">Tenir le trio de Suzuki loin du duo Cernák / Sergachev quand possible. Sur 3 matchs, le premier trio affiche un net iso négatif à 5 c. 5 et vit sur l'avantage numérique. Un appariement défavorable à 5 c. 5 comprime encore davantage.</w:t>
      </w:r>
    </w:p>
    <w:p>
      <w:pPr>
        <w:pStyle w:val="ListParagraph"/>
        <w:numPr>
          <w:ilvl w:val="0"/>
          <w:numId w:val="2"/>
        </w:numPr>
        <w:spacing w:after="80"/>
      </w:pPr>
      <w:r>
        <w:rPr>
          <w:rFonts w:ascii="Arial" w:cs="Arial" w:eastAsia="Arial" w:hAnsi="Arial"/>
          <w:color w:val="111111"/>
          <w:sz w:val="20"/>
          <w:szCs w:val="20"/>
        </w:rPr>
        <w:t xml:space="preserve">Ne rien brasser de ce qui a fonctionné. Les trios du M3 ont tenu tout le match et produit les deux buts à 5 c. 5 — aucun argument analytique pour brasser à l'avant après une victoire d'un but en supplémentaire.</w:t>
      </w:r>
    </w:p>
    <w:p>
      <w:pPr>
        <w:pStyle w:val="ListParagraph"/>
        <w:numPr>
          <w:ilvl w:val="0"/>
          <w:numId w:val="2"/>
        </w:numPr>
        <w:spacing w:after="80"/>
      </w:pPr>
      <w:r>
        <w:rPr>
          <w:rFonts w:ascii="Arial" w:cs="Arial" w:eastAsia="Arial" w:hAnsi="Arial"/>
          <w:color w:val="111111"/>
          <w:sz w:val="20"/>
          <w:szCs w:val="20"/>
        </w:rPr>
        <w:t xml:space="preserve">Surveiller la réplique de Tampa : Cooper peut cacher le nouveau duo avec Cirelli sur la glace (matchup défensif) ou l'exposer avec Kucherov (mise en jeu offensive). Le choix dévoilera la confiance du banc envers les lectures de Crozier.</w:t>
      </w:r>
    </w:p>
    <w:p>
      <w:r>
        <w:br w:type="page"/>
      </w:r>
    </w:p>
    <w:p>
      <w:pPr>
        <w:pStyle w:val="Heading1"/>
        <w:spacing w:after="140" w:before="280"/>
      </w:pPr>
      <w:r>
        <w:rPr>
          <w:rFonts w:ascii="Arial" w:cs="Arial" w:eastAsia="Arial" w:hAnsi="Arial"/>
          <w:b/>
          <w:bCs/>
          <w:color w:val="1F2F4A"/>
          <w:sz w:val="30"/>
          <w:szCs w:val="30"/>
        </w:rPr>
        <w:t xml:space="preserve">À surveiller</w:t>
      </w:r>
    </w:p>
    <w:p>
      <w:pPr>
        <w:pStyle w:val="ListParagraph"/>
        <w:numPr>
          <w:ilvl w:val="0"/>
          <w:numId w:val="2"/>
        </w:numPr>
        <w:spacing w:after="80"/>
      </w:pPr>
      <w:r>
        <w:rPr>
          <w:rFonts w:ascii="Arial" w:cs="Arial" w:eastAsia="Arial" w:hAnsi="Arial"/>
          <w:b/>
          <w:bCs/>
          <w:color w:val="111111"/>
          <w:sz w:val="20"/>
          <w:szCs w:val="20"/>
        </w:rPr>
        <w:t xml:space="preserve">Lectures de Lilleberg du côté gauche</w:t>
      </w:r>
      <w:r>
        <w:rPr>
          <w:rFonts w:ascii="Arial" w:cs="Arial" w:eastAsia="Arial" w:hAnsi="Arial"/>
          <w:color w:val="111111"/>
          <w:sz w:val="20"/>
          <w:szCs w:val="20"/>
        </w:rPr>
        <w:t xml:space="preserve"> — premier match cette série sur son côté naturel. Rondelles tenues en zone c. sorties; passes sous pression de l'échec-avant.</w:t>
      </w:r>
    </w:p>
    <w:p>
      <w:pPr>
        <w:pStyle w:val="ListParagraph"/>
        <w:numPr>
          <w:ilvl w:val="0"/>
          <w:numId w:val="2"/>
        </w:numPr>
        <w:spacing w:after="80"/>
      </w:pPr>
      <w:r>
        <w:rPr>
          <w:rFonts w:ascii="Arial" w:cs="Arial" w:eastAsia="Arial" w:hAnsi="Arial"/>
          <w:b/>
          <w:bCs/>
          <w:color w:val="111111"/>
          <w:sz w:val="20"/>
          <w:szCs w:val="20"/>
        </w:rPr>
        <w:t xml:space="preserve">Taux d'entrée de zone du trio de Dach</w:t>
      </w:r>
      <w:r>
        <w:rPr>
          <w:rFonts w:ascii="Arial" w:cs="Arial" w:eastAsia="Arial" w:hAnsi="Arial"/>
          <w:color w:val="111111"/>
          <w:sz w:val="20"/>
          <w:szCs w:val="20"/>
        </w:rPr>
        <w:t xml:space="preserve"> — si le CH appariement comme suggéré, le taux d'entrées contre le 3ᵉ duo devrait être visiblement plus élevé qu'aux M1–M3.</w:t>
      </w:r>
    </w:p>
    <w:p>
      <w:pPr>
        <w:pStyle w:val="ListParagraph"/>
        <w:numPr>
          <w:ilvl w:val="0"/>
          <w:numId w:val="2"/>
        </w:numPr>
        <w:spacing w:after="80"/>
      </w:pPr>
      <w:r>
        <w:rPr>
          <w:rFonts w:ascii="Arial" w:cs="Arial" w:eastAsia="Arial" w:hAnsi="Arial"/>
          <w:b/>
          <w:bCs/>
          <w:color w:val="111111"/>
          <w:sz w:val="20"/>
          <w:szCs w:val="20"/>
        </w:rPr>
        <w:t xml:space="preserve">Le temps de glace de Hutson</w:t>
      </w:r>
      <w:r>
        <w:rPr>
          <w:rFonts w:ascii="Arial" w:cs="Arial" w:eastAsia="Arial" w:hAnsi="Arial"/>
          <w:color w:val="111111"/>
          <w:sz w:val="20"/>
          <w:szCs w:val="20"/>
        </w:rPr>
        <w:t xml:space="preserve"> — 26:28 au M3, but en prolongation. Si la marque reste serrée, il dépassera encore 25 minutes; si un défenseur est trop sollicité, l'impact isolé se rétrécit.</w:t>
      </w:r>
    </w:p>
    <w:p>
      <w:pPr>
        <w:pStyle w:val="ListParagraph"/>
        <w:numPr>
          <w:ilvl w:val="0"/>
          <w:numId w:val="2"/>
        </w:numPr>
        <w:spacing w:after="80"/>
      </w:pPr>
      <w:r>
        <w:rPr>
          <w:rFonts w:ascii="Arial" w:cs="Arial" w:eastAsia="Arial" w:hAnsi="Arial"/>
          <w:b/>
          <w:bCs/>
          <w:color w:val="111111"/>
          <w:sz w:val="20"/>
          <w:szCs w:val="20"/>
        </w:rPr>
        <w:t xml:space="preserve">Le diète de tirs de Slafkovský</w:t>
      </w:r>
      <w:r>
        <w:rPr>
          <w:rFonts w:ascii="Arial" w:cs="Arial" w:eastAsia="Arial" w:hAnsi="Arial"/>
          <w:color w:val="111111"/>
          <w:sz w:val="20"/>
          <w:szCs w:val="20"/>
        </w:rPr>
        <w:t xml:space="preserve"> — 8 → 2 tirs au but avant/après le combat avec Hagel au M2 (tranches : M1 + M2-avant c. M2-après + M3). Le M4 est le test le plus net pour voir si la baisse persiste.</w:t>
      </w:r>
    </w:p>
    <w:p>
      <w:pPr>
        <w:pStyle w:val="ListParagraph"/>
        <w:numPr>
          <w:ilvl w:val="0"/>
          <w:numId w:val="2"/>
        </w:numPr>
        <w:spacing w:after="80"/>
      </w:pPr>
      <w:r>
        <w:rPr>
          <w:rFonts w:ascii="Arial" w:cs="Arial" w:eastAsia="Arial" w:hAnsi="Arial"/>
          <w:b/>
          <w:bCs/>
          <w:color w:val="111111"/>
          <w:sz w:val="20"/>
          <w:szCs w:val="20"/>
        </w:rPr>
        <w:t xml:space="preserve">Dobeš c. Vasilevskiy</w:t>
      </w:r>
      <w:r>
        <w:rPr>
          <w:rFonts w:ascii="Arial" w:cs="Arial" w:eastAsia="Arial" w:hAnsi="Arial"/>
          <w:color w:val="111111"/>
          <w:sz w:val="20"/>
          <w:szCs w:val="20"/>
        </w:rPr>
        <w:t xml:space="preserve"> — sur 3 matchs, le % d'arrêts implicite (compté direct du jeu par jeu) est de ,892 c. ,880. Une mauvaise soirée renverse la lecture; une grosse soirée verrouille le récit du gardien.</w:t>
      </w:r>
    </w:p>
    <w:p>
      <w:pPr>
        <w:pStyle w:val="Heading1"/>
        <w:spacing w:after="140" w:before="280"/>
      </w:pPr>
      <w:r>
        <w:rPr>
          <w:rFonts w:ascii="Arial" w:cs="Arial" w:eastAsia="Arial" w:hAnsi="Arial"/>
          <w:b/>
          <w:bCs/>
          <w:color w:val="1F2F4A"/>
          <w:sz w:val="30"/>
          <w:szCs w:val="30"/>
        </w:rPr>
        <w:t xml:space="preserve">Mises en garde</w:t>
      </w:r>
    </w:p>
    <w:p>
      <w:pPr>
        <w:pStyle w:val="ListParagraph"/>
        <w:numPr>
          <w:ilvl w:val="0"/>
          <w:numId w:val="2"/>
        </w:numPr>
        <w:spacing w:after="80"/>
      </w:pPr>
      <w:r>
        <w:rPr>
          <w:rFonts w:ascii="Arial" w:cs="Arial" w:eastAsia="Arial" w:hAnsi="Arial"/>
          <w:color w:val="111111"/>
          <w:sz w:val="20"/>
          <w:szCs w:val="20"/>
        </w:rPr>
        <w:t xml:space="preserve">Les rapports sur les changements du TBL viennent du patinage matinal. La composition finale est confirmée à la mise au jeu.</w:t>
      </w:r>
    </w:p>
    <w:p>
      <w:pPr>
        <w:pStyle w:val="ListParagraph"/>
        <w:numPr>
          <w:ilvl w:val="0"/>
          <w:numId w:val="2"/>
        </w:numPr>
        <w:spacing w:after="80"/>
      </w:pPr>
      <w:r>
        <w:rPr>
          <w:rFonts w:ascii="Arial" w:cs="Arial" w:eastAsia="Arial" w:hAnsi="Arial"/>
          <w:color w:val="111111"/>
          <w:sz w:val="20"/>
          <w:szCs w:val="20"/>
        </w:rPr>
        <w:t xml:space="preserve">Les impacts isolés des trios du CH proviennent d'un échantillon de 3 matchs en séries. Les intervalles de confiance sont larges; traiter les amplitudes comme directionnelles.</w:t>
      </w:r>
    </w:p>
    <w:p>
      <w:pPr>
        <w:pStyle w:val="ListParagraph"/>
        <w:numPr>
          <w:ilvl w:val="0"/>
          <w:numId w:val="2"/>
        </w:numPr>
        <w:spacing w:after="80"/>
      </w:pPr>
      <w:r>
        <w:rPr>
          <w:rFonts w:ascii="Arial" w:cs="Arial" w:eastAsia="Arial" w:hAnsi="Arial"/>
          <w:color w:val="111111"/>
          <w:sz w:val="20"/>
          <w:szCs w:val="20"/>
        </w:rPr>
        <w:t xml:space="preserve">Aucune prédiction de match ou de série. Le cadriciel évalue des prétentions, il ne fait pas de pronostics.</w:t>
      </w:r>
    </w:p>
    <w:p>
      <w:pPr>
        <w:pStyle w:val="Heading1"/>
        <w:spacing w:after="140" w:before="280"/>
      </w:pPr>
      <w:r>
        <w:rPr>
          <w:rFonts w:ascii="Arial" w:cs="Arial" w:eastAsia="Arial" w:hAnsi="Arial"/>
          <w:b/>
          <w:bCs/>
          <w:color w:val="1F2F4A"/>
          <w:sz w:val="30"/>
          <w:szCs w:val="30"/>
        </w:rPr>
        <w:t xml:space="preserve">Sources</w:t>
      </w:r>
    </w:p>
    <w:p>
      <w:pPr>
        <w:pStyle w:val="ListParagraph"/>
        <w:numPr>
          <w:ilvl w:val="0"/>
          <w:numId w:val="2"/>
        </w:numPr>
        <w:spacing w:after="60"/>
      </w:pPr>
      <w:hyperlink w:history="1" r:id="rIdpcvxhxlvn3dtav4ujaunj">
        <w:r>
          <w:rPr>
            <w:rStyle w:val="Hyperlink"/>
            <w:rFonts w:ascii="Arial" w:cs="Arial" w:eastAsia="Arial" w:hAnsi="Arial"/>
            <w:sz w:val="18"/>
            <w:szCs w:val="18"/>
          </w:rPr>
          <w:t xml:space="preserve">Game #4: Here's the change the Lightning will make to their lineup — Dose.ca</w:t>
        </w:r>
      </w:hyperlink>
    </w:p>
    <w:p>
      <w:pPr>
        <w:pStyle w:val="ListParagraph"/>
        <w:numPr>
          <w:ilvl w:val="0"/>
          <w:numId w:val="2"/>
        </w:numPr>
        <w:spacing w:after="60"/>
      </w:pPr>
      <w:hyperlink w:history="1" r:id="rIded0fovguultpkxp1t02zh">
        <w:r>
          <w:rPr>
            <w:rStyle w:val="Hyperlink"/>
            <w:rFonts w:ascii="Arial" w:cs="Arial" w:eastAsia="Arial" w:hAnsi="Arial"/>
            <w:sz w:val="18"/>
            <w:szCs w:val="18"/>
          </w:rPr>
          <w:t xml:space="preserve">Lightning replace defenseman for Game 4 vs Canadiens — Montreal Hockey Fanatics</w:t>
        </w:r>
      </w:hyperlink>
    </w:p>
    <w:p>
      <w:pPr>
        <w:pStyle w:val="ListParagraph"/>
        <w:numPr>
          <w:ilvl w:val="0"/>
          <w:numId w:val="2"/>
        </w:numPr>
        <w:spacing w:after="60"/>
      </w:pPr>
      <w:hyperlink w:history="1" r:id="rIddy9ab0xxoz0xrxw0aeh4q">
        <w:r>
          <w:rPr>
            <w:rStyle w:val="Hyperlink"/>
            <w:rFonts w:ascii="Arial" w:cs="Arial" w:eastAsia="Arial" w:hAnsi="Arial"/>
            <w:sz w:val="18"/>
            <w:szCs w:val="18"/>
          </w:rPr>
          <w:t xml:space="preserve">Mise à jour de l'entraînement matinal optionnel — 26 avril (LNH.com Canadien)</w:t>
        </w:r>
      </w:hyperlink>
    </w:p>
    <w:p>
      <w:pPr>
        <w:pStyle w:val="ListParagraph"/>
        <w:numPr>
          <w:ilvl w:val="0"/>
          <w:numId w:val="2"/>
        </w:numPr>
        <w:spacing w:after="60"/>
      </w:pPr>
      <w:hyperlink w:history="1" r:id="rIdygsaybp95bgujvuo1-hey">
        <w:r>
          <w:rPr>
            <w:rStyle w:val="Hyperlink"/>
            <w:rFonts w:ascii="Arial" w:cs="Arial" w:eastAsia="Arial" w:hAnsi="Arial"/>
            <w:sz w:val="18"/>
            <w:szCs w:val="18"/>
          </w:rPr>
          <w:t xml:space="preserve">TBL@MTL : ce qu'il faut savoir | Match 4 (LNH.com Canadien)</w:t>
        </w:r>
      </w:hyperlink>
    </w:p>
    <w:p>
      <w:pPr>
        <w:pStyle w:val="ListParagraph"/>
        <w:numPr>
          <w:ilvl w:val="0"/>
          <w:numId w:val="2"/>
        </w:numPr>
        <w:spacing w:after="60"/>
      </w:pPr>
      <w:hyperlink w:history="1" r:id="rIdh5yrtuseljli-z0dollup">
        <w:r>
          <w:rPr>
            <w:rStyle w:val="Hyperlink"/>
            <w:rFonts w:ascii="Arial" w:cs="Arial" w:eastAsia="Arial" w:hAnsi="Arial"/>
            <w:sz w:val="18"/>
            <w:szCs w:val="18"/>
          </w:rPr>
          <w:t xml:space="preserve">3 Things to Watch: Lightning at Canadiens, Game 4 — NHL.com</w:t>
        </w:r>
      </w:hyperlink>
    </w:p>
    <w:p>
      <w:pPr>
        <w:pStyle w:val="ListParagraph"/>
        <w:numPr>
          <w:ilvl w:val="0"/>
          <w:numId w:val="2"/>
        </w:numPr>
        <w:spacing w:after="60"/>
      </w:pPr>
      <w:hyperlink w:history="1" r:id="rIdyltpkvcjeaegpxd-aqc5v">
        <w:r>
          <w:rPr>
            <w:rStyle w:val="Hyperlink"/>
            <w:rFonts w:ascii="Arial" w:cs="Arial" w:eastAsia="Arial" w:hAnsi="Arial"/>
            <w:sz w:val="18"/>
            <w:szCs w:val="18"/>
          </w:rPr>
          <w:t xml:space="preserve">Aperçu du Match 4 — Habs Eyes on the Prize</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survol d'avant-match · M4 CH c. TBL</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cvxhxlvn3dtav4ujaunj" Type="http://schemas.openxmlformats.org/officeDocument/2006/relationships/hyperlink" Target="https://dose.ca/2026/04/26/game-4-heres-the-change-the-lightning-will-make-to-their-lineup/" TargetMode="External"/><Relationship Id="rIded0fovguultpkxp1t02zh" Type="http://schemas.openxmlformats.org/officeDocument/2006/relationships/hyperlink" Target="https://www.montrealhockeyfanatics.com/nhl-team/tampa-bay-lightning/lightning-replace-defenseman-for-game-4-vs-canadiens-as-cooper-makes-third-blue-line-change" TargetMode="External"/><Relationship Id="rIddy9ab0xxoz0xrxw0aeh4q" Type="http://schemas.openxmlformats.org/officeDocument/2006/relationships/hyperlink" Target="https://www.nhl.com/canadiens/news/updates-from-optional-morning-skate-apr-26-2026" TargetMode="External"/><Relationship Id="rIdygsaybp95bgujvuo1-hey" Type="http://schemas.openxmlformats.org/officeDocument/2006/relationships/hyperlink" Target="https://www.nhl.com/canadiens/news/tbl-mtl-what-you-need-to-know-game-4-apr-26-2026" TargetMode="External"/><Relationship Id="rIdh5yrtuseljli-z0dollup" Type="http://schemas.openxmlformats.org/officeDocument/2006/relationships/hyperlink" Target="https://www.nhl.com/news/topic/playoffs/tampa-bay-lightning-montreal-canadiens-game-4-preview-april-26-2026" TargetMode="External"/><Relationship Id="rIdyltpkvcjeaegpxd-aqc5v" Type="http://schemas.openxmlformats.org/officeDocument/2006/relationships/hyperlink" Target="https://www.habseyesontheprize.com/canadiens-lightning-2026-04-26-stanley-cup-playoffs-round-1-game-4-preview-start-time-tale-of-the-tape-and-how-to-watch-tv-listing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Survol d'avant-match — Canadien c. Lightning, Match 4 (26 avril 2026)</dc:title>
  <dc:creator>Lemieux</dc:creator>
  <cp:lastModifiedBy>Un-named</cp:lastModifiedBy>
  <cp:revision>1</cp:revision>
  <dcterms:created xsi:type="dcterms:W3CDTF">2026-04-27T02:37:52.554Z</dcterms:created>
  <dcterms:modified xsi:type="dcterms:W3CDTF">2026-04-27T02:37:52.554Z</dcterms:modified>
</cp:coreProperties>
</file>

<file path=docProps/custom.xml><?xml version="1.0" encoding="utf-8"?>
<Properties xmlns="http://schemas.openxmlformats.org/officeDocument/2006/custom-properties" xmlns:vt="http://schemas.openxmlformats.org/officeDocument/2006/docPropsVTypes"/>
</file>