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80"/>
      </w:pPr>
      <w:r>
        <w:rPr>
          <w:rFonts w:ascii="Arial" w:cs="Arial" w:eastAsia="Arial" w:hAnsi="Arial"/>
          <w:b/>
          <w:bCs/>
          <w:color w:val="1F2F4A"/>
          <w:sz w:val="36"/>
          <w:szCs w:val="36"/>
        </w:rPr>
        <w:t xml:space="preserve">Projection d'échange à trois couches — Gallagher pour Dach</w:t>
      </w:r>
    </w:p>
    <w:p>
      <w:pPr>
        <w:spacing w:after="80"/>
      </w:pPr>
      <w:r>
        <w:rPr>
          <w:rFonts w:ascii="Arial" w:cs="Arial" w:eastAsia="Arial" w:hAnsi="Arial"/>
          <w:i/>
          <w:iCs/>
          <w:color w:val="666666"/>
          <w:sz w:val="22"/>
          <w:szCs w:val="22"/>
        </w:rPr>
        <w:t xml:space="preserve">Fenêtre de 14 minutes/match, 5 c. 5. Exemple travaillé du moteur de comparables + couche d'archétype.</w:t>
      </w:r>
    </w:p>
    <w:p>
      <w:pPr>
        <w:spacing w:after="200"/>
      </w:pPr>
      <w:r>
        <w:rPr>
          <w:rFonts w:ascii="Arial" w:cs="Arial" w:eastAsia="Arial" w:hAnsi="Arial"/>
          <w:color w:val="666666"/>
          <w:sz w:val="18"/>
          <w:szCs w:val="18"/>
        </w:rPr>
        <w:t xml:space="preserve">Généré le 2026-04-28 · code source ouvert · github.com/lemieuxAI/framework</w:t>
      </w:r>
    </w:p>
    <w:p>
      <w:pPr>
        <w:pStyle w:val="Heading1"/>
        <w:spacing w:after="140" w:before="280"/>
      </w:pPr>
      <w:r>
        <w:rPr>
          <w:rFonts w:ascii="Arial" w:cs="Arial" w:eastAsia="Arial" w:hAnsi="Arial"/>
          <w:b/>
          <w:bCs/>
          <w:color w:val="1F2F4A"/>
          <w:sz w:val="30"/>
          <w:szCs w:val="30"/>
        </w:rPr>
        <w:t xml:space="preserve">De quoi il s'agit</w:t>
      </w:r>
    </w:p>
    <w:p>
      <w:pPr>
        <w:pStyle w:val="ListParagraph"/>
        <w:numPr>
          <w:ilvl w:val="0"/>
          <w:numId w:val="2"/>
        </w:numPr>
        <w:spacing w:after="80"/>
      </w:pPr>
      <w:r>
        <w:rPr>
          <w:rFonts w:ascii="Arial" w:cs="Arial" w:eastAsia="Arial" w:hAnsi="Arial"/>
          <w:color w:val="111111"/>
          <w:sz w:val="20"/>
          <w:szCs w:val="20"/>
        </w:rPr>
        <w:t xml:space="preserve">Le cadriciel est bâti autour d'un traitement honnête des petits échantillons. Une projection d'échange basée uniquement sur l'iso poolé d'un joueur — même sur cinq ans de données LNH — donne des bandes IC trop larges pour s'engager sur une direction. L'ajout (a) d'un trio de comparables kNN et (b) d'un ajustement de niveau archétype pour le delta saison-régulière → séries rétrécit cette incertitude, SI les données le justifient.</w:t>
      </w:r>
    </w:p>
    <w:p>
      <w:pPr>
        <w:pStyle w:val="ListParagraph"/>
        <w:numPr>
          <w:ilvl w:val="0"/>
          <w:numId w:val="2"/>
        </w:numPr>
        <w:spacing w:after="80"/>
      </w:pPr>
      <w:r>
        <w:rPr>
          <w:rFonts w:ascii="Arial" w:cs="Arial" w:eastAsia="Arial" w:hAnsi="Arial"/>
          <w:color w:val="111111"/>
          <w:sz w:val="20"/>
          <w:szCs w:val="20"/>
        </w:rPr>
        <w:t xml:space="preserve">Ce document montre les trois couches empilées sur une vraie requête d'échange, avec la projection de chaque couche + son IC à 80 % côte à côte. Le lecteur peut être en désaccord avec n'importe quelle couche; la méthodologie de chacune est indépendamment vérifiable.</w:t>
      </w:r>
    </w:p>
    <w:p>
      <w:pPr>
        <w:pStyle w:val="Heading1"/>
        <w:spacing w:after="140" w:before="280"/>
      </w:pPr>
      <w:r>
        <w:rPr>
          <w:rFonts w:ascii="Arial" w:cs="Arial" w:eastAsia="Arial" w:hAnsi="Arial"/>
          <w:b/>
          <w:bCs/>
          <w:color w:val="1F2F4A"/>
          <w:sz w:val="30"/>
          <w:szCs w:val="30"/>
        </w:rPr>
        <w:t xml:space="preserve">Les trois couches, projetées</w:t>
      </w:r>
    </w:p>
    <w:p>
      <w:pPr>
        <w:spacing w:after="100"/>
      </w:pPr>
      <w:r>
        <w:rPr>
          <w:rFonts w:ascii="Arial" w:cs="Arial" w:eastAsia="Arial" w:hAnsi="Arial"/>
          <w:i/>
          <w:iCs/>
          <w:color w:val="666666"/>
          <w:sz w:val="20"/>
          <w:szCs w:val="20"/>
        </w:rPr>
        <w:t xml:space="preserve">Couche 1 : iso poolé 5 ans LNH du joueur. Couche 2 : Couche 1 mélangée à l'iso poolé des 5 comparables kNN les plus proches, pondérée par la taille d'échantillon. Couche 3 : ajout du delta saison-régulière → séries au niveau archétype, dérivé d'une étude de scission par tag.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1700"/>
        <w:gridCol w:w="2300"/>
        <w:gridCol w:w="15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Couche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Δ Net BA/match</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IC 80 % BAF</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Largeur IC</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Layer 1 — Gallagher's pooled iso (5-yr NHL, no kNN)</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+0,093</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[+0,023, +0,204]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+0,182</w:t>
            </w:r>
          </w:p>
        </w:tc>
      </w:tr>
      <w:tr>
        <w:tc>
          <w:tcPr>
            <w:tcBorders>
              <w:top w:val="single" w:color="BFBFBF" w:sz="4"/>
              <w:left w:val="single" w:color="BFBFBF" w:sz="4"/>
              <w:bottom w:val="single" w:color="BFBFBF" w:sz="4"/>
              <w:right w:val="single" w:color="BFBFBF" w:sz="4"/>
            </w:tcBorders>
            <w:shd w:fill="F2E6F8" w:color="auto" w:val="clear"/>
            <w:vAlign w:val="center"/>
          </w:tcPr>
          <w:p>
            <w:pPr>
              <w:spacing w:after="40" w:before="40"/>
            </w:pPr>
            <w:r>
              <w:rPr>
                <w:rFonts w:ascii="Arial" w:cs="Arial" w:eastAsia="Arial" w:hAnsi="Arial"/>
                <w:b w:val="false"/>
                <w:bCs w:val="false"/>
                <w:color w:val="111111"/>
                <w:sz w:val="18"/>
                <w:szCs w:val="18"/>
              </w:rPr>
              <w:t xml:space="preserve">Layer 2 — Comp-cohort-stabilized (k=5 NHL kNN)</w:t>
            </w:r>
          </w:p>
        </w:tc>
        <w:tc>
          <w:tcPr>
            <w:tcBorders>
              <w:top w:val="single" w:color="BFBFBF" w:sz="4"/>
              <w:left w:val="single" w:color="BFBFBF" w:sz="4"/>
              <w:bottom w:val="single" w:color="BFBFBF" w:sz="4"/>
              <w:right w:val="single" w:color="BFBFBF" w:sz="4"/>
            </w:tcBorders>
            <w:shd w:fill="F2E6F8" w:color="auto" w:val="clear"/>
            <w:vAlign w:val="center"/>
          </w:tcPr>
          <w:p>
            <w:pPr>
              <w:spacing w:after="40" w:before="40"/>
            </w:pPr>
            <w:r>
              <w:rPr>
                <w:rFonts w:ascii="Arial" w:cs="Arial" w:eastAsia="Arial" w:hAnsi="Arial"/>
                <w:b w:val="false"/>
                <w:bCs w:val="false"/>
                <w:color w:val="111111"/>
                <w:sz w:val="18"/>
                <w:szCs w:val="18"/>
              </w:rPr>
              <w:t xml:space="preserve">+0,091</w:t>
            </w:r>
          </w:p>
        </w:tc>
        <w:tc>
          <w:tcPr>
            <w:tcBorders>
              <w:top w:val="single" w:color="BFBFBF" w:sz="4"/>
              <w:left w:val="single" w:color="BFBFBF" w:sz="4"/>
              <w:bottom w:val="single" w:color="BFBFBF" w:sz="4"/>
              <w:right w:val="single" w:color="BFBFBF" w:sz="4"/>
            </w:tcBorders>
            <w:shd w:fill="F2E6F8" w:color="auto" w:val="clear"/>
            <w:vAlign w:val="center"/>
          </w:tcPr>
          <w:p>
            <w:pPr>
              <w:spacing w:after="40" w:before="40"/>
            </w:pPr>
            <w:r>
              <w:rPr>
                <w:rFonts w:ascii="Arial" w:cs="Arial" w:eastAsia="Arial" w:hAnsi="Arial"/>
                <w:b w:val="false"/>
                <w:bCs w:val="false"/>
                <w:color w:val="111111"/>
                <w:sz w:val="18"/>
                <w:szCs w:val="18"/>
              </w:rPr>
              <w:t xml:space="preserve">[+0,028, +0,185]</w:t>
            </w:r>
          </w:p>
        </w:tc>
        <w:tc>
          <w:tcPr>
            <w:tcBorders>
              <w:top w:val="single" w:color="BFBFBF" w:sz="4"/>
              <w:left w:val="single" w:color="BFBFBF" w:sz="4"/>
              <w:bottom w:val="single" w:color="BFBFBF" w:sz="4"/>
              <w:right w:val="single" w:color="BFBFBF" w:sz="4"/>
            </w:tcBorders>
            <w:shd w:fill="F2E6F8" w:color="auto" w:val="clear"/>
            <w:vAlign w:val="center"/>
          </w:tcPr>
          <w:p>
            <w:pPr>
              <w:spacing w:after="40" w:before="40"/>
            </w:pPr>
            <w:r>
              <w:rPr>
                <w:rFonts w:ascii="Arial" w:cs="Arial" w:eastAsia="Arial" w:hAnsi="Arial"/>
                <w:b w:val="false"/>
                <w:bCs w:val="false"/>
                <w:color w:val="111111"/>
                <w:sz w:val="18"/>
                <w:szCs w:val="18"/>
              </w:rPr>
              <w:t xml:space="preserve">+0,156</w:t>
            </w:r>
          </w:p>
        </w:tc>
      </w:tr>
      <w:tr>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Layer 3 — Archetype-adjusted ('warrior' tag, N=8)</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+0,057</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[-0,034, +0,179]</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val="false"/>
                <w:bCs w:val="false"/>
                <w:color w:val="111111"/>
                <w:sz w:val="18"/>
                <w:szCs w:val="18"/>
              </w:rPr>
              <w:t xml:space="preserve">+0,214</w:t>
            </w:r>
          </w:p>
        </w:tc>
      </w:tr>
    </w:tbl>
    <w:p>
      <w:r>
        <w:br w:type="page"/>
      </w:r>
    </w:p>
    <w:p>
      <w:pPr>
        <w:pStyle w:val="Heading1"/>
        <w:spacing w:after="140" w:before="280"/>
      </w:pPr>
      <w:r>
        <w:rPr>
          <w:rFonts w:ascii="Arial" w:cs="Arial" w:eastAsia="Arial" w:hAnsi="Arial"/>
          <w:b/>
          <w:bCs/>
          <w:color w:val="1F2F4A"/>
          <w:sz w:val="30"/>
          <w:szCs w:val="30"/>
        </w:rPr>
        <w:t xml:space="preserve">Couche 2 — cohorte de comparables kNN</w:t>
      </w:r>
    </w:p>
    <w:p>
      <w:pPr>
        <w:spacing w:after="100"/>
      </w:pPr>
      <w:r>
        <w:rPr>
          <w:rFonts w:ascii="Arial" w:cs="Arial" w:eastAsia="Arial" w:hAnsi="Arial"/>
          <w:i/>
          <w:iCs/>
          <w:color w:val="666666"/>
          <w:sz w:val="20"/>
          <w:szCs w:val="20"/>
        </w:rPr>
        <w:t xml:space="preserve">Les cinq joueurs les plus proches de Gallagher dans l'espace de caractéristiques du moteur. Le pointage est une similarité 0-100 style CARMELO. Le TG est le total à 5 c. 5 du comparable sur la fenêtre de 5 ans — plus la cohorte cumule de minutes, plus la régularisation rétrécit l'IC de la Couche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800"/>
        <w:gridCol w:w="34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Pointage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Comparable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Pos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TG 5 c. 5 poolé</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+7,7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Blake Wheeler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+2613</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+1,8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Viktor Arvidsson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+392</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+1,1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Timo Meier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+5965</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Josh Anderson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+4845</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Mathieu Olivier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+3263</w:t>
            </w:r>
          </w:p>
        </w:tc>
      </w:tr>
    </w:tbl>
    <w:p>
      <w:pPr>
        <w:pStyle w:val="Heading1"/>
        <w:spacing w:after="140" w:before="280"/>
      </w:pPr>
      <w:r>
        <w:rPr>
          <w:rFonts w:ascii="Arial" w:cs="Arial" w:eastAsia="Arial" w:hAnsi="Arial"/>
          <w:b/>
          <w:bCs/>
          <w:color w:val="1F2F4A"/>
          <w:sz w:val="30"/>
          <w:szCs w:val="30"/>
        </w:rPr>
        <w:t xml:space="preserve">Couche 3 — étude de scission par archétype</w:t>
      </w:r>
    </w:p>
    <w:p>
      <w:pPr>
        <w:spacing w:after="100"/>
      </w:pPr>
      <w:r>
        <w:rPr>
          <w:rFonts w:ascii="Arial" w:cs="Arial" w:eastAsia="Arial" w:hAnsi="Arial"/>
          <w:color w:val="111111"/>
          <w:sz w:val="20"/>
          <w:szCs w:val="20"/>
        </w:rPr>
        <w:t xml:space="preserve">L'archétype principal de Gallagher est </w:t>
      </w:r>
      <w:r>
        <w:rPr>
          <w:rFonts w:ascii="Arial" w:cs="Arial" w:eastAsia="Arial" w:hAnsi="Arial"/>
          <w:b/>
          <w:bCs/>
          <w:color w:val="111111"/>
          <w:sz w:val="20"/>
          <w:szCs w:val="20"/>
        </w:rPr>
        <w:t xml:space="preserve">warrior</w:t>
      </w:r>
      <w:r>
        <w:rPr>
          <w:rFonts w:ascii="Arial" w:cs="Arial" w:eastAsia="Arial" w:hAnsi="Arial"/>
          <w:color w:val="111111"/>
          <w:sz w:val="20"/>
          <w:szCs w:val="20"/>
        </w:rPr>
        <w:t xml:space="preserve"> (assigné à partir des textes de dépistage via WebSearch + extraction GenAI). Pour chaque joueur du corpus marqué du même archétype avec une confiance ≥ 0,6, on calcule (iso net en séries − iso net en saison régulière) et on agrège les deltas de la cohorte avec un IC empirique à 80 %.</w:t>
      </w:r>
    </w:p>
    <w:p>
      <w:pPr>
        <w:spacing w:after="100"/>
      </w:pPr>
      <w:r>
        <w:rPr>
          <w:rFonts w:ascii="Arial" w:cs="Arial" w:eastAsia="Arial" w:hAnsi="Arial"/>
          <w:b/>
          <w:bCs/>
          <w:color w:val="111111"/>
          <w:sz w:val="20"/>
          <w:szCs w:val="20"/>
        </w:rPr>
        <w:t xml:space="preserve">N de la cohorte = 8; lift moyen -0,146; IC 80 % [-0,430, +0,194].</w:t>
      </w:r>
    </w:p>
    <w:p>
      <w:pPr>
        <w:spacing w:after="100"/>
      </w:pPr>
      <w:r>
        <w:rPr>
          <w:rFonts w:ascii="Arial" w:cs="Arial" w:eastAsia="Arial" w:hAnsi="Arial"/>
          <w:i/>
          <w:iCs/>
          <w:color w:val="666666"/>
          <w:sz w:val="20"/>
          <w:szCs w:val="20"/>
        </w:rPr>
        <w:t xml:space="preserve">Le N de la cohorte est de 8 — beaucoup trop petit pour publier ce résultat comme une véritable conclusion. Le cadriciel évalue la prétention et rapporte la direction que les données soutiennent, pas la direction qu'on espérait. Le résultat de la Couche 3 est correct dans la limite de l'échantillon de quatre joueurs; à traiter comme illustratif-du-pipeline plutôt que comme une affirmation robuste au niveau archétype tant que le corpus n'est pas plus grand.</w:t>
      </w:r>
    </w:p>
    <w:p>
      <w:pPr>
        <w:pStyle w:val="Heading1"/>
        <w:spacing w:after="140" w:before="280"/>
      </w:pPr>
      <w:r>
        <w:rPr>
          <w:rFonts w:ascii="Arial" w:cs="Arial" w:eastAsia="Arial" w:hAnsi="Arial"/>
          <w:b/>
          <w:bCs/>
          <w:color w:val="1F2F4A"/>
          <w:sz w:val="30"/>
          <w:szCs w:val="30"/>
        </w:rPr>
        <w:t xml:space="preserve">Lecture honnête</w:t>
      </w:r>
    </w:p>
    <w:p>
      <w:pPr>
        <w:pStyle w:val="ListParagraph"/>
        <w:numPr>
          <w:ilvl w:val="0"/>
          <w:numId w:val="2"/>
        </w:numPr>
        <w:spacing w:after="80"/>
      </w:pPr>
      <w:r>
        <w:rPr>
          <w:rFonts w:ascii="Arial" w:cs="Arial" w:eastAsia="Arial" w:hAnsi="Arial"/>
          <w:b/>
          <w:bCs/>
          <w:color w:val="111111"/>
          <w:sz w:val="20"/>
          <w:szCs w:val="20"/>
        </w:rPr>
        <w:t xml:space="preserve">Les trois couches s'alignent directionnellement</w:t>
      </w:r>
      <w:r>
        <w:rPr>
          <w:rFonts w:ascii="Arial" w:cs="Arial" w:eastAsia="Arial" w:hAnsi="Arial"/>
          <w:color w:val="111111"/>
          <w:sz w:val="20"/>
          <w:szCs w:val="20"/>
        </w:rPr>
        <w:t xml:space="preserve"> si l'IC du lift de l'archétype est cohérent en signe (i.e. ne chevauche pas zéro). Quand il chevauche, la Couche 3 élargit l'IC de la projection au-delà de zéro — exactement ce que le cadriciel doit faire quand la couche archétype ajoute plus de bruit que de signal.</w:t>
      </w:r>
    </w:p>
    <w:p>
      <w:pPr>
        <w:pStyle w:val="ListParagraph"/>
        <w:numPr>
          <w:ilvl w:val="0"/>
          <w:numId w:val="2"/>
        </w:numPr>
        <w:spacing w:after="80"/>
      </w:pPr>
      <w:r>
        <w:rPr>
          <w:rFonts w:ascii="Arial" w:cs="Arial" w:eastAsia="Arial" w:hAnsi="Arial"/>
          <w:b/>
          <w:bCs/>
          <w:color w:val="111111"/>
          <w:sz w:val="20"/>
          <w:szCs w:val="20"/>
        </w:rPr>
        <w:t xml:space="preserve">Le cadriciel évalue, il ne fabrique pas.</w:t>
      </w:r>
      <w:r>
        <w:rPr>
          <w:rFonts w:ascii="Arial" w:cs="Arial" w:eastAsia="Arial" w:hAnsi="Arial"/>
          <w:color w:val="111111"/>
          <w:sz w:val="20"/>
          <w:szCs w:val="20"/>
        </w:rPr>
        <w:t xml:space="preserve"> Si les données sur l'archétype disent « cet archétype sous-performe en séries », la projection baisse en conséquence. Le lecteur voit la direction que les données soutiennent réellement, pas celle qu'on aurait souhaitée.</w:t>
      </w:r>
    </w:p>
    <w:p>
      <w:pPr>
        <w:pStyle w:val="Heading1"/>
        <w:spacing w:after="140" w:before="280"/>
      </w:pPr>
      <w:r>
        <w:rPr>
          <w:rFonts w:ascii="Arial" w:cs="Arial" w:eastAsia="Arial" w:hAnsi="Arial"/>
          <w:b/>
          <w:bCs/>
          <w:color w:val="1F2F4A"/>
          <w:sz w:val="30"/>
          <w:szCs w:val="30"/>
        </w:rPr>
        <w:t xml:space="preserve">Comment chaque couche est calculée</w:t>
      </w:r>
    </w:p>
    <w:p>
      <w:pPr>
        <w:pStyle w:val="ListParagraph"/>
        <w:numPr>
          <w:ilvl w:val="0"/>
          <w:numId w:val="2"/>
        </w:numPr>
        <w:spacing w:after="80"/>
      </w:pPr>
      <w:r>
        <w:rPr>
          <w:rFonts w:ascii="Arial" w:cs="Arial" w:eastAsia="Arial" w:hAnsi="Arial"/>
          <w:b/>
          <w:bCs/>
          <w:color w:val="111111"/>
          <w:sz w:val="20"/>
          <w:szCs w:val="20"/>
        </w:rPr>
        <w:t xml:space="preserve">Couche 1 (iso poolé brut) :</w:t>
      </w:r>
      <w:r>
        <w:rPr>
          <w:rFonts w:ascii="Arial" w:cs="Arial" w:eastAsia="Arial" w:hAnsi="Arial"/>
          <w:color w:val="111111"/>
          <w:sz w:val="20"/>
          <w:szCs w:val="20"/>
        </w:rPr>
        <w:t xml:space="preserve"> `build_pooled_player_impact()` sur 5 saisons LNH (21-22 → 25-26), à 5 c. 5. Variance par approximation poissonnienne sur les événements du joueur.</w:t>
      </w:r>
    </w:p>
    <w:p>
      <w:pPr>
        <w:pStyle w:val="ListParagraph"/>
        <w:numPr>
          <w:ilvl w:val="0"/>
          <w:numId w:val="2"/>
        </w:numPr>
        <w:spacing w:after="80"/>
      </w:pPr>
      <w:r>
        <w:rPr>
          <w:rFonts w:ascii="Arial" w:cs="Arial" w:eastAsia="Arial" w:hAnsi="Arial"/>
          <w:b/>
          <w:bCs/>
          <w:color w:val="111111"/>
          <w:sz w:val="20"/>
          <w:szCs w:val="20"/>
        </w:rPr>
        <w:t xml:space="preserve">Couche 2 (stabilisée par cohorte) :</w:t>
      </w:r>
      <w:r>
        <w:rPr>
          <w:rFonts w:ascii="Arial" w:cs="Arial" w:eastAsia="Arial" w:hAnsi="Arial"/>
          <w:color w:val="111111"/>
          <w:sz w:val="20"/>
          <w:szCs w:val="20"/>
        </w:rPr>
        <w:t xml:space="preserve"> `build_cohort_stabilized_impact()` mélange l'iso de la cible avec l'iso poolé de la cohorte kNN. Poids du mélange : sigmoïde sur log10(TG cible) autour d'un pivot de 600 min. Variance : `σ² = w_t² × σ_cible² + w_c² × σ_cohorte²`.</w:t>
      </w:r>
    </w:p>
    <w:p>
      <w:pPr>
        <w:pStyle w:val="ListParagraph"/>
        <w:numPr>
          <w:ilvl w:val="0"/>
          <w:numId w:val="2"/>
        </w:numPr>
        <w:spacing w:after="80"/>
      </w:pPr>
      <w:r>
        <w:rPr>
          <w:rFonts w:ascii="Arial" w:cs="Arial" w:eastAsia="Arial" w:hAnsi="Arial"/>
          <w:b/>
          <w:bCs/>
          <w:color w:val="111111"/>
          <w:sz w:val="20"/>
          <w:szCs w:val="20"/>
        </w:rPr>
        <w:t xml:space="preserve">Couche 3 (ajustée par archétype) :</w:t>
      </w:r>
      <w:r>
        <w:rPr>
          <w:rFonts w:ascii="Arial" w:cs="Arial" w:eastAsia="Arial" w:hAnsi="Arial"/>
          <w:color w:val="111111"/>
          <w:sz w:val="20"/>
          <w:szCs w:val="20"/>
        </w:rPr>
        <w:t xml:space="preserve"> le lift saison-régulière → séries de la cohorte est ajouté à la Couche 2. Variance du lift approximée à partir de la demi-largeur de l'IC à 80 % par `(demi / 1,2816)²`.</w:t>
      </w:r>
    </w:p>
    <w:p>
      <w:pPr>
        <w:pStyle w:val="Heading1"/>
        <w:spacing w:after="140" w:before="280"/>
      </w:pPr>
      <w:r>
        <w:rPr>
          <w:rFonts w:ascii="Arial" w:cs="Arial" w:eastAsia="Arial" w:hAnsi="Arial"/>
          <w:b/>
          <w:bCs/>
          <w:color w:val="1F2F4A"/>
          <w:sz w:val="30"/>
          <w:szCs w:val="30"/>
        </w:rPr>
        <w:t xml:space="preserve">Sources</w:t>
      </w:r>
    </w:p>
    <w:p>
      <w:pPr>
        <w:pStyle w:val="ListParagraph"/>
        <w:numPr>
          <w:ilvl w:val="0"/>
          <w:numId w:val="2"/>
        </w:numPr>
        <w:spacing w:after="60"/>
      </w:pPr>
      <w:hyperlink w:history="1" r:id="rIdorunqokcx1puomxkukj34">
        <w:r>
          <w:rPr>
            <w:rStyle w:val="Hyperlink"/>
            <w:rFonts w:ascii="Arial" w:cs="Arial" w:eastAsia="Arial" w:hAnsi="Arial"/>
            <w:sz w:val="18"/>
            <w:szCs w:val="18"/>
          </w:rPr>
          <w:t xml:space="preserve">Moteur de comparables + plan</w:t>
        </w:r>
      </w:hyperlink>
    </w:p>
    <w:p>
      <w:pPr>
        <w:pStyle w:val="ListParagraph"/>
        <w:numPr>
          <w:ilvl w:val="0"/>
          <w:numId w:val="2"/>
        </w:numPr>
        <w:spacing w:after="60"/>
      </w:pPr>
      <w:hyperlink w:history="1" r:id="rIduyxqyasysj87htd4br96k">
        <w:r>
          <w:rPr>
            <w:rStyle w:val="Hyperlink"/>
            <w:rFonts w:ascii="Arial" w:cs="Arial" w:eastAsia="Arial" w:hAnsi="Arial"/>
            <w:sz w:val="18"/>
            <w:szCs w:val="18"/>
          </w:rPr>
          <w:t xml:space="preserve">Commit du spike de la Phase 1</w:t>
        </w:r>
      </w:hyperlink>
    </w:p>
    <w:p>
      <w:pPr>
        <w:pStyle w:val="ListParagraph"/>
        <w:numPr>
          <w:ilvl w:val="0"/>
          <w:numId w:val="2"/>
        </w:numPr>
        <w:spacing w:after="60"/>
      </w:pPr>
      <w:hyperlink w:history="1" r:id="rIdrdeb2faatbcjf6dqgin5j">
        <w:r>
          <w:rPr>
            <w:rStyle w:val="Hyperlink"/>
            <w:rFonts w:ascii="Arial" w:cs="Arial" w:eastAsia="Arial" w:hAnsi="Arial"/>
            <w:sz w:val="18"/>
            <w:szCs w:val="18"/>
          </w:rPr>
          <w:t xml:space="preserve">Seed du corpus de dépistage (12 joueurs)</w:t>
        </w:r>
      </w:hyperlink>
    </w:p>
    <w:p>
      <w:pPr>
        <w:pStyle w:val="ListParagraph"/>
        <w:numPr>
          <w:ilvl w:val="0"/>
          <w:numId w:val="2"/>
        </w:numPr>
        <w:spacing w:after="60"/>
      </w:pPr>
      <w:hyperlink w:history="1" r:id="rIdamgbqoelzphmfmchubmmv">
        <w:r>
          <w:rPr>
            <w:rStyle w:val="Hyperlink"/>
            <w:rFonts w:ascii="Arial" w:cs="Arial" w:eastAsia="Arial" w:hAnsi="Arial"/>
            <w:sz w:val="18"/>
            <w:szCs w:val="18"/>
          </w:rPr>
          <w:t xml:space="preserve">Référence méthodologique CARMELO</w:t>
        </w:r>
      </w:hyperlink>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666666"/>
        <w:sz w:val="16"/>
        <w:szCs w:val="16"/>
      </w:rPr>
      <w:t xml:space="preserve">Lemieux · projection d'échange à trois couches</w:t>
    </w:r>
    <w:r>
      <w:rPr>
        <w:rFonts w:ascii="Arial" w:cs="Arial" w:eastAsia="Arial" w:hAnsi="Arial"/>
        <w:color w:val="666666"/>
        <w:sz w:val="16"/>
        <w:szCs w:val="16"/>
      </w:rPr>
      <w:t xml:space="preserve">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A6192E"/>
        <w:sz w:val="18"/>
        <w:szCs w:val="18"/>
      </w:rPr>
      <w:t xml:space="preserve">LEMIEUX  </w:t>
    </w:r>
    <w:r>
      <w:rPr>
        <w:rFonts w:ascii="Arial" w:cs="Arial" w:eastAsia="Arial" w:hAnsi="Arial"/>
        <w:color w:val="666666"/>
        <w:sz w:val="16"/>
        <w:szCs w:val="16"/>
      </w:rPr>
      <w:t xml:space="preserve">· hockey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A619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2F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4A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runqokcx1puomxkukj34" Type="http://schemas.openxmlformats.org/officeDocument/2006/relationships/hyperlink" Target="https://github.com/lemieuxAI/framework/blob/main/plans/want-to-build-an-cheeky-zebra.md" TargetMode="External"/><Relationship Id="rIduyxqyasysj87htd4br96k" Type="http://schemas.openxmlformats.org/officeDocument/2006/relationships/hyperlink" Target="https://github.com/lemieuxAI/framework/commit/c71845d" TargetMode="External"/><Relationship Id="rIdrdeb2faatbcjf6dqgin5j" Type="http://schemas.openxmlformats.org/officeDocument/2006/relationships/hyperlink" Target="https://github.com/lemieuxAI/framework/commit/c7bb60b" TargetMode="External"/><Relationship Id="rIdamgbqoelzphmfmchubmmv" Type="http://schemas.openxmlformats.org/officeDocument/2006/relationships/hyperlink" Target="https://fivethirtyeight.com/methodology/how-our-nba-predictions-work/"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Projection d'échange à trois couches — Gallagher pour Dach</dc:title>
  <dc:creator>Lemieux</dc:creator>
  <cp:lastModifiedBy>Un-named</cp:lastModifiedBy>
  <cp:revision>1</cp:revision>
  <dcterms:created xsi:type="dcterms:W3CDTF">2026-04-28T04:38:07.097Z</dcterms:created>
  <dcterms:modified xsi:type="dcterms:W3CDTF">2026-04-28T04:38:07.097Z</dcterms:modified>
</cp:coreProperties>
</file>

<file path=docProps/custom.xml><?xml version="1.0" encoding="utf-8"?>
<Properties xmlns="http://schemas.openxmlformats.org/officeDocument/2006/custom-properties" xmlns:vt="http://schemas.openxmlformats.org/officeDocument/2006/docPropsVTypes"/>
</file>