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18"/>
          <w:szCs w:val="18"/>
        </w:rPr>
        <w:t xml:space="preserve">INTÉRPRETE DA TEORIA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Nova teoria da mudança</w:t>
      </w:r>
    </w:p>
    <w:p>
      <w:pPr>
        <w:pStyle w:val="Title"/>
        <w:spacing w:after="160"/>
      </w:pPr>
      <w:r>
        <w:rPr>
          <w:b/>
          <w:bCs/>
          <w:sz w:val="32"/>
          <w:szCs w:val="32"/>
        </w:rPr>
        <w:t xml:space="preserve">Narrativa do fluxo selecionado</w:t>
      </w:r>
    </w:p>
    <w:p>
      <w:pPr>
        <w:spacing w:after="2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 etapas · 3 conexões · 2 riscos · 1 hipótese</w:t>
      </w:r>
    </w:p>
    <w:p>
      <w:pPr>
        <w:pStyle w:val="Heading1"/>
        <w:spacing w:after="160" w:before="200"/>
      </w:pPr>
      <w:r>
        <w:rPr>
          <w:b/>
          <w:bCs/>
        </w:rPr>
        <w:t xml:space="preserve">Introdução</w:t>
      </w:r>
    </w:p>
    <w:p>
      <w:pPr>
        <w:spacing w:after="160"/>
        <w:jc w:val="both"/>
      </w:pPr>
      <w:r>
        <w:rPr>
          <w:sz w:val="22"/>
          <w:szCs w:val="22"/>
        </w:rPr>
        <w:t xml:space="preserve">Este recorte acompanha o caminho que liga “Equipe técnica” a “Melhoria no acompanhamento”.</w:t>
      </w:r>
    </w:p>
    <w:p>
      <w:pPr>
        <w:pStyle w:val="Heading1"/>
        <w:spacing w:after="140" w:before="240"/>
      </w:pPr>
      <w:r>
        <w:rPr>
          <w:b/>
          <w:bCs/>
        </w:rPr>
        <w:t xml:space="preserve">1 Recorte do fluxo selecionado</w:t>
      </w:r>
    </w:p>
    <w:p>
      <w:pPr>
        <w:spacing w:after="140"/>
        <w:jc w:val="both"/>
      </w:pPr>
      <w:r>
        <w:rPr>
          <w:sz w:val="22"/>
          <w:szCs w:val="22"/>
        </w:rPr>
        <w:t xml:space="preserve">Este recorte acompanha o caminho que liga “Equipe técnica” a “Melhoria no acompanhamento”.</w:t>
      </w:r>
    </w:p>
    <w:p>
      <w:pPr>
        <w:pStyle w:val="Heading1"/>
        <w:spacing w:after="140" w:before="240"/>
      </w:pPr>
      <w:r>
        <w:rPr>
          <w:b/>
          <w:bCs/>
        </w:rPr>
        <w:t xml:space="preserve">2 Percurso registrado</w:t>
      </w:r>
    </w:p>
    <w:p>
      <w:pPr>
        <w:pStyle w:val="Heading2"/>
        <w:spacing w:after="140" w:before="240"/>
      </w:pPr>
      <w:r>
        <w:rPr>
          <w:b/>
          <w:bCs/>
        </w:rPr>
        <w:t xml:space="preserve">2.1 Equipe técnica</w:t>
      </w:r>
    </w:p>
    <w:p>
      <w:pPr>
        <w:spacing w:after="140"/>
        <w:jc w:val="both"/>
      </w:pPr>
      <w:r>
        <w:rPr>
          <w:sz w:val="22"/>
          <w:szCs w:val="22"/>
        </w:rPr>
        <w:t xml:space="preserve">O percurso registrado parte do insumo “Equipe técnica”. Esse recurso é descrito como profissionais disponíveis para coordenar e apoiar a execução. Em termos operacionais, capacidade instalada para planejar, acompanhar e revisar a política. Como observação complementar, pessoas para conduzir a política.</w:t>
      </w:r>
    </w:p>
    <w:p>
      <w:pPr>
        <w:spacing w:after="140"/>
        <w:ind w:firstLine="360"/>
        <w:jc w:val="both"/>
      </w:pPr>
      <w:r>
        <w:rPr>
          <w:sz w:val="22"/>
          <w:szCs w:val="22"/>
        </w:rPr>
        <w:t xml:space="preserve">Esses recursos sustentam a realização da atividade “Formação de professores”. A atividade consiste em encontros para orientar o uso de práticas e materiais. Na execução, ações que transformam os recursos em execução prática. A nota associada registra encontros formativos.</w:t>
      </w:r>
    </w:p>
    <w:p>
      <w:pPr>
        <w:spacing w:after="140"/>
        <w:jc w:val="both"/>
      </w:pPr>
      <w:r>
        <w:rPr>
          <w:sz w:val="22"/>
          <w:szCs w:val="22"/>
        </w:rPr>
        <w:t xml:space="preserve">A transição entre “Equipe técnica” e “Formação de professores” registra o risco abaixo, que deve permanecer associado a essa passagem.</w:t>
      </w:r>
    </w:p>
    <w:p>
      <w:pPr>
        <w:spacing w:after="40" w:before="120"/>
      </w:pPr>
      <w:r>
        <w:rPr>
          <w:b/>
          <w:bCs/>
          <w:sz w:val="18"/>
          <w:szCs w:val="18"/>
        </w:rPr>
        <w:t xml:space="preserve">Risco</w:t>
      </w:r>
    </w:p>
    <w:p>
      <w:pPr>
        <w:pBdr>
          <w:left w:val="single" w:color="3A3A3E" w:sz="12" w:space="8"/>
        </w:pBdr>
        <w:spacing w:after="160"/>
        <w:ind w:left="120"/>
      </w:pPr>
      <w:r>
        <w:rPr>
          <w:sz w:val="22"/>
          <w:szCs w:val="22"/>
        </w:rPr>
        <w:t xml:space="preserve">Dependência de disponibilidade da equipe técnica para manter a rotina de formação.</w:t>
      </w:r>
    </w:p>
    <w:p>
      <w:pPr>
        <w:pStyle w:val="Heading2"/>
        <w:spacing w:after="140" w:before="240"/>
      </w:pPr>
      <w:r>
        <w:rPr>
          <w:b/>
          <w:bCs/>
        </w:rPr>
        <w:t xml:space="preserve">2.2 Oficinas realizadas</w:t>
      </w:r>
    </w:p>
    <w:p>
      <w:pPr>
        <w:spacing w:after="140"/>
        <w:jc w:val="both"/>
      </w:pPr>
      <w:r>
        <w:rPr>
          <w:sz w:val="22"/>
          <w:szCs w:val="22"/>
        </w:rPr>
        <w:t xml:space="preserve">Na sequência, a atividade “Formação de professores” se relaciona ao produto “Oficinas realizadas”. Essa entrega corresponde a formações concluídas com participação das equipes escolares. O detalhamento registrado informa que entregas concretas geradas a partir das atividades executadas. Como registro adicional, formações concluídas.</w:t>
      </w:r>
    </w:p>
    <w:p>
      <w:pPr>
        <w:spacing w:after="140"/>
        <w:jc w:val="both"/>
      </w:pPr>
      <w:r>
        <w:rPr>
          <w:sz w:val="22"/>
          <w:szCs w:val="22"/>
        </w:rPr>
        <w:t xml:space="preserve">A transição entre “Formação de professores” e “Oficinas realizadas” registra o risco abaixo, que deve permanecer associado a essa passagem.</w:t>
      </w:r>
    </w:p>
    <w:p>
      <w:pPr>
        <w:spacing w:after="40" w:before="120"/>
      </w:pPr>
      <w:r>
        <w:rPr>
          <w:b/>
          <w:bCs/>
          <w:sz w:val="18"/>
          <w:szCs w:val="18"/>
        </w:rPr>
        <w:t xml:space="preserve">Risco</w:t>
      </w:r>
    </w:p>
    <w:p>
      <w:pPr>
        <w:pBdr>
          <w:left w:val="single" w:color="3A3A3E" w:sz="12" w:space="8"/>
        </w:pBdr>
        <w:spacing w:after="160"/>
        <w:ind w:left="120"/>
      </w:pPr>
      <w:r>
        <w:rPr>
          <w:sz w:val="22"/>
          <w:szCs w:val="22"/>
        </w:rPr>
        <w:t xml:space="preserve">Baixa adesão pode reduzir a qualidade das oficinas realizadas.</w:t>
      </w:r>
    </w:p>
    <w:p>
      <w:pPr>
        <w:pStyle w:val="Heading2"/>
        <w:spacing w:after="140" w:before="240"/>
      </w:pPr>
      <w:r>
        <w:rPr>
          <w:b/>
          <w:bCs/>
        </w:rPr>
        <w:t xml:space="preserve">2.3 Resultado esperado</w:t>
      </w:r>
    </w:p>
    <w:p>
      <w:pPr>
        <w:spacing w:after="140"/>
        <w:jc w:val="both"/>
      </w:pPr>
      <w:r>
        <w:rPr>
          <w:sz w:val="22"/>
          <w:szCs w:val="22"/>
        </w:rPr>
        <w:t xml:space="preserve">O produto “Oficinas realizadas” se conecta ao resultado esperado “Melhoria no acompanhamento”. A mudança esperada é descrita como escolas passam a usar dados para acompanhar estudantes com mais regularidade. Em termos de efeito esperado, mudança esperada na prática de monitoramento e gestão pedagógica. A observação final registra uso mais regular de dados.</w:t>
      </w:r>
    </w:p>
    <w:p>
      <w:pPr>
        <w:spacing w:after="140"/>
        <w:jc w:val="both"/>
      </w:pPr>
      <w:r>
        <w:rPr>
          <w:sz w:val="22"/>
          <w:szCs w:val="22"/>
        </w:rPr>
        <w:t xml:space="preserve">A passagem entre “Oficinas realizadas” e “Melhoria no acompanhamento” depende da hipótese registrada abaixo.</w:t>
      </w:r>
    </w:p>
    <w:p>
      <w:pPr>
        <w:spacing w:after="40" w:before="120"/>
      </w:pPr>
      <w:r>
        <w:rPr>
          <w:b/>
          <w:bCs/>
          <w:sz w:val="18"/>
          <w:szCs w:val="18"/>
        </w:rPr>
        <w:t xml:space="preserve">Hipótese</w:t>
      </w:r>
    </w:p>
    <w:p>
      <w:pPr>
        <w:pBdr>
          <w:left w:val="single" w:color="3A3A3E" w:sz="12" w:space="8"/>
        </w:pBdr>
        <w:spacing w:after="160"/>
        <w:ind w:left="120"/>
      </w:pPr>
      <w:r>
        <w:rPr>
          <w:sz w:val="22"/>
          <w:szCs w:val="22"/>
        </w:rPr>
        <w:t xml:space="preserve">As escolas precisam aplicar os planos no cotidiano para gerar mudança observável.</w:t>
      </w:r>
    </w:p>
    <w:p>
      <w:pPr>
        <w:pStyle w:val="Heading2"/>
        <w:spacing w:after="140" w:before="240"/>
      </w:pPr>
      <w:r>
        <w:rPr>
          <w:b/>
          <w:bCs/>
        </w:rPr>
        <w:t xml:space="preserve">2.4 Síntese</w:t>
      </w:r>
    </w:p>
    <w:p>
      <w:pPr>
        <w:spacing w:after="140"/>
        <w:jc w:val="both"/>
      </w:pPr>
      <w:r>
        <w:rPr>
          <w:sz w:val="22"/>
          <w:szCs w:val="22"/>
        </w:rPr>
        <w:t xml:space="preserve">Em síntese, o recorte descreve o encadeamento esperado entre “Equipe técnica” e “Melhoria no acompanhamento”, com 2 riscos e 1 hipótese nas transições em que foram registrados. O documento não constitui comprovação de execução ou de alcance do resultado.</w:t>
      </w:r>
    </w:p>
    <w:p>
      <w:pPr>
        <w:pStyle w:val="Heading1"/>
        <w:spacing w:after="160" w:before="280"/>
      </w:pPr>
      <w:r>
        <w:rPr>
          <w:b/>
          <w:bCs/>
        </w:rPr>
        <w:t xml:space="preserve">Referências</w:t>
      </w:r>
    </w:p>
    <w:p>
      <w:pPr>
        <w:spacing w:after="120"/>
      </w:pPr>
      <w:r>
        <w:rPr>
          <w:sz w:val="18"/>
          <w:szCs w:val="18"/>
        </w:rPr>
        <w:t xml:space="preserve">FGV EESP CLEAR. Infográfico: Teoria da mudança. São Paulo, 2021.</w:t>
      </w:r>
    </w:p>
    <w:p>
      <w:pPr>
        <w:spacing w:after="120"/>
      </w:pPr>
      <w:r>
        <w:rPr>
          <w:sz w:val="18"/>
          <w:szCs w:val="18"/>
        </w:rPr>
        <w:t xml:space="preserve">FGV EESP CLEAR. Guia de Monitoramento e Avaliação de Políticas Públicas. São Paulo, 2025.</w:t>
      </w:r>
    </w:p>
    <w:sectPr>
      <w:headerReference w:type="default" r:id="rId7"/>
      <w:footerReference w:type="default" r:id="rId8"/>
      <w:pgSz w:w="11906" w:h="16838" w:orient="portrait"/>
      <w:pgMar w:top="1440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Intérprete da Teoria · TDM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2026-07-19T01:59:24.312Z</dcterms:created>
  <dcterms:modified xsi:type="dcterms:W3CDTF">2026-07-19T01:59:24.312Z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