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Yarenler Kurumsal Katılım ve Kamuya Açık Akademik Veri Kullanımı Protokolü</w:t>
      </w:r>
    </w:p>
    <w:p>
      <w:pPr>
        <w:widowControl/>
      </w:pPr>
      <w:r>
        <w:t>Bu protokol, katılan üniversitenin kamuya açık akademik profil bilgilerinin Yarenler araştırma ağında kullanılmasının kapsamını, erişim koşullarını ve tarafların sorumluluklarını belirler. Amaç, araştırmacıların çalışma alanlarını keşfetmesini ve kurumlar arasında akademik işbirliği kurmasını kolaylaştırmaktır. Kurum, aşağıdaki alanları ve ekleri tamamlayarak yetkili temsilcisine imzalatır; imzalı belgeyi yetki belgeleriyle birlikte tek PDF olarak https://yarenler.org/tr/kurumsal-katilim üzerinden yükler; bildirim ve teyit için kurumsal e-posta adresini belirtir.</w:t>
      </w:r>
    </w:p>
    <w:p>
      <w:pPr>
        <w:pStyle w:val="Heading1"/>
      </w:pPr>
      <w:r>
        <w:t>1 Taraflar ve temsil yetkisi</w:t>
      </w:r>
    </w:p>
    <w:p>
      <w:pPr>
        <w:widowControl/>
      </w:pPr>
      <w:r>
        <w:t>1.1 Üniversite: [Üniversitenin tam tüzel kişi unvanı]. Adres: [Tebligat adresi]. Vergi veya kurum kimlik numarası: [Numara]. Yetkili temsilci: [Ad, soyad, unvan]. İmza yetkisinin dayanağı: [Mevzuat, atama veya yetki devri belgesinin tarih ve sayısı]. Bundan sonra “Kurum” olarak anılır.</w:t>
      </w:r>
    </w:p>
    <w:p>
      <w:pPr>
        <w:widowControl/>
      </w:pPr>
      <w:r>
        <w:t>1.2 Yarenler proje sahibi: Tarık İsmet Alkan. İletişim ve başvuru kanalı: https://yarenler.org/tr/kurumsal-katilim. Tebligat adresi: [İmza öncesinde doldurulacak adres]. KEP adresi varsa: [Adres]. Yarenler, yarenler.org alan adında sunulan bağımsız bir akademik keşif platformudur. Bu protokoldeki proje sahibi sıfatı, Ankara Yıldırım Beyazıt Üniversitesini temsil etme yetkisi veya üniversite adına sözleşme kurulması anlamına gelmez. Bundan sonra “Proje Sahibi” olarak anılır.</w:t>
      </w:r>
    </w:p>
    <w:p>
      <w:pPr>
        <w:widowControl/>
      </w:pPr>
      <w:r>
        <w:t>1.3 Taraflar temsil ve imza yetkilerini karşılıklı doğrular. Bilgi işlem biriminin teknik izni, tek başına tüzel kişiyi bağlayan sözleşme yetkisi sayılmaz. Yetki belgesinin eksikliği halinde işlem başlatılmaz; eksiklik yazılı olarak bildirilir. Kurumun öğrenci veya personelinden birinin bireysel başvurusu, Kurum adına izin oluşturmaz.</w:t>
      </w:r>
    </w:p>
    <w:p>
      <w:pPr>
        <w:pStyle w:val="Heading1"/>
      </w:pPr>
      <w:r>
        <w:t>2 Konu amaç ve sınırlar</w:t>
      </w:r>
    </w:p>
    <w:p>
      <w:pPr>
        <w:widowControl/>
      </w:pPr>
      <w:r>
        <w:t>2.1 Protokolün konusu, Ek 1’de belirtilen kamuya açık AVESİS kaynaklarından sınırlı akademik üstverinin otomatik elde edilmesi, doğrulanması, normalleştirilmesi, araştırmacı profilleri ve açıklanabilir yakınlık bağlantıları aracılığıyla gösterilmesi ve belirlenen aralıklarla güncellenmesidir. Kurum, sahip olduğu yetki ölçüsünde bu erişim ve kullanım için izin verir.</w:t>
      </w:r>
    </w:p>
    <w:p>
      <w:pPr>
        <w:widowControl/>
      </w:pPr>
      <w:r>
        <w:t>2.2 Platform, uzmanlık alanları ve araştırmacıların seçtiği işbirliği ilgileri üzerinden potansiyel akademik bağlantılar sunar. Ağ bağlantıları mevcut ortak yazarlık veya kurulmuş işbirliği iddiası oluşturmaz. Platform sonuçları işe alım, terfi, akademik performans, disiplin, burs veya kaynak tahsisi hakkında tek başına karar verme amacıyla kullanılamaz. Taraflar bu tür bağlamlarda ayrıca hukuki ve bilimsel değerlendirme yapılmadan sonuçlara dayanmaz.</w:t>
      </w:r>
    </w:p>
    <w:p>
      <w:pPr>
        <w:widowControl/>
      </w:pPr>
      <w:r>
        <w:t>2.3 Kurumsal katılım, araştırmacıların bireysel kayıt ve profil düzenleme haklarından ayrıdır. Araştırmacılar kurumlarına göre üstünlük, öncelik veya düşük görünürlük sınıflamasına tabi tutulmaz. Pilot kaynağın veya kurum adının belirtilmesi, resmî kadro listesi ya da eksiksiz personel envanteri taahhüdü değildir.</w:t>
      </w:r>
    </w:p>
    <w:p>
      <w:pPr>
        <w:pStyle w:val="Heading1"/>
      </w:pPr>
      <w:r>
        <w:t>3 Veri kapsamı ve veri minimizasyonu</w:t>
      </w:r>
    </w:p>
    <w:p>
      <w:pPr>
        <w:widowControl/>
      </w:pPr>
      <w:r>
        <w:t>3.1 İzin verilen temel veriler ad ve soyad, akademik unvan, kurum ve akademik birim, beyan edilmiş çalışma alanları, kamuya açık ORCID ve diğer akademik kaynak kimlikleri, profil adresi ile yayın başlığı, yayın yılı, yayın türü, dergi veya etkinlik adı, DOI ve yayın kayıt bağlantılarıdır. Kaynak adresi, edinim zamanı, içerik özeti ve işleme sürümü doğrulama ve güncellik amacıyla kaydedilebilir.</w:t>
      </w:r>
    </w:p>
    <w:p>
      <w:pPr>
        <w:widowControl/>
      </w:pPr>
      <w:r>
        <w:t>3.2 Özel nitelikli kişisel veriler, özel iletişim bilgileri, T.C. kimlik numarası, doğum tarihi, ev adresi, özel hesaplar, kapalı içerik, özgeçmiş dosyaları ve yayın tam metinleri bu izin kapsamında değildir. Kişi fotoğrafları ve e-posta veya telefon rehberi toplanmaz. Kaynakta bu tür veriler bulunursa kapsam dışı alanlar ayıklanır; gerekli ayıklama sağlanamıyorsa ilgili kaynak işlenmez.</w:t>
      </w:r>
    </w:p>
    <w:p>
      <w:pPr>
        <w:widowControl/>
      </w:pPr>
      <w:r>
        <w:t>3.3 Yayın ve alan üstverileri yalnız amaç için gerekli ölçüde işlenir. Kayıtlar reklam veri tabanı oluşturmak, araştırmacılara istenmeyen toplu ileti göndermek, satmak veya başka amaçla üçüncü kişilere toplu veri seti olarak sunmak için kullanılamaz. Kapsam genişlemesi yazılı ek protokol, yeni hukuki değerlendirme ve gerekli bilgilendirmelerden sonra uygulanır.</w:t>
      </w:r>
    </w:p>
    <w:p>
      <w:pPr>
        <w:pStyle w:val="Heading1"/>
      </w:pPr>
      <w:r>
        <w:t>4 Erişim izni ve üçüncü kişi hakları</w:t>
      </w:r>
    </w:p>
    <w:p>
      <w:pPr>
        <w:widowControl/>
      </w:pPr>
      <w:r>
        <w:t>4.1 Kurum, Ek 1’deki alan adlarını yönetme ve belirtilen erişimi yetkilendirme yetkisini, üçüncü kişi yazılım sağlayıcısı veya lisans sözleşmeleri yönünden gerekli izinleri inceleyerek teyit eder. Bu protokol AVESİS yazılım sağlayıcısının, yayıncıların veya diğer hak sahiplerinin haklarını ortadan kaldırmaz; Kurumun sahip olmadığı bir hakkı devretmez. Gerekli ek izinler alınmadan ihtilaflı kaynak kullanılmaz.</w:t>
      </w:r>
    </w:p>
    <w:p>
      <w:pPr>
        <w:widowControl/>
      </w:pPr>
      <w:r>
        <w:t>4.2 İzin, amacı ve süresiyle sınırlı, münhasır olmayan bir erişim ve üstveri kullanım iznidir. Kullanıcı adı, parola veya Kurumun yönetim erişimi talep edilmez. Oturum açma engeli, CAPTCHA, erişim kontrolü, IP yasağı veya ücretli erişim teknik yöntemlerle aşılmaz. Kaynakta yazılı atıf ve lisans koşulları korunur.</w:t>
      </w:r>
    </w:p>
    <w:p>
      <w:pPr>
        <w:pStyle w:val="Heading1"/>
      </w:pPr>
      <w:r>
        <w:t>5 Otomatik taramanın teknik koşulları</w:t>
      </w:r>
    </w:p>
    <w:p>
      <w:pPr>
        <w:widowControl/>
      </w:pPr>
      <w:r>
        <w:t>5.1 Yalnız Ek 1’de onaylanan HTTPS kaynakları ve profil yolları taranır. İsteklerde tanınabilir kullanıcı ajanı ve bot bilgilendirme adresi kullanılır. robots.txt ve erişim koşulları her tarama öncesinde denetlenir. Çelişki halinde tarama durdurularak Kurumla çözüm aranır; bu protokol teknik engelleri aşma talimatı sayılmaz.</w:t>
      </w:r>
    </w:p>
    <w:p>
      <w:pPr>
        <w:widowControl/>
      </w:pPr>
      <w:r>
        <w:t>5.2 Normal taramalar Türkiye saatiyle 01.00 ile 07.00 arasında, aynı kaynağa en az üç saniye istek aralığıyla, tek işçiyle ve önbellek/koşullu istek kullanılarak planlanır. Daha düşük kaynak sınırları önceliklidir. Başka bir pencere veya hız ancak Kurumun teknik sorumlusuyla yazılı mutabakat ve kaynak kurallarına uygunluk sağlanarak belirlenir.</w:t>
      </w:r>
    </w:p>
    <w:p>
      <w:pPr>
        <w:widowControl/>
      </w:pPr>
      <w:r>
        <w:t>5.3 403 veya 429 yanıtı, robots değişikliği, tekrarlayan sunucu hatası, olağandışı veri kaybı veya güvenlik bildirimi halinde iş durur ya da güvenli biçimde ertelenir. Başarısız veya boş ayrıştırma, kaynakta olmayan bir silinme gibi uygulanmaz. Kurum, acil durumda Ek 1’deki yetkili kanaldan taramayı durdurma talebi iletebilir.</w:t>
      </w:r>
    </w:p>
    <w:p>
      <w:pPr>
        <w:pStyle w:val="Heading1"/>
      </w:pPr>
      <w:r>
        <w:t>6 Kurumsal tanımlama ve ilk aktarım</w:t>
      </w:r>
    </w:p>
    <w:p>
      <w:pPr>
        <w:widowControl/>
      </w:pPr>
      <w:r>
        <w:t>6.1 Eksiksiz protokol ve temsil yetkisi belgelerinin güvenli başvuru ekranından PDF olarak ulaşması, kurumsal iletişim adresinin ve temsil yetkisinin teyidi, Proje Sahibinin karşı imzasıyla kabul ve hukuki/teknik ön koşulların sağlanması üzerine Kurum tanımlaması beş iş günü içinde yapılır. İş günü Türkiye’deki resmî tatiller dışındaki pazartesi ile cuma günleridir. Eksikler ve bunların sürece etkisi gecikmeksizin yazılı bildirilir; süre eksiklikler tamamlandıktan sonra başlar.</w:t>
      </w:r>
    </w:p>
    <w:p>
      <w:pPr>
        <w:widowControl/>
      </w:pPr>
      <w:r>
        <w:t>6.2 Tanımlama; kurum kaydı, kaynak kapsamının kaydı, erişim kontrolleri ve ilk aktarım planının hazırlanmasıdır. Kaynak büyüklüğüne bağlı tam tarama, veri kalitesi incelemesi veya tüm profillerin görünür hale gelmesi beş iş günlük tanımlamayla aynı işlem değildir. İlk taramanın öngörülen bitişi ve olası erişim kısıtları Kuruma bildirilir. Kaynağın erişilememesi veya hukuken işlenememesi halinde gerekçe ve çözüm önerisi paylaşılır.</w:t>
      </w:r>
    </w:p>
    <w:p>
      <w:pPr>
        <w:widowControl/>
      </w:pPr>
      <w:r>
        <w:t>6.3 Kurum teknik ve idari irtibat kişilerini atar; kaynak adresi, şablon, personel görünürlüğü ve lisans koşullarındaki değişiklikleri bildirir. Proje Sahibi aktarımın kapsamı ve sayısal sonuçlarını, kişisel veri içermeyen bir kabul özetiyle paylaşır. Kurumun sessiz kalması kapsam genişlemesi veya ek bir veri aktarımı için onay sayılmaz.</w:t>
      </w:r>
    </w:p>
    <w:p>
      <w:pPr>
        <w:pStyle w:val="Heading1"/>
      </w:pPr>
      <w:r>
        <w:t>7 Kişisel verilerin korunması ve tarafların rolleri</w:t>
      </w:r>
    </w:p>
    <w:p>
      <w:pPr>
        <w:widowControl/>
      </w:pPr>
      <w:r>
        <w:t>7.1 Taraflar 6698 sayılı Kanun ve ilgili mevzuata uyar. Kurum kendi kaynak sisteminin yönetimi ve açıklamalarından; Proje Sahibi Yarenler’in amaç, araç, erişim ve saklama kararlarından sorumludur. Fiilî işleme modeli aksini gerektirmedikçe taraflar kendi işlemleri bakımından ayrı veri sorumlularıdır. Sadece Kurumun talimatıyla ve onun adına yürütülecek bir işleme faaliyeti varsa başlamadan önce ayrıca veri işleme eki yapılır. Bu madde fiilî duruma aykırı rol ataması için kullanılamaz.</w:t>
      </w:r>
    </w:p>
    <w:p>
      <w:pPr>
        <w:widowControl/>
      </w:pPr>
      <w:r>
        <w:t>7.2 Kurum izni, ilgili kişilerin açık rızası veya tüm veri işleme şartlarının sağlandığına ilişkin genel bir beyan yerine geçmez. Her veri kategorisi için uygulanabilir işleme şartı, amaç, gereklilik, ölçülülük ve saklama süresi Ek 2’de belgelendirilir. Kamuya açıklık tek başına sınırsız yeniden kullanım hakkı doğurmaz. Alenileştirmeye dayanılacaksa kişinin iradesi ve alenileştirme amacıyla uyum ayrıca değerlendirilir. İşleme şartı belirlenemeyen veri işlenmez.</w:t>
      </w:r>
    </w:p>
    <w:p>
      <w:pPr>
        <w:widowControl/>
      </w:pPr>
      <w:r>
        <w:t>7.3 Kurum kendi kaynak açıklamalarını, Proje Sahibi platform aydınlatmasını sunar. Bilgilendirmelerde veri sorumlusunun kimliği, amaçlar, kategoriler, toplama yöntemi, hukuki sebepler, alıcılar, varsa yurt dışı aktarımı ve ilgili kişinin başvuru yolları açıklanır. Bu protokoldeki genel hükümler bireysel aydınlatmanın yerine geçmez.</w:t>
      </w:r>
    </w:p>
    <w:p>
      <w:pPr>
        <w:pStyle w:val="Heading1"/>
      </w:pPr>
      <w:r>
        <w:t>8 Barındırma dış hizmetler ve yurt dışı aktarımı</w:t>
      </w:r>
    </w:p>
    <w:p>
      <w:pPr>
        <w:widowControl/>
      </w:pPr>
      <w:r>
        <w:t>8.1 Mevcut teknik yapıda uygulama ve PostgreSQL veritabanı Hetzner’in Almanya altyapısında barındırılır; Cloudflare ağ güvenliği ve içerik dağıtımı sağlar. ORCID kimlik doğrulama, OpenAlex akademik üstveri zenginleştirme için kullanılabilir. Kullanıcı duyurularında veya alan önerilerinde harici yapay zekâ hizmetleri ayrı amaç ve kapsamla kullanılabilir. Sağlayıcıların veri erişimi, alt işleyenleri, ülkeleri ve saklama koşulları Ek 2’de güncel olarak gösterilir; kontrol edilmeyen ülke veya saklama varsayımları kesin bilgi gibi yazılamaz.</w:t>
      </w:r>
    </w:p>
    <w:p>
      <w:pPr>
        <w:widowControl/>
      </w:pPr>
      <w:r>
        <w:t>8.2 Kişisel verinin yurt dışına aktarımı veya yurt dışından erişilebilir kılınması başlamadan önce Kanunun 9 uncu maddesindeki uygulanabilir mekanizma belirlenir. Gerekli uygun güvence, standart sözleşme, bildirim veya diğer yasal şartlar tamamlanmadan aktarıma başlanmaz. Bu katılım protokolü Kurulun ilan ettiği standart sözleşmenin yerine geçmez ve ilgili kişilerin haklarını daraltmaz. Standart sözleşme kullanılacaksa resmî metin, imza yetkisi ve kanuni bildirim yükümlülükleri ayrıca yerine getirilir.</w:t>
      </w:r>
    </w:p>
    <w:p>
      <w:pPr>
        <w:widowControl/>
      </w:pPr>
      <w:r>
        <w:t>8.3 Gömme hesapları proje sunucusunda yapılır; Mac veya başka bir kişisel bilgisayarda yapılması bu kapsamın dışındadır. İsim, kimlik veya iletişim bilgileri sırf kolaylık amacıyla harici yapay zekâ istemine eklenmez. Yeni sağlayıcı veya yeni işleme amacı, Ek 2’nin güncellenmesi ve gerekli hukuki/teknik değerlendirmelerden sonra devreye alınır.</w:t>
      </w:r>
    </w:p>
    <w:p>
      <w:pPr>
        <w:pStyle w:val="Heading1"/>
      </w:pPr>
      <w:r>
        <w:t>9 Veri doğruluğu kaynak gösterimi ve araştırmacı kontrolü</w:t>
      </w:r>
    </w:p>
    <w:p>
      <w:pPr>
        <w:widowControl/>
      </w:pPr>
      <w:r>
        <w:t>9.1 Kaynak ve okuma zamanı izlenebilir tutulur. Kimlik eşleştirmesi yalnız ad benzerliğine dayandırılmaz. Çelişen ORCID veya kimlik kaydı otomatik sahiplenme doğurmaz; doğrulama için ayrılır. Profil sahiplenme, ORCID üzerinden kimlik doğrulama ve uyuşmazlık kontrolleriyle yürütülür.</w:t>
      </w:r>
    </w:p>
    <w:p>
      <w:pPr>
        <w:widowControl/>
      </w:pPr>
      <w:r>
        <w:t>9.2 Otomatik güncellemeler, araştırmacının bizzat düzenlediği unvan, alan ve işbirliği ilgilerini, görünürlük tercihini ve doğrulanmış sahiplik kaydını geçersiz kılamaz. Kaynak kaydındaki eksiklik yeni veri uydurularak giderilmez. Kurumda görünmeyen bir kaydın silinmesi veya görevden ayrılması varsayılmaz; ayrıca doğrulama yapılır.</w:t>
      </w:r>
    </w:p>
    <w:p>
      <w:pPr>
        <w:widowControl/>
      </w:pPr>
      <w:r>
        <w:t>9.3 Pilot alan önerileri yayın kanıtı, öneri kaynağı ve model sürümüyle ayrı izlenir. Ağda kullanılabilirler; araştırmacı bunları değiştirebilir veya kaldırabilir. Kullanıcının kaldırdığı öneriler otomatik güncellemede tekrar zorla eklenmez. Uzmanlık ile ortak çalışılmak istenen alanlar sunumda ayrılır; aynı alan yakınlık hesabında iki kez sayılmaz.</w:t>
      </w:r>
    </w:p>
    <w:p>
      <w:pPr>
        <w:pStyle w:val="Heading1"/>
      </w:pPr>
      <w:r>
        <w:t>10 İlgili kişi başvuruları ve itirazlar</w:t>
      </w:r>
    </w:p>
    <w:p>
      <w:pPr>
        <w:widowControl/>
      </w:pPr>
      <w:r>
        <w:t>10.1 İlgili kişiler düzeltme, kaldırma, işlemeye itiraz ve Kanunun 11 inci maddesindeki diğer hakları için platformda belirtilen kanallardan veya platformun aydınlatma metnindeki başvuru kanalı üzerinden başvurabilir. Kimlik doğrulamasında yalnız gerekli bilgi istenir. Başvuru erişimi, profil sahiplenmenin başarılı olmasına bağlı kılınmaz.</w:t>
      </w:r>
    </w:p>
    <w:p>
      <w:pPr>
        <w:widowControl/>
      </w:pPr>
      <w:r>
        <w:t>10.2 Başvurular en kısa sürede ve her hâlde uygulanabilir kanuni süre içinde sonuçlandırılır. Kanunun 13 üncü maddesi kapsamındaki başvurular en geç otuz gün içinde cevaplanır. Kurum kaynağındaki düzeltme için ilgili birime yönlendirme, Proje Sahibinin kendi işlemesine ilişkin başvuruyu cevaplama yükümlülüğünü ortadan kaldırmaz. Başvuruya ilişkin bilgiler yetkisiz kişilere açıklanmaz.</w:t>
      </w:r>
    </w:p>
    <w:p>
      <w:pPr>
        <w:widowControl/>
      </w:pPr>
      <w:r>
        <w:t>10.3 Yapay zekâ kararlarına ve otomatik alan önerilerine itiraz insan tarafından incelenir. Gerekli görülürse tartışmalı kayıt inceleme bitene kadar gizlenir veya eşleştirmeden çıkarılır. Başvuru ve kararlar, amacıyla sınırlı erişim ve saklama süreleriyle kaydedilir. Taraflar, diğerini ilgilendiren başvuruyu güvenli kanaldan gecikmeksizin ileterek işbirliği yapar.</w:t>
      </w:r>
    </w:p>
    <w:p>
      <w:pPr>
        <w:pStyle w:val="Heading1"/>
      </w:pPr>
      <w:r>
        <w:t>11 Güvenlik ve olay yönetimi</w:t>
      </w:r>
    </w:p>
    <w:p>
      <w:pPr>
        <w:widowControl/>
      </w:pPr>
      <w:r>
        <w:t>11.1 Proje Sahibi erişimi görevle sınırlı rollerle ayırır; veritabanını internete açık yayımlamaz, taşıma güvenliği, güvenli oturum yönetimi, güncelleme, günlükleme ve şifreli yedekleme tedbirlerini uygular. Anahtarlar ve parolalar kaynak koduna, rapora veya protokol ekine yazılmaz. Kurumun sistem hesapları paylaşılmaz.</w:t>
      </w:r>
    </w:p>
    <w:p>
      <w:pPr>
        <w:widowControl/>
      </w:pPr>
      <w:r>
        <w:t>11.2 Güvenlik olayı tespit edildiğinde yayılımı durduracak tedbirler alınır; kapsam, etkilenen kategoriler ve düzeltici işlemler belgelendirilir. Diğer tarafın verilerini etkileyen olay gecikmeksizin yetkili irtibata bildirilir. Kurul ve ilgili kişilere yapılacak bildirimler, yürürlükteki mevzuat ve Kurul kararlarındaki süre ve usule göre sorumlu tarafça yürütülür. Haberleşme kanalı veri ihlalini büyütecek açık kişisel veri içermemelidir.</w:t>
      </w:r>
    </w:p>
    <w:p>
      <w:pPr>
        <w:widowControl/>
      </w:pPr>
      <w:r>
        <w:t>11.3 Taraflar olay incelemesinde gerekli kayıtları hukuka uygun şekilde korur. Denetim talebi, başka kurumların veya araştırmacıların verilerine, üretim şifrelerine veya sistemin sınırsız erişimine hak vermez. Gerekli bilgiler önce kapsamı sınırlanmış rapor ve kanıtlarla paylaşılır.</w:t>
      </w:r>
    </w:p>
    <w:p>
      <w:pPr>
        <w:pStyle w:val="Heading1"/>
      </w:pPr>
      <w:r>
        <w:t>12 Saklama silme ve gizlilik</w:t>
      </w:r>
    </w:p>
    <w:p>
      <w:pPr>
        <w:widowControl/>
      </w:pPr>
      <w:r>
        <w:t>12.1 Veriler yalnız amaç, geçerli işleme şartı ve Ek 2’deki süreler boyunca saklanır. Ham kaynak arşivi, kamuya açık profil, güvenlik günlüğü ve yedekler ayrı sürelerle yönetilir. Yedekler normal kullanımda geri döndürülemez işlem günlüğüyle korunur; silme kararları geri yükleme sonrasında yeniden uygulanır. Süresiz ham veri saklama varsayımı kurulmaz.</w:t>
      </w:r>
    </w:p>
    <w:p>
      <w:pPr>
        <w:widowControl/>
      </w:pPr>
      <w:r>
        <w:t>12.2 Taraflar kamuya açık olmayan teknik bilgiler, erişim ayrıntıları, başvuru dosyaları ve güvenlik kayıtlarını gizli tutar. Yetkili makam talepleri ve kanuni açıklama zorunlulukları saklıdır. Gizlilik, kişisel veri ihlalini veya ilgili kişinin hak kullanımını saklama gerekçesi yapılamaz.</w:t>
      </w:r>
    </w:p>
    <w:p>
      <w:pPr>
        <w:pStyle w:val="Heading1"/>
      </w:pPr>
      <w:r>
        <w:t>13 Fikri haklar isim ve logo kullanımı</w:t>
      </w:r>
    </w:p>
    <w:p>
      <w:pPr>
        <w:widowControl/>
      </w:pPr>
      <w:r>
        <w:t>13.1 Yarenler’in yazılımı, arayüzü, model uygulama kodu ve özgün dokümantasyonu üzerindeki haklar mevcut hak sahiplerinde kalır. Kurumsal katılım, yazılım mülkiyeti veya münhasırlık devri doğurmaz. Açık kaynak bileşenler kendi lisanslarına tabidir. Akademik yayınlar ve kaynak veriler üzerindeki haklar ilgili sahiplerinde kalır.</w:t>
      </w:r>
    </w:p>
    <w:p>
      <w:pPr>
        <w:widowControl/>
      </w:pPr>
      <w:r>
        <w:t>13.2 Kurum adı kaynak ve aidiyet belirtmek amacıyla doğru biçimde gösterilebilir. Kurum logosunun kullanımı, sponsorluğun veya resmî onayın duyurulması ve ortak basın açıklamaları ayrıca yazılı onaya tabidir. Tarafların biri diğerinin temsilcisi, işvereni, ortağı veya kefili sayılmaz. Araştırma çıktılarının yayımlanması, kişisel veri ve gizlilik yükümlülüklerine uygun yürütülür.</w:t>
      </w:r>
    </w:p>
    <w:p>
      <w:pPr>
        <w:pStyle w:val="Heading1"/>
      </w:pPr>
      <w:r>
        <w:t>14 Mali hükümler ve hizmet kapsamı</w:t>
      </w:r>
    </w:p>
    <w:p>
      <w:pPr>
        <w:widowControl/>
      </w:pPr>
      <w:r>
        <w:t>14.1 Bu protokolde tanımlanan pilot kurumsal katılım ücretsizdir; kendiliğinden abonelik, alım taahhüdü, personel görevlendirmesi veya kamu kaynağı harcama yükümlülüğü doğurmaz. Özel geliştirme, ücretli API, seyahat veya ek hizmetler ayrı yazılı sözleşme ve yetkili mali onay gerektirir. Her taraf kendi iç personel ve haberleşme giderlerini karşılar.</w:t>
      </w:r>
    </w:p>
    <w:p>
      <w:pPr>
        <w:widowControl/>
      </w:pPr>
      <w:r>
        <w:t>14.2 Platform pilot araştırma ve geliştirme niteliğindedir. Kesintisiz erişim, belirli bağlantı sayısı, bilimsel başarı, fon kazanımı veya bütün kayıtların eksiksiz bulunması garanti edilmez. Proje Sahibi bildirdiği teknik sorunları makul özenle giderir; öngörülebilir bakım ve kapsam değişikliklerini mümkün olduğunca önceden duyurur. Bu hüküm üstlenilmiş edimlerde gerekli özen yükümlülüğünü ortadan kaldırmaz.</w:t>
      </w:r>
    </w:p>
    <w:p>
      <w:pPr>
        <w:pStyle w:val="Heading1"/>
      </w:pPr>
      <w:r>
        <w:t>15 Sorumluluk ve hak talepleri</w:t>
      </w:r>
    </w:p>
    <w:p>
      <w:pPr>
        <w:widowControl/>
      </w:pPr>
      <w:r>
        <w:t>15.1 Her taraf kendi kusuru, yetki alanı ve hukuka aykırı işlemesi ölçüsünde sorumludur. Kurum kaynakta yaptığı açıklamaların ve verdiği yetkilerin kapsamını, Proje Sahibi ise izin sınırına ve güvenlik tedbirlerine uygun kullanımını gözetir. Bir tarafın verdiği yanlış bilginin bilindiği veya açıkça anlaşılabildiği durumda diğer tarafın makul doğrulama yükümlülüğü devam eder.</w:t>
      </w:r>
    </w:p>
    <w:p>
      <w:pPr>
        <w:widowControl/>
      </w:pPr>
      <w:r>
        <w:t>15.2 Üçüncü kişi talebi halinde taraflar birbirini gecikmeksizin bilgilendirir, delilleri korur ve zararı azaltmak için işbirliği yapar. Diğer tarafın yazılı izni olmadan onun adına borç veya sorumluluk kabul edilemez. Taraflardan biri diğerinin bütün talep ve idari yaptırımlarını koşulsuz üstlenmiş sayılmaz.</w:t>
      </w:r>
    </w:p>
    <w:p>
      <w:pPr>
        <w:widowControl/>
      </w:pPr>
      <w:r>
        <w:t>15.3 Türk Borçlar Kanununun 115 inci maddesi ve diğer emredici hükümler saklıdır. Kasıt veya ağır kusurdan doğan sorumluluk, ilgili kişilerin kanuni hakları ve kamu otoritelerinin yetkileri bu protokolle kaldırılamaz veya sınırlandırılamaz. Hiçbir hüküm koşulsuz sorumsuzluk veya tüm riskin karşı tarafa devri biçiminde yorumlanamaz.</w:t>
      </w:r>
    </w:p>
    <w:p>
      <w:pPr>
        <w:pStyle w:val="Heading1"/>
      </w:pPr>
      <w:r>
        <w:t>16 Süre askıya alma ve sona erme</w:t>
      </w:r>
    </w:p>
    <w:p>
      <w:pPr>
        <w:widowControl/>
      </w:pPr>
      <w:r>
        <w:t>16.1 Protokol son yetkili imza tarihinde yürürlüğe girer ve bir yıl sürer. Uzatma, bitişten önce karşılıklı yazılı mutabakatla yapılır; sessizlik otomatik yenileme sayılmaz. Taraflardan her biri otuz gün önceden yazılı bildirimle gerekçe göstermeden sona erdirebilir.</w:t>
      </w:r>
    </w:p>
    <w:p>
      <w:pPr>
        <w:widowControl/>
      </w:pPr>
      <w:r>
        <w:t>16.2 Yetkisiz erişim, ciddi güvenlik riski, hukuki dayanağın kalkması, yetkili makam talebi veya üçüncü kişi hakkının ihlali riski halinde ilgili işlem derhal askıya alınabilir. Diğer ihlallerde yazılı bildirim ve giderim için makul süre tanınır. Askıya alma gerekli kapsam ve süreyle sınırlı tutulur.</w:t>
      </w:r>
    </w:p>
    <w:p>
      <w:pPr>
        <w:widowControl/>
      </w:pPr>
      <w:r>
        <w:t>16.3 Sona ermede Kurum kaynağının otomatik taraması durdurulur. Kurum iznine dayalı veriler bakımından silme veya anonimleştirme planı en geç otuz gün içinde uygulanır; yedeklerdeki giderim Ek 2’deki döngüye göre tamamlanır. Kanuni saklama yükümlülüğü olan kayıtlar erişimi kısıtlanarak tutulur. Kişinin bağımsız olarak açtığı ve hukuka uygun ayrı dayanağa sahip kendi profili, Kurumun talebiyle otomatik olarak Kurumun mülkiyetindeki bir kayıt sayılmaz; dayanak ve tercihleri ayrıca değerlendirilir.</w:t>
      </w:r>
    </w:p>
    <w:p>
      <w:pPr>
        <w:pStyle w:val="Heading1"/>
      </w:pPr>
      <w:r>
        <w:t>17 Bildirim değişiklik ve uyuşmazlık</w:t>
      </w:r>
    </w:p>
    <w:p>
      <w:pPr>
        <w:widowControl/>
      </w:pPr>
      <w:r>
        <w:t>17.1 Operasyonel yazışmalar Ek 1’deki kurumsal adresler ve tarafların yazılı olarak belirleyeceği özel iletişim adresleri üzerinden yürütülür. Yetki, kapsam, süre, mali yük veya taraf sorumluluğunu değiştiren işlemler yetkili imzalı ekle yapılır. Fesih, temerrüt ve hukuken şekle bağlı bildirimlerde uygulanabilir kanuni usul ve tebligat hükümleri korunur. Adres değişiklikleri bildirilir.</w:t>
      </w:r>
    </w:p>
    <w:p>
      <w:pPr>
        <w:widowControl/>
      </w:pPr>
      <w:r>
        <w:t>17.2 Mücbir sebep veya tarafın denetimi dışındaki kaynak kesintisi etkisi ve beklenen süresiyle bildirilir; zararı azaltıcı tedbirler alınır. Uzun süreli engelde taraflar kapsamı daraltma veya protokolü sonlandırma seçeneğini değerlendirir. Para borçları ve kanunen devam eden yükümlülükler kendiliğinden ortadan kalkmaz.</w:t>
      </w:r>
    </w:p>
    <w:p>
      <w:pPr>
        <w:widowControl/>
      </w:pPr>
      <w:r>
        <w:t>17.3 Protokole Türk hukuku uygulanır. Taraflar uyuşmazlığı önce yetkili irtibatları aracılığıyla otuz gün içinde uzlaşmayla çözmeye çalışır; acil koruma tedbirleri ve kanuni başvuru süreleri saklıdır. Çözülmeyen uyuşmazlıkta görev ve yetki kanuna göre belirlenir. Kanunen geçersiz hüküm, kalan hükümleri uygulanamaz hale getirmedikçe protokolün geri kalanını etkilemez.</w:t>
      </w:r>
    </w:p>
    <w:p>
      <w:pPr>
        <w:pStyle w:val="Heading1"/>
      </w:pPr>
      <w:r>
        <w:t>18 İmzalar ve eklerin tamamlanması</w:t>
      </w:r>
    </w:p>
    <w:p>
      <w:pPr>
        <w:widowControl/>
      </w:pPr>
      <w:r>
        <w:t>18.1 Ek 1 ve Ek 2 protokolün ayrılmaz parçasıdır. Boş alanlar imzadan önce doldurulur; uygulanmayan alanlar gerekçesiyle belirtilir. Kapsam ve veri aktarım koşulları belirlenmeden tarama başlatılmaz. Sonradan doldurulan alanlar iki tarafın yazılı onayı olmadan geçerli kapsam değişikliği oluşturmaz.</w:t>
      </w:r>
    </w:p>
    <w:p>
      <w:pPr>
        <w:widowControl/>
      </w:pPr>
      <w:r>
        <w:t>18.2 Protokol iki nüsha ıslak imza veya 5070 sayılı Kanuna uygun güvenli elektronik imzayla imzalanabilir. İmzalı taramanın güvenli başvuru ekranına PDF olarak yüklenmesi incelemeyi başlatır; tarama görüntüsü tek başına güvenli elektronik imzanın hukuki eşdeğerliğine sahip kabul edilmez. Gerekirse asıl nüsha veya doğrulanabilir elektronik imza dosyası istenir. Kurumun protokolü göndermesi, Proje Sahibinin imzası olmaksızın tek taraflı kabul taahhüdü doğurmaz.</w:t>
      </w:r>
    </w:p>
    <w:p>
      <w:pPr>
        <w:keepNext/>
        <w:widowControl/>
      </w:pPr>
      <w:r>
        <w:t>Kurum adına yetkili temsilci: [Ad soyad ve unvan]</w:t>
      </w:r>
    </w:p>
    <w:p>
      <w:pPr>
        <w:widowControl/>
      </w:pPr>
      <w:r>
        <w:t>İmza ve mühür: ____________________   Tarih: ____________________</w:t>
      </w:r>
    </w:p>
    <w:p>
      <w:pPr>
        <w:keepNext/>
        <w:widowControl/>
      </w:pPr>
      <w:r>
        <w:t>Yarenler Proje Sahibi: Tarık İsmet Alkan</w:t>
      </w:r>
    </w:p>
    <w:p>
      <w:pPr>
        <w:widowControl/>
      </w:pPr>
      <w:r>
        <w:t>İmza: ____________________   Tarih: ____________________</w:t>
      </w:r>
    </w:p>
    <w:p>
      <w:r>
        <w:br w:type="page"/>
      </w:r>
    </w:p>
    <w:p>
      <w:pPr>
        <w:pStyle w:val="Heading1"/>
      </w:pPr>
      <w:r>
        <w:t>Ek 1 Kaynak kapsamı ve irtibat formu</w:t>
      </w:r>
    </w:p>
    <w:p>
      <w:pPr>
        <w:widowControl/>
      </w:pPr>
      <w:r>
        <w:t>Üniversite tam adı ve kısaltması: [Doldurunuz]</w:t>
      </w:r>
    </w:p>
    <w:p>
      <w:pPr>
        <w:widowControl/>
      </w:pPr>
      <w:r>
        <w:t>Resmî kurum web adresi ve ROR kimliği varsa: [Doldurunuz]</w:t>
      </w:r>
    </w:p>
    <w:p>
      <w:pPr>
        <w:widowControl/>
      </w:pPr>
      <w:r>
        <w:t>Yetkili imza belgesi tarih sayısı ve eki: [Doldurunuz]</w:t>
      </w:r>
    </w:p>
    <w:p>
      <w:pPr>
        <w:widowControl/>
      </w:pPr>
      <w:r>
        <w:t>AVESİS HTTPS kök adresi ve izin verilen alan adları: [Doldurunuz]</w:t>
      </w:r>
    </w:p>
    <w:p>
      <w:pPr>
        <w:widowControl/>
      </w:pPr>
      <w:r>
        <w:t>İzin verilen profil yolları ve site haritası: [Doldurunuz]</w:t>
      </w:r>
    </w:p>
    <w:p>
      <w:pPr>
        <w:widowControl/>
      </w:pPr>
      <w:r>
        <w:t>Kapsam dışı yollar ve veri kategorileri: [Doldurunuz]</w:t>
      </w:r>
    </w:p>
    <w:p>
      <w:pPr>
        <w:widowControl/>
      </w:pPr>
      <w:r>
        <w:t>robots.txt adresi ve kontrol tarihi: [Doldurunuz]</w:t>
      </w:r>
    </w:p>
    <w:p>
      <w:pPr>
        <w:widowControl/>
      </w:pPr>
      <w:r>
        <w:t>Yazılım sağlayıcısı veya hak sahibi izni gerekiyorsa belge: [Doldurunuz]</w:t>
      </w:r>
    </w:p>
    <w:p>
      <w:pPr>
        <w:widowControl/>
      </w:pPr>
      <w:r>
        <w:t>Teknik sorumlu adı unvanı ve kurumsal e-postası: [Doldurunuz]</w:t>
      </w:r>
    </w:p>
    <w:p>
      <w:pPr>
        <w:widowControl/>
      </w:pPr>
      <w:r>
        <w:t>Veri koruma ve ilgili kişi başvurusu sorumlusu ile kurumsal e-postası: [Doldurunuz]</w:t>
      </w:r>
    </w:p>
    <w:p>
      <w:pPr>
        <w:widowControl/>
      </w:pPr>
      <w:r>
        <w:t>Acil tarama durdurma bildirimi için yetkili adres: [Doldurunuz]</w:t>
      </w:r>
    </w:p>
    <w:p>
      <w:pPr>
        <w:widowControl/>
      </w:pPr>
      <w:r>
        <w:t>Planlanan güncelleme sıklığı ve teknik sınırlar: [Doldurunuz]</w:t>
      </w:r>
    </w:p>
    <w:p>
      <w:pPr>
        <w:widowControl/>
      </w:pPr>
      <w:r>
        <w:t>Karşılıklı kabul ve ilk tanımlama tarihi: [Doldurunuz]</w:t>
      </w:r>
    </w:p>
    <w:p>
      <w:r>
        <w:br w:type="page"/>
      </w:r>
    </w:p>
    <w:p>
      <w:pPr>
        <w:pStyle w:val="Heading1"/>
      </w:pPr>
      <w:r>
        <w:t>Ek 2 İşleme saklama ve aktarım koşulları formu</w:t>
      </w:r>
    </w:p>
    <w:p>
      <w:pPr>
        <w:widowControl/>
      </w:pPr>
      <w:r>
        <w:t>Her veri grubu için ayrı kayıt tamamlanır. Ad ve kurumsal kimlik, alanlar, yayın üstverisi, ham kaynak arşivi ve teknik günlükler ayrı değerlendirilir. Kanuni sebep alanına yalnız madde numarası yazılması yeterli değildir; fiilî gerekçe ve amaçla ilişkisi açıklanır. Aşağıdaki kayıtlar tarafların veri koruma sorumlularınca tamamlanıp onaylanır.</w:t>
      </w:r>
    </w:p>
    <w:p>
      <w:pPr>
        <w:widowControl/>
      </w:pPr>
      <w:r>
        <w:t>Veri grubu ve ilgili kişi grubu: [Doldurunuz]</w:t>
      </w:r>
    </w:p>
    <w:p>
      <w:pPr>
        <w:widowControl/>
      </w:pPr>
      <w:r>
        <w:t>Kaynak sayfa ve erişim kapsamı: [Doldurunuz]</w:t>
      </w:r>
    </w:p>
    <w:p>
      <w:pPr>
        <w:widowControl/>
      </w:pPr>
      <w:r>
        <w:t>Belirli işleme amacı ve gerekli asgari alanlar: [Doldurunuz]</w:t>
      </w:r>
    </w:p>
    <w:p>
      <w:pPr>
        <w:widowControl/>
      </w:pPr>
      <w:r>
        <w:t>Kanunun 5 veya uygulanabiliyorsa 6 ncı maddesindeki şart ve somut gerekçe: [Doldurunuz]</w:t>
      </w:r>
    </w:p>
    <w:p>
      <w:pPr>
        <w:widowControl/>
      </w:pPr>
      <w:r>
        <w:t>Alenileştirmeye dayanılıyorsa irade ve amaç uyumunun dayanağı: [Doldurunuz]</w:t>
      </w:r>
    </w:p>
    <w:p>
      <w:pPr>
        <w:widowControl/>
      </w:pPr>
      <w:r>
        <w:t>Veri sorumlusu veya veri işleyen rolleri ve sorumlu taraf: [Doldurunuz]</w:t>
      </w:r>
    </w:p>
    <w:p>
      <w:pPr>
        <w:widowControl/>
      </w:pPr>
      <w:r>
        <w:t>Aydınlatma adresi tarihi ve ilgili kişiye sunulma yöntemi: [Doldurunuz]</w:t>
      </w:r>
    </w:p>
    <w:p>
      <w:pPr>
        <w:widowControl/>
      </w:pPr>
      <w:r>
        <w:t>Erişebilen görevler ve yurt içindeki alıcılar: [Doldurunuz]</w:t>
      </w:r>
    </w:p>
    <w:p>
      <w:pPr>
        <w:widowControl/>
      </w:pPr>
      <w:r>
        <w:t>Yurt dışındaki alıcı sağlayıcılar hizmet amacı ülke ve alt işleyenler: [Doldurunuz]</w:t>
      </w:r>
    </w:p>
    <w:p>
      <w:pPr>
        <w:widowControl/>
      </w:pPr>
      <w:r>
        <w:t>Kanunun 9 uncu maddesine göre aktarım mekanizması gerekli sözleşme ve bildirim kayıtları: [Doldurunuz]</w:t>
      </w:r>
    </w:p>
    <w:p>
      <w:pPr>
        <w:widowControl/>
      </w:pPr>
      <w:r>
        <w:t>Aktif kayıt saklama süresi ve süreyi başlatan olay: [Doldurunuz]</w:t>
      </w:r>
    </w:p>
    <w:p>
      <w:pPr>
        <w:widowControl/>
      </w:pPr>
      <w:r>
        <w:t>Ham arşiv günlük ve yedek saklama süreleri: [Doldurunuz]</w:t>
      </w:r>
    </w:p>
    <w:p>
      <w:pPr>
        <w:widowControl/>
      </w:pPr>
      <w:r>
        <w:t>Silme anonimleştirme yöntemi geri yüklemede silmenin uygulanması: [Doldurunuz]</w:t>
      </w:r>
    </w:p>
    <w:p>
      <w:pPr>
        <w:widowControl/>
      </w:pPr>
      <w:r>
        <w:t>İlgili kişi başvurusu ve olay yönetimi irtibatı: [Doldurunuz]</w:t>
      </w:r>
    </w:p>
    <w:p>
      <w:pPr>
        <w:widowControl/>
      </w:pPr>
      <w:r>
        <w:t xml:space="preserve">Kontrol tarihi Kurum onayı ve Proje Sahibi onayı: [Doldurunuz] </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4"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cstheme="majorBidi"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Yarenler Kurumsal Katılım ve Kamuya Açık Akademik Veri Kullanımı Protokolü</dc:title>
  <dc:subject>Üniversite katılımı ve sınırlı kamuya açık akademik üstveri erişimi</dc:subject>
  <dc:creator>Tarık İsmet Alkan</dc:creator>
  <cp:keywords/>
  <dc:description>generated by python-docx</dc:description>
  <cp:lastModifiedBy/>
  <cp:revision>1</cp:revision>
  <dcterms:created xsi:type="dcterms:W3CDTF">2013-12-23T23:15:00Z</dcterms:created>
  <dcterms:modified xsi:type="dcterms:W3CDTF">2013-12-23T23:15:00Z</dcterms:modified>
  <cp:category/>
</cp:coreProperties>
</file>