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68D356D9"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B77FD9">
            <w:rPr>
              <w:noProof/>
            </w:rPr>
            <w:t>17.18.3 Number of countries with a national statistical plan that is fully funded and under implementation, by source of funding</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34587558" w14:textId="47601C12" w:rsidR="00C718EB" w:rsidRPr="00ED3C9B" w:rsidRDefault="00C718EB" w:rsidP="00C718EB">
          <w:pPr>
            <w:rPr>
              <w:rFonts w:ascii="Univers Condensed Light" w:hAnsi="Univers Condensed Light"/>
            </w:rPr>
          </w:pPr>
          <w:r w:rsidRPr="00C718EB">
            <w:rPr>
              <w:rFonts w:ascii="Univers Condensed Light" w:hAnsi="Univers Condensed Light"/>
            </w:rPr>
            <w:t xml:space="preserve">In 2023, a total of 163 countries and territories </w:t>
          </w:r>
          <w:r>
            <w:rPr>
              <w:rFonts w:ascii="Univers Condensed Light" w:hAnsi="Univers Condensed Light"/>
            </w:rPr>
            <w:t xml:space="preserve">reported </w:t>
          </w:r>
          <w:r w:rsidRPr="00C718EB">
            <w:rPr>
              <w:rFonts w:ascii="Univers Condensed Light" w:hAnsi="Univers Condensed Light"/>
            </w:rPr>
            <w:t>having implemented a national statistical plan, marking an increase from 143 in 2019 and 156 in 2022. Of these, 10</w:t>
          </w:r>
          <w:r w:rsidR="00DE52F6">
            <w:rPr>
              <w:rFonts w:ascii="Univers Condensed Light" w:hAnsi="Univers Condensed Light"/>
            </w:rPr>
            <w:t xml:space="preserve">9 </w:t>
          </w:r>
          <w:r w:rsidRPr="00C718EB">
            <w:rPr>
              <w:rFonts w:ascii="Univers Condensed Light" w:hAnsi="Univers Condensed Light"/>
            </w:rPr>
            <w:t xml:space="preserve">plans </w:t>
          </w:r>
          <w:r>
            <w:rPr>
              <w:rFonts w:ascii="Univers Condensed Light" w:hAnsi="Univers Condensed Light"/>
            </w:rPr>
            <w:t xml:space="preserve">were </w:t>
          </w:r>
          <w:proofErr w:type="spellStart"/>
          <w:r>
            <w:rPr>
              <w:rFonts w:ascii="Univers Condensed Light" w:hAnsi="Univers Condensed Light"/>
            </w:rPr>
            <w:t>fullyu</w:t>
          </w:r>
          <w:proofErr w:type="spellEnd"/>
          <w:r>
            <w:rPr>
              <w:rFonts w:ascii="Univers Condensed Light" w:hAnsi="Univers Condensed Light"/>
            </w:rPr>
            <w:t xml:space="preserve"> funded</w:t>
          </w:r>
          <w:r w:rsidRPr="00C718EB">
            <w:rPr>
              <w:rFonts w:ascii="Univers Condensed Light" w:hAnsi="Univers Condensed Light"/>
            </w:rPr>
            <w:t xml:space="preserve">, up from 91 in 2019 and 100 in 2020. These trends suggest a recovery from the long-term disruptions caused by the pandemic on the planning and execution of statistical activities. However, there remains a substantial need for support among national statistical offices in the </w:t>
          </w:r>
          <w:r>
            <w:rPr>
              <w:rFonts w:ascii="Univers Condensed Light" w:hAnsi="Univers Condensed Light"/>
            </w:rPr>
            <w:t>planning</w:t>
          </w:r>
          <w:r w:rsidRPr="00C718EB">
            <w:rPr>
              <w:rFonts w:ascii="Univers Condensed Light" w:hAnsi="Univers Condensed Light"/>
            </w:rPr>
            <w:t xml:space="preserve"> of </w:t>
          </w:r>
          <w:r>
            <w:rPr>
              <w:rFonts w:ascii="Univers Condensed Light" w:hAnsi="Univers Condensed Light"/>
            </w:rPr>
            <w:t>next strategies</w:t>
          </w:r>
          <w:r w:rsidR="007A0EB0">
            <w:rPr>
              <w:rFonts w:ascii="Univers Condensed Light" w:hAnsi="Univers Condensed Light"/>
            </w:rPr>
            <w:t xml:space="preserve"> </w:t>
          </w:r>
          <w:r>
            <w:rPr>
              <w:rFonts w:ascii="Univers Condensed Light" w:hAnsi="Univers Condensed Light"/>
            </w:rPr>
            <w:t>to address</w:t>
          </w:r>
          <w:r w:rsidRPr="00C718EB">
            <w:rPr>
              <w:rFonts w:ascii="Univers Condensed Light" w:hAnsi="Univers Condensed Light"/>
            </w:rPr>
            <w:t xml:space="preserve"> </w:t>
          </w:r>
          <w:r w:rsidR="007A0EB0">
            <w:rPr>
              <w:rFonts w:ascii="Univers Condensed Light" w:hAnsi="Univers Condensed Light"/>
            </w:rPr>
            <w:t xml:space="preserve">the </w:t>
          </w:r>
          <w:r w:rsidRPr="00C718EB">
            <w:rPr>
              <w:rFonts w:ascii="Univers Condensed Light" w:hAnsi="Univers Condensed Light"/>
            </w:rPr>
            <w:t xml:space="preserve">evolving development </w:t>
          </w:r>
          <w:r>
            <w:rPr>
              <w:rFonts w:ascii="Univers Condensed Light" w:hAnsi="Univers Condensed Light"/>
            </w:rPr>
            <w:t>objectives</w:t>
          </w:r>
          <w:r w:rsidRPr="00C718EB">
            <w:rPr>
              <w:rFonts w:ascii="Univers Condensed Light" w:hAnsi="Univers Condensed Light"/>
            </w:rPr>
            <w:t xml:space="preserve"> and increasing demand for data.</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dtPr>
      <w:sdtContent>
        <w:p w14:paraId="64763293" w14:textId="73C7B434" w:rsidR="00931CF1" w:rsidRDefault="00937CD0" w:rsidP="00937CD0">
          <w:pPr>
            <w:spacing w:after="120" w:line="240" w:lineRule="auto"/>
            <w:rPr>
              <w:rFonts w:ascii="Univers Condensed Light" w:hAnsi="Univers Condensed Light" w:cstheme="majorHAnsi"/>
              <w:noProof/>
              <w:sz w:val="24"/>
              <w:szCs w:val="24"/>
            </w:rPr>
          </w:pPr>
          <w:r w:rsidRPr="00937CD0">
            <w:rPr>
              <w:rFonts w:ascii="Univers Condensed Light" w:hAnsi="Univers Condensed Light" w:cstheme="majorHAnsi"/>
              <w:noProof/>
              <w:sz w:val="24"/>
              <w:szCs w:val="24"/>
            </w:rPr>
            <w:t>In 202</w:t>
          </w:r>
          <w:r>
            <w:rPr>
              <w:rFonts w:ascii="Univers Condensed Light" w:hAnsi="Univers Condensed Light" w:cstheme="majorHAnsi"/>
              <w:noProof/>
              <w:sz w:val="24"/>
              <w:szCs w:val="24"/>
            </w:rPr>
            <w:t>3</w:t>
          </w:r>
          <w:r w:rsidRPr="00937CD0">
            <w:rPr>
              <w:rFonts w:ascii="Univers Condensed Light" w:hAnsi="Univers Condensed Light" w:cstheme="majorHAnsi"/>
              <w:noProof/>
              <w:sz w:val="24"/>
              <w:szCs w:val="24"/>
            </w:rPr>
            <w:t>, a total of 1</w:t>
          </w:r>
          <w:r>
            <w:rPr>
              <w:rFonts w:ascii="Univers Condensed Light" w:hAnsi="Univers Condensed Light" w:cstheme="majorHAnsi"/>
              <w:noProof/>
              <w:sz w:val="24"/>
              <w:szCs w:val="24"/>
            </w:rPr>
            <w:t>63</w:t>
          </w:r>
          <w:r w:rsidRPr="00937CD0">
            <w:rPr>
              <w:rFonts w:ascii="Univers Condensed Light" w:hAnsi="Univers Condensed Light" w:cstheme="majorHAnsi"/>
              <w:noProof/>
              <w:sz w:val="24"/>
              <w:szCs w:val="24"/>
            </w:rPr>
            <w:t xml:space="preserve"> countries and territories reported implementing a national</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statistical plan, up from 1</w:t>
          </w:r>
          <w:r>
            <w:rPr>
              <w:rFonts w:ascii="Univers Condensed Light" w:hAnsi="Univers Condensed Light" w:cstheme="majorHAnsi"/>
              <w:noProof/>
              <w:sz w:val="24"/>
              <w:szCs w:val="24"/>
            </w:rPr>
            <w:t>43</w:t>
          </w:r>
          <w:r w:rsidRPr="00937CD0">
            <w:rPr>
              <w:rFonts w:ascii="Univers Condensed Light" w:hAnsi="Univers Condensed Light" w:cstheme="majorHAnsi"/>
              <w:noProof/>
              <w:sz w:val="24"/>
              <w:szCs w:val="24"/>
            </w:rPr>
            <w:t xml:space="preserve"> in 20</w:t>
          </w:r>
          <w:r>
            <w:rPr>
              <w:rFonts w:ascii="Univers Condensed Light" w:hAnsi="Univers Condensed Light" w:cstheme="majorHAnsi"/>
              <w:noProof/>
              <w:sz w:val="24"/>
              <w:szCs w:val="24"/>
            </w:rPr>
            <w:t>19</w:t>
          </w:r>
          <w:r w:rsidRPr="00937CD0">
            <w:rPr>
              <w:rFonts w:ascii="Univers Condensed Light" w:hAnsi="Univers Condensed Light"/>
            </w:rPr>
            <w:t xml:space="preserve"> </w:t>
          </w:r>
          <w:r w:rsidRPr="00C718EB">
            <w:rPr>
              <w:rFonts w:ascii="Univers Condensed Light" w:hAnsi="Univers Condensed Light"/>
            </w:rPr>
            <w:t>and 156 in 2022.</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Of these, 109 plans were fully</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 xml:space="preserve">funded, up from 91 in 2019 and 100 in 2020. These trends suggest a recovery from the long-term disruptions caused by the pandemic on the planning and execution of statistical activities. </w:t>
          </w:r>
          <w:r>
            <w:rPr>
              <w:rFonts w:ascii="Univers Condensed Light" w:hAnsi="Univers Condensed Light" w:cstheme="majorHAnsi"/>
              <w:noProof/>
              <w:sz w:val="24"/>
              <w:szCs w:val="24"/>
            </w:rPr>
            <w:t xml:space="preserve">However, only about three out of </w:t>
          </w:r>
          <w:r w:rsidR="009E0D91">
            <w:rPr>
              <w:rFonts w:ascii="Univers Condensed Light" w:hAnsi="Univers Condensed Light" w:cstheme="majorHAnsi"/>
              <w:noProof/>
              <w:sz w:val="24"/>
              <w:szCs w:val="24"/>
            </w:rPr>
            <w:t xml:space="preserve">every </w:t>
          </w:r>
          <w:r>
            <w:rPr>
              <w:rFonts w:ascii="Univers Condensed Light" w:hAnsi="Univers Condensed Light" w:cstheme="majorHAnsi"/>
              <w:noProof/>
              <w:sz w:val="24"/>
              <w:szCs w:val="24"/>
            </w:rPr>
            <w:t>eight national statistical plans in Africa are being fully funded, while only two out of every nine plans in the Least Developed Countries are fully funded</w:t>
          </w:r>
          <w:r w:rsidR="009E0D91">
            <w:rPr>
              <w:rFonts w:ascii="Univers Condensed Light" w:hAnsi="Univers Condensed Light" w:cstheme="majorHAnsi"/>
              <w:noProof/>
              <w:sz w:val="24"/>
              <w:szCs w:val="24"/>
            </w:rPr>
            <w:t>.</w:t>
          </w:r>
          <w:r>
            <w:rPr>
              <w:rFonts w:ascii="Univers Condensed Light" w:hAnsi="Univers Condensed Light" w:cstheme="majorHAnsi"/>
              <w:noProof/>
              <w:sz w:val="24"/>
              <w:szCs w:val="24"/>
            </w:rPr>
            <w:t xml:space="preserve"> </w:t>
          </w:r>
          <w:r w:rsidR="009E0D91">
            <w:rPr>
              <w:rFonts w:ascii="Univers Condensed Light" w:hAnsi="Univers Condensed Light" w:cstheme="majorHAnsi"/>
              <w:noProof/>
              <w:sz w:val="24"/>
              <w:szCs w:val="24"/>
            </w:rPr>
            <w:t xml:space="preserve">The insufficiency in resources to fund statistical plans poses a risk to build resilient system and to leave no one behind. </w:t>
          </w:r>
          <w:r>
            <w:rPr>
              <w:rFonts w:ascii="Univers Condensed Light" w:hAnsi="Univers Condensed Light" w:cstheme="majorHAnsi"/>
              <w:noProof/>
              <w:sz w:val="24"/>
              <w:szCs w:val="24"/>
            </w:rPr>
            <w:t xml:space="preserve">Looking forward, a </w:t>
          </w:r>
          <w:r w:rsidRPr="00937CD0">
            <w:rPr>
              <w:rFonts w:ascii="Univers Condensed Light" w:hAnsi="Univers Condensed Light" w:cstheme="majorHAnsi"/>
              <w:noProof/>
              <w:sz w:val="24"/>
              <w:szCs w:val="24"/>
            </w:rPr>
            <w:t xml:space="preserve">substantial </w:t>
          </w:r>
          <w:r>
            <w:rPr>
              <w:rFonts w:ascii="Univers Condensed Light" w:hAnsi="Univers Condensed Light" w:cstheme="majorHAnsi"/>
              <w:noProof/>
              <w:sz w:val="24"/>
              <w:szCs w:val="24"/>
            </w:rPr>
            <w:t>demand</w:t>
          </w:r>
          <w:r w:rsidRPr="00937CD0">
            <w:rPr>
              <w:rFonts w:ascii="Univers Condensed Light" w:hAnsi="Univers Condensed Light" w:cstheme="majorHAnsi"/>
              <w:noProof/>
              <w:sz w:val="24"/>
              <w:szCs w:val="24"/>
            </w:rPr>
            <w:t xml:space="preserve"> </w:t>
          </w:r>
          <w:r>
            <w:rPr>
              <w:rFonts w:ascii="Univers Condensed Light" w:hAnsi="Univers Condensed Light" w:cstheme="majorHAnsi"/>
              <w:noProof/>
              <w:sz w:val="24"/>
              <w:szCs w:val="24"/>
            </w:rPr>
            <w:t xml:space="preserve">has emerged </w:t>
          </w:r>
          <w:r w:rsidRPr="00937CD0">
            <w:rPr>
              <w:rFonts w:ascii="Univers Condensed Light" w:hAnsi="Univers Condensed Light" w:cstheme="majorHAnsi"/>
              <w:noProof/>
              <w:sz w:val="24"/>
              <w:szCs w:val="24"/>
            </w:rPr>
            <w:t xml:space="preserve">for support </w:t>
          </w:r>
          <w:r>
            <w:rPr>
              <w:rFonts w:ascii="Univers Condensed Light" w:hAnsi="Univers Condensed Light" w:cstheme="majorHAnsi"/>
              <w:noProof/>
              <w:sz w:val="24"/>
              <w:szCs w:val="24"/>
            </w:rPr>
            <w:t xml:space="preserve">to </w:t>
          </w:r>
          <w:r w:rsidRPr="00937CD0">
            <w:rPr>
              <w:rFonts w:ascii="Univers Condensed Light" w:hAnsi="Univers Condensed Light" w:cstheme="majorHAnsi"/>
              <w:noProof/>
              <w:sz w:val="24"/>
              <w:szCs w:val="24"/>
            </w:rPr>
            <w:t xml:space="preserve">national statistical offices in the planning </w:t>
          </w:r>
          <w:r>
            <w:rPr>
              <w:rFonts w:ascii="Univers Condensed Light" w:hAnsi="Univers Condensed Light" w:cstheme="majorHAnsi"/>
              <w:noProof/>
              <w:sz w:val="24"/>
              <w:szCs w:val="24"/>
            </w:rPr>
            <w:t xml:space="preserve">statistical </w:t>
          </w:r>
          <w:r w:rsidRPr="00937CD0">
            <w:rPr>
              <w:rFonts w:ascii="Univers Condensed Light" w:hAnsi="Univers Condensed Light" w:cstheme="majorHAnsi"/>
              <w:noProof/>
              <w:sz w:val="24"/>
              <w:szCs w:val="24"/>
            </w:rPr>
            <w:t xml:space="preserve">strategies to </w:t>
          </w:r>
          <w:r>
            <w:rPr>
              <w:rFonts w:ascii="Univers Condensed Light" w:hAnsi="Univers Condensed Light" w:cstheme="majorHAnsi"/>
              <w:noProof/>
              <w:sz w:val="24"/>
              <w:szCs w:val="24"/>
            </w:rPr>
            <w:t xml:space="preserve">mainstream data innovation, </w:t>
          </w:r>
          <w:r w:rsidRPr="00937CD0">
            <w:rPr>
              <w:rFonts w:ascii="Univers Condensed Light" w:hAnsi="Univers Condensed Light" w:cstheme="majorHAnsi"/>
              <w:noProof/>
              <w:sz w:val="24"/>
              <w:szCs w:val="24"/>
            </w:rPr>
            <w:t xml:space="preserve">address the evolving development objectives and </w:t>
          </w:r>
          <w:r>
            <w:rPr>
              <w:rFonts w:ascii="Univers Condensed Light" w:hAnsi="Univers Condensed Light" w:cstheme="majorHAnsi"/>
              <w:noProof/>
              <w:sz w:val="24"/>
              <w:szCs w:val="24"/>
            </w:rPr>
            <w:t>respond to the i</w:t>
          </w:r>
          <w:r w:rsidRPr="00937CD0">
            <w:rPr>
              <w:rFonts w:ascii="Univers Condensed Light" w:hAnsi="Univers Condensed Light" w:cstheme="majorHAnsi"/>
              <w:noProof/>
              <w:sz w:val="24"/>
              <w:szCs w:val="24"/>
            </w:rPr>
            <w:t>ncreasing demand for data</w:t>
          </w:r>
          <w:r>
            <w:rPr>
              <w:rFonts w:ascii="Univers Condensed Light" w:hAnsi="Univers Condensed Light" w:cstheme="majorHAnsi"/>
              <w:noProof/>
              <w:sz w:val="24"/>
              <w:szCs w:val="24"/>
            </w:rPr>
            <w:t xml:space="preserve"> in areas such as climate, environment and gender equality. </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15:color w:val="99CC00"/>
      </w:sdtPr>
      <w:sdtContent>
        <w:p w14:paraId="37F4F546" w14:textId="3E5F321A" w:rsidR="00AC76FB" w:rsidRDefault="009E0D91" w:rsidP="00AC76FB">
          <w:pPr>
            <w:rPr>
              <w:rFonts w:ascii="Univers Condensed Light" w:hAnsi="Univers Condensed Light"/>
              <w:b/>
              <w:bCs/>
            </w:rPr>
          </w:pPr>
          <w:r w:rsidRPr="009E0D91">
            <w:rPr>
              <w:rFonts w:ascii="Univers Condensed Light" w:hAnsi="Univers Condensed Light"/>
              <w:b/>
              <w:bCs/>
            </w:rPr>
            <w:t>Number of countries with national statistical plans that are under implementation and fully funded</w:t>
          </w:r>
          <w:r>
            <w:rPr>
              <w:rFonts w:ascii="Univers Condensed Light" w:hAnsi="Univers Condensed Light"/>
              <w:b/>
              <w:bCs/>
            </w:rPr>
            <w:t xml:space="preserve"> in 2023</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C5DEFCB"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6AB59B06"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lastRenderedPageBreak/>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15:color w:val="99CC00"/>
            </w:sdtPr>
            <w:sdtContent>
              <w:p w14:paraId="14394145" w14:textId="6511E0D1" w:rsidR="009C16AF" w:rsidRPr="00B3210F" w:rsidRDefault="00606D19" w:rsidP="00817C8B">
                <w:pPr>
                  <w:pStyle w:val="Heading3"/>
                  <w:spacing w:before="0"/>
                  <w:rPr>
                    <w:rFonts w:ascii="Univers Condensed Light" w:eastAsiaTheme="minorEastAsia" w:hAnsi="Univers Condensed Light" w:cstheme="majorHAnsi"/>
                    <w:b/>
                    <w:bCs/>
                    <w:noProof/>
                    <w:color w:val="auto"/>
                    <w:sz w:val="22"/>
                    <w:szCs w:val="22"/>
                  </w:rPr>
                </w:pPr>
                <w:r>
                  <w:rPr>
                    <w:rFonts w:ascii="Univers Condensed Light" w:eastAsiaTheme="minorEastAsia" w:hAnsi="Univers Condensed Light" w:cstheme="majorHAnsi"/>
                    <w:b/>
                    <w:bCs/>
                    <w:noProof/>
                    <w:color w:val="auto"/>
                    <w:sz w:val="22"/>
                    <w:szCs w:val="22"/>
                  </w:rPr>
                  <w:t>We updated on</w:t>
                </w:r>
                <w:r w:rsidR="009E0D91">
                  <w:rPr>
                    <w:rFonts w:ascii="Univers Condensed Light" w:eastAsiaTheme="minorEastAsia" w:hAnsi="Univers Condensed Light" w:cstheme="majorHAnsi"/>
                    <w:b/>
                    <w:bCs/>
                    <w:noProof/>
                    <w:color w:val="auto"/>
                    <w:sz w:val="22"/>
                    <w:szCs w:val="22"/>
                  </w:rPr>
                  <w:t>e</w:t>
                </w:r>
                <w:r>
                  <w:rPr>
                    <w:rFonts w:ascii="Univers Condensed Light" w:eastAsiaTheme="minorEastAsia" w:hAnsi="Univers Condensed Light" w:cstheme="majorHAnsi"/>
                    <w:b/>
                    <w:bCs/>
                    <w:noProof/>
                    <w:color w:val="auto"/>
                    <w:sz w:val="22"/>
                    <w:szCs w:val="22"/>
                  </w:rPr>
                  <w:t xml:space="preserve"> data point since the storyline submission on 17 March. The number of countries that have a national statistical plan fully funded is now 109 instead of 108 after receiving one new data entry. </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FEC8" w14:textId="77777777" w:rsidR="00D5731B" w:rsidRDefault="00D5731B" w:rsidP="00BC7372">
      <w:pPr>
        <w:spacing w:after="0" w:line="240" w:lineRule="auto"/>
      </w:pPr>
      <w:r>
        <w:separator/>
      </w:r>
    </w:p>
  </w:endnote>
  <w:endnote w:type="continuationSeparator" w:id="0">
    <w:p w14:paraId="0B0DA05A" w14:textId="77777777" w:rsidR="00D5731B" w:rsidRDefault="00D5731B" w:rsidP="00BC7372">
      <w:pPr>
        <w:spacing w:after="0" w:line="240" w:lineRule="auto"/>
      </w:pPr>
      <w:r>
        <w:continuationSeparator/>
      </w:r>
    </w:p>
  </w:endnote>
  <w:endnote w:type="continuationNotice" w:id="1">
    <w:p w14:paraId="76553973" w14:textId="77777777" w:rsidR="00D5731B" w:rsidRDefault="00D57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B1D5" w14:textId="77777777" w:rsidR="00D5731B" w:rsidRDefault="00D5731B" w:rsidP="00BC7372">
      <w:pPr>
        <w:spacing w:after="0" w:line="240" w:lineRule="auto"/>
      </w:pPr>
      <w:r>
        <w:separator/>
      </w:r>
    </w:p>
  </w:footnote>
  <w:footnote w:type="continuationSeparator" w:id="0">
    <w:p w14:paraId="49694AE1" w14:textId="77777777" w:rsidR="00D5731B" w:rsidRDefault="00D5731B" w:rsidP="00BC7372">
      <w:pPr>
        <w:spacing w:after="0" w:line="240" w:lineRule="auto"/>
      </w:pPr>
      <w:r>
        <w:continuationSeparator/>
      </w:r>
    </w:p>
  </w:footnote>
  <w:footnote w:type="continuationNotice" w:id="1">
    <w:p w14:paraId="79F205A9" w14:textId="77777777" w:rsidR="00D5731B" w:rsidRDefault="00D573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07386"/>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87F5B"/>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6D19"/>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1712D"/>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0EB0"/>
    <w:rsid w:val="007A2A2D"/>
    <w:rsid w:val="007A461F"/>
    <w:rsid w:val="007A6C11"/>
    <w:rsid w:val="007B0C7C"/>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37CD0"/>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0D91"/>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77FD9"/>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18EB"/>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5731B"/>
    <w:rsid w:val="00D60704"/>
    <w:rsid w:val="00D60F12"/>
    <w:rsid w:val="00D6125C"/>
    <w:rsid w:val="00D61D47"/>
    <w:rsid w:val="00D61FE6"/>
    <w:rsid w:val="00D63339"/>
    <w:rsid w:val="00D635D3"/>
    <w:rsid w:val="00D64366"/>
    <w:rsid w:val="00D676E2"/>
    <w:rsid w:val="00D703EB"/>
    <w:rsid w:val="00D7066F"/>
    <w:rsid w:val="00D7186A"/>
    <w:rsid w:val="00D76014"/>
    <w:rsid w:val="00D87A66"/>
    <w:rsid w:val="00D91717"/>
    <w:rsid w:val="00D951E9"/>
    <w:rsid w:val="00D961AD"/>
    <w:rsid w:val="00D976B7"/>
    <w:rsid w:val="00DA24C1"/>
    <w:rsid w:val="00DA57BA"/>
    <w:rsid w:val="00DA5BC6"/>
    <w:rsid w:val="00DB35B2"/>
    <w:rsid w:val="00DB7D7E"/>
    <w:rsid w:val="00DC538D"/>
    <w:rsid w:val="00DC57BE"/>
    <w:rsid w:val="00DE0488"/>
    <w:rsid w:val="00DE52F6"/>
    <w:rsid w:val="00DE779C"/>
    <w:rsid w:val="00DE7875"/>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0FE"/>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3588">
      <w:bodyDiv w:val="1"/>
      <w:marLeft w:val="0"/>
      <w:marRight w:val="0"/>
      <w:marTop w:val="0"/>
      <w:marBottom w:val="0"/>
      <w:divBdr>
        <w:top w:val="none" w:sz="0" w:space="0" w:color="auto"/>
        <w:left w:val="none" w:sz="0" w:space="0" w:color="auto"/>
        <w:bottom w:val="none" w:sz="0" w:space="0" w:color="auto"/>
        <w:right w:val="none" w:sz="0" w:space="0" w:color="auto"/>
      </w:divBdr>
    </w:div>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3759EC"/>
    <w:rsid w:val="003B36D1"/>
    <w:rsid w:val="00413E8F"/>
    <w:rsid w:val="00442397"/>
    <w:rsid w:val="00474207"/>
    <w:rsid w:val="004F752A"/>
    <w:rsid w:val="005A1C46"/>
    <w:rsid w:val="005C6D9C"/>
    <w:rsid w:val="00604974"/>
    <w:rsid w:val="006808EB"/>
    <w:rsid w:val="006D7298"/>
    <w:rsid w:val="0074060E"/>
    <w:rsid w:val="00777A7F"/>
    <w:rsid w:val="007D279D"/>
    <w:rsid w:val="008166DE"/>
    <w:rsid w:val="0086732D"/>
    <w:rsid w:val="00876263"/>
    <w:rsid w:val="009A7C32"/>
    <w:rsid w:val="009E1D53"/>
    <w:rsid w:val="00A0780D"/>
    <w:rsid w:val="00A155C8"/>
    <w:rsid w:val="00AC3ECE"/>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2</cp:revision>
  <dcterms:created xsi:type="dcterms:W3CDTF">2024-03-22T22:10:00Z</dcterms:created>
  <dcterms:modified xsi:type="dcterms:W3CDTF">2024-03-22T22:10:00Z</dcterms:modified>
</cp:coreProperties>
</file>