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038E2">
      <w:pPr>
        <w:jc w:val="center"/>
        <w:rPr>
          <w:rFonts w:hint="eastAsia" w:ascii="方正小标宋_GBK" w:hAnsi="方正小标宋_GBK" w:eastAsia="方正小标宋_GBK" w:cs="方正小标宋_GBK"/>
          <w:sz w:val="36"/>
          <w:szCs w:val="36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36"/>
          <w:szCs w:val="36"/>
          <w:lang w:val="en-US" w:eastAsia="zh-CN"/>
        </w:rPr>
        <w:t>量化选选股的基础辑逻</w:t>
      </w:r>
    </w:p>
    <w:p w14:paraId="58F8103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（目前市面上的所存在）</w:t>
      </w:r>
    </w:p>
    <w:p w14:paraId="2F0C2C18">
      <w:pPr>
        <w:pStyle w:val="2"/>
        <w:numPr>
          <w:ilvl w:val="0"/>
          <w:numId w:val="1"/>
        </w:numPr>
        <w:spacing w:afterLines="0" w:line="560" w:lineRule="exact"/>
        <w:ind w:firstLine="640" w:firstLineChars="200"/>
        <w:jc w:val="left"/>
        <w:rPr>
          <w:rFonts w:hint="eastAsia" w:ascii="方正黑体_GBK" w:hAnsi="方正黑体_GBK" w:eastAsia="方正黑体_GBK" w:cs="方正黑体_GBK"/>
          <w:b w:val="0"/>
          <w:bCs w:val="0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Cs w:val="32"/>
          <w:lang w:val="en-US" w:eastAsia="zh-CN"/>
        </w:rPr>
        <w:t>股票池的建立</w:t>
      </w:r>
    </w:p>
    <w:p w14:paraId="2321ED8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  <w:t>资格筛选层：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首先剔除高风险、低流动性的股票，建立基础股票池。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排除存在明显风险或者不符合基本投资要求的股票:非 ST 股票,非停牌股票；上市天数&gt;365；所属板块为主板和中小板</w:t>
      </w:r>
    </w:p>
    <w:p w14:paraId="49291C3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  <w:t>估值因子层：</w:t>
      </w:r>
      <w:r>
        <w:rPr>
          <w:rFonts w:hint="eastAsia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  <w:t>衡量股票价格相对于其内在价值的高低。</w:t>
      </w:r>
    </w:p>
    <w:p w14:paraId="39786683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2.1、p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e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_ttm（动态市盈率）处于[1,20]区间</w:t>
      </w: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;</w:t>
      </w:r>
    </w:p>
    <w:p w14:paraId="186754D7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市盈率 = 股价 / 每股收益，反映投资者为获得 1 元净利润所支付的价格。过低的 PE 可能暗示公司存在问题，过高则可能反映过度乐观预期，1-20 倍被认为是价值投资的合理区间。</w:t>
      </w:r>
    </w:p>
    <w:p w14:paraId="18CE536B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2.2、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pb（市净率）小于2</w:t>
      </w:r>
    </w:p>
    <w:p w14:paraId="47503BF2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方正仿宋_GBK" w:hAnsi="方正仿宋_GBK" w:eastAsia="方正仿宋_GBK" w:cs="方正仿宋_GBK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kern w:val="2"/>
          <w:sz w:val="32"/>
          <w:szCs w:val="32"/>
          <w:lang w:val="en-US" w:eastAsia="zh-CN" w:bidi="ar-SA"/>
        </w:rPr>
        <w:t>市净率 = 股价 / 每股净资产，表示每 1 元净资产对应的市场价格。低于 2 倍的 PB 通常被认为估值相对安全，尤其适合评估重资产行业公司</w:t>
      </w:r>
    </w:p>
    <w:p w14:paraId="48C95935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eastAsia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  <w:t>3.市场特征层：结合市值、换手率等市场指标优化组合特性</w:t>
      </w:r>
    </w:p>
    <w:p w14:paraId="00F7966A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3.1.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turn(换手率)&lt;10</w:t>
      </w:r>
    </w:p>
    <w:p w14:paraId="0E51453D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kern w:val="2"/>
          <w:sz w:val="32"/>
          <w:szCs w:val="32"/>
          <w:lang w:val="en-US" w:eastAsia="zh-CN" w:bidi="ar-SA"/>
        </w:rPr>
        <w:t>换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手率 = 成交量 / 流通股本，反映股票的交易活跃度。过高的换手率（如超过 10%）可能意味着短期投机过度，股价波动较大，选择换手率适中的股票可降低组合波动性。</w:t>
      </w:r>
    </w:p>
    <w:p w14:paraId="461C1F43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3.2.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总市值处于1到100亿之间</w:t>
      </w:r>
    </w:p>
    <w:p w14:paraId="7351BBFC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总市值 = 股价 × 总股本</w:t>
      </w:r>
    </w:p>
    <w:p w14:paraId="3C4F884B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市值过低的公司（通常称为 "微型股"）往往交易不活跃，可能面临买卖价差大、成交困难的问题，容易导致调仓执行困难或产生较高冲击成本。同时规避大盘股的增长乏力，中小盘股往往兼具成长性和稳定性。市值因子是本策略重要的筛选维度，对组合风险收益特征有显著影响。</w:t>
      </w:r>
    </w:p>
    <w:p w14:paraId="3515540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eastAsia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  <w:t>4.财务健康层：通过现金流指标判断企业真实运营状况</w:t>
      </w:r>
    </w:p>
    <w:p w14:paraId="255E6A15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4.1.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经营活动产生的现金流量净额&gt;0</w:t>
      </w:r>
    </w:p>
    <w:p w14:paraId="0F1E3E30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该指标反映公司通过主营业务创造现金的能力，是企业生存和发展的基础。正数表明公司主营业务具备造血能力，而非依赖外部融资。</w:t>
      </w:r>
    </w:p>
    <w:p w14:paraId="74CBFC84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4.2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固定资本支出&gt;0</w:t>
      </w:r>
    </w:p>
    <w:p w14:paraId="4F7EE7BF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该指标反映公司的资本性支出，正数表明公司在持续投资扩大生产或提升能力，是企业可持续发展的重要标志。长期为负可能意味着公司正在收缩业务。</w:t>
      </w:r>
    </w:p>
    <w:p w14:paraId="752E3B5B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4.3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自由现金流&gt;0</w:t>
      </w:r>
    </w:p>
    <w:p w14:paraId="16F5A23B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自由现金流 = 经营现金流 - 资本性支出，代表公司可以自由支配的现金。正数表明公司在维持正常经营和投资后仍有现金剩余，可用于分红、回购或应对风险，是财务健康的重要标志。</w:t>
      </w:r>
    </w:p>
    <w:p w14:paraId="0C58098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  <w:t>5.热点新闻捕捉</w:t>
      </w:r>
    </w:p>
    <w:p w14:paraId="101D7253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大模型+bigtrader新闻实时监控</w:t>
      </w:r>
    </w:p>
    <w:p w14:paraId="512251E4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5.1</w:t>
      </w:r>
      <w:r>
        <w:t>依赖与外部资源</w:t>
      </w:r>
    </w:p>
    <w:p w14:paraId="1FF850AD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第三方平台依赖: bigquant.chat、dai、bigtrader、pandas、requests</w:t>
      </w:r>
    </w:p>
    <w:p w14:paraId="4F319A88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外部数据源: 新浪财经 7×24 快讯信息</w:t>
      </w:r>
    </w:p>
    <w:p w14:paraId="2C9086F7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项目巧妙利用bigtrader中tick回测的机制结合大模型在每个tick上进行新闻分析</w:t>
      </w:r>
    </w:p>
    <w:p w14:paraId="57985CF4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5.2</w:t>
      </w:r>
      <w:r>
        <w:t>项目定位</w:t>
      </w:r>
    </w:p>
    <w:p w14:paraId="75829BE2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一个面向普通投资者的“资讯智能解读助手”。它把复杂的市场信息，转化为清晰可读的两类视图：</w:t>
      </w: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一是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板块层面的新闻影响力：哪些板块可能受益/承压、影响强弱如何</w:t>
      </w: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；二是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个股层面的原因解释：为什么这只股此刻在涨/跌，有哪些关键触发点</w:t>
      </w: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三是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当重要新闻出现，市场往往会在几分钟内做出反应：某些板块迅速走强，个股跟随启动。如何第一时间看清“这条新闻影响了谁、可能带动哪些机会”？这正是“新闻打板策略”要解决的问题。</w:t>
      </w:r>
    </w:p>
    <w:p w14:paraId="0BA47F44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5.3新闻目的</w:t>
      </w:r>
    </w:p>
    <w:p w14:paraId="5A7CF0E6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在开盘前，快速了解“今天值得关注的板块与题材”，省去大量筛选时间</w:t>
      </w: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；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在盘中，当某只股票突然拉升时，给出“上涨原因”摘要，少走弯路</w:t>
      </w: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；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提供清晰的“新闻→板块→个股”链路，辅助你做出更有把握的决策</w:t>
      </w:r>
    </w:p>
    <w:p w14:paraId="459A3ADB">
      <w:pPr>
        <w:pStyle w:val="2"/>
        <w:numPr>
          <w:ilvl w:val="0"/>
          <w:numId w:val="1"/>
        </w:numPr>
        <w:spacing w:afterLines="0" w:line="560" w:lineRule="exact"/>
        <w:ind w:firstLine="640" w:firstLineChars="200"/>
        <w:jc w:val="left"/>
        <w:rPr>
          <w:rFonts w:hint="eastAsia" w:ascii="方正黑体_GBK" w:hAnsi="方正黑体_GBK" w:eastAsia="方正黑体_GBK" w:cs="方正黑体_GBK"/>
          <w:b w:val="0"/>
          <w:bCs w:val="0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Cs w:val="32"/>
          <w:lang w:val="en-US" w:eastAsia="zh-CN"/>
        </w:rPr>
        <w:t>构建核心备选股票池</w:t>
      </w:r>
    </w:p>
    <w:p w14:paraId="30D15CBC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highlight w:val="yellow"/>
          <w:lang w:val="en-US" w:eastAsia="zh-CN" w:bidi="ar-SA"/>
        </w:rPr>
        <w:t>AI与深度学习模型：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t>近年来，AI正在重塑量化投资的范式。AI擅长从海量数据中发现人脑难以捕捉的复杂非线性关系。例如：</w:t>
      </w:r>
    </w:p>
    <w:p w14:paraId="04F7608C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highlight w:val="yellow"/>
          <w:lang w:val="en-US" w:eastAsia="zh-CN" w:bidi="ar-SA"/>
        </w:rPr>
        <w:t>GFlowNet模型：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t>被国金证券等机构用于自动化挖掘“低相关性”的因子，能生成一群表现优异且彼此互补的因子，有效规避传统模型“因子同质化”的问题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fldChar w:fldCharType="begin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instrText xml:space="preserve"> HYPERLINK "http://stockfinance.sina.cn/stock/go.php/paper/reportid/829183945437/index.phtml?vt=4&amp;autocallup=no&amp;isfromsina=no" \t "https://chat.deepseek.com/a/chat/s/_blank" </w:instrTex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fldChar w:fldCharType="separate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fldChar w:fldCharType="end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t>。</w:t>
      </w:r>
    </w:p>
    <w:p w14:paraId="5949DF4F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highlight w:val="yellow"/>
          <w:lang w:val="en-US" w:eastAsia="zh-CN" w:bidi="ar-SA"/>
        </w:rPr>
        <w:t>深度学习选股：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t>方正证券等机构的研究表明，通过构建深度神经网络，并直接以“排序能力（RankIC）”为训练目标，可以端到端地优化选股模型，其绩效显著超越了传统线性模型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fldChar w:fldCharType="begin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instrText xml:space="preserve"> HYPERLINK "https://foundersc.com/infoResearchMacro/8662662.jhtml" \t "https://chat.deepseek.com/a/chat/s/_blank" </w:instrTex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fldChar w:fldCharType="separate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fldChar w:fldCharType="end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t>。</w:t>
      </w:r>
    </w:p>
    <w:p w14:paraId="321F345B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highlight w:val="yellow"/>
          <w:lang w:val="en-US" w:eastAsia="zh-CN" w:bidi="ar-SA"/>
        </w:rPr>
        <w:t>AI赋能全流程：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t>像景顺长城等公募基金，已将AI用于海量数据处理、价格预测和风险管理，形成新一代的AI量化策略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fldChar w:fldCharType="begin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instrText xml:space="preserve"> HYPERLINK "http://www.zqrb.cn/fund/jijindongtai/2025-09-03/A1756885691977.html" \t "https://chat.deepseek.com/a/chat/s/_blank" </w:instrTex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fldChar w:fldCharType="separate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fldChar w:fldCharType="end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t>。</w:t>
      </w:r>
    </w:p>
    <w:p w14:paraId="69037B49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  <w:t>通过传统因子与AI模型的结合，并对股票的进行综合排名，选其高者进入核心备选股票池</w:t>
      </w:r>
    </w:p>
    <w:p w14:paraId="217D4EFB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方正黑体_GBK" w:hAnsi="方正黑体_GBK" w:eastAsia="方正黑体_GBK" w:cs="方正黑体_GBK"/>
          <w:b w:val="0"/>
          <w:bCs w:val="0"/>
          <w:kern w:val="44"/>
          <w:sz w:val="32"/>
          <w:szCs w:val="32"/>
          <w:lang w:val="en-US" w:eastAsia="zh-CN" w:bidi="ar-SA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kern w:val="44"/>
          <w:sz w:val="32"/>
          <w:szCs w:val="32"/>
          <w:lang w:val="en-US" w:eastAsia="zh-CN" w:bidi="ar-SA"/>
        </w:rPr>
        <w:t>三、短线选股指标</w:t>
      </w:r>
    </w:p>
    <w:p w14:paraId="056E7F8B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eastAsia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3.1</w:t>
      </w: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日内与尾盘形态类因子</w:t>
      </w:r>
    </w:p>
    <w:p w14:paraId="18D843C3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3.1.1</w:t>
      </w: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尾盘成交量占比 (ratio_volumeH8)：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计算14:30-15:00这半小时成交量占全天比例。比例异常放大，可能预示主力尾盘抢筹或对敲做图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"https://mf.bigquant.com/wiki/doc/xCReVHKVy1" \t "https://chat.deepseek.com/a/chat/s/_blank" </w:instrTex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"https://bigquant.com/wiki/doc/BJcw42kG5S" \t "https://chat.deepseek.com/a/chat/s/_blank" </w:instrTex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。</w:t>
      </w:r>
    </w:p>
    <w:p w14:paraId="459829B1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3.1.2</w:t>
      </w: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尾盘收益率 (ret_H8)：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尾盘半小时的价格涨幅，结合量能判断是真实拉升还是偷袭。</w:t>
      </w: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（一是黄金窗口：14:50-14:57，这个时段是主力真实意图的体现；如果是14:57之后集合竞价突然拉伸，偷袭嫌疑最大；二是量价同步股价阶梯式上涨，同时成交量持续放大，且以大单主动买入为主；三是突破关键位：收在全天最高点且突破近期均线整数关口且站稳；次日大概率小幅高开（3%以内，开盘后买盘充足，股价不跌回尾盘的关键价位）</w:t>
      </w:r>
    </w:p>
    <w:p w14:paraId="79E58179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3.1.3</w:t>
      </w: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早盘集合竞价特征 (ret_open2AH1)：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利用开盘第一阶段的集合竞价数据，捕捉开盘前的多空力量对比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"https://mf.bigquant.com/wiki/doc/xCReVHKVy1" \t "https://chat.deepseek.com/a/chat/s/_blank" </w:instrTex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。</w:t>
      </w: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（9:20之后，价格逐步推高且伴随下方的红柱（买盘）同步拉长放大。）</w:t>
      </w:r>
    </w:p>
    <w:p w14:paraId="75A63523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2. 价量关系与流动性类因子</w:t>
      </w:r>
    </w:p>
    <w:p w14:paraId="438F0079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2.2.1</w:t>
      </w: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日内价量相关性 (corr_VP)：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盘中价格与成交量的滚动相关性。相关性过高可能意味情绪一致（容易见顶），相关性过低则可能量价背离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"https://mf.bigquant.com/wiki/doc/xCReVHKVy1" \t "https://chat.deepseek.com/a/chat/s/_blank" </w:instrTex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。</w:t>
      </w:r>
    </w:p>
    <w:p w14:paraId="6DE88408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2.2.2</w:t>
      </w: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Amihud非流动性因子 (Amihud_illiq)：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衡量单位成交额对价格的冲击程度。该因子在广发证券的测试中表现出了较强的多头超额收益，即那些流动性稍差（冲击成本高）但稳定的股票，反而可能因其“冷门”而被低估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"https://mf.bigquant.com/wiki/doc/xCReVHKVy1" \t "https://chat.deepseek.com/a/chat/s/_blank" </w:instrTex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。</w:t>
      </w:r>
    </w:p>
    <w:p w14:paraId="03891F28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2.2.3</w:t>
      </w:r>
      <w:r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“暗流涌动”因子：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方正证券构建，刻画个股成交量突然放大时，具备“适当流动性缓冲”的股票更容易获得超额收益</w: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"https://foundersc.com/infoResearchMacro/8660534.jhtml" \t "https://chat.deepseek.com/a/chat/s/_blank" </w:instrText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  <w:r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。</w:t>
      </w:r>
    </w:p>
    <w:p w14:paraId="7F5EB865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default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3.自己想法</w:t>
      </w:r>
    </w:p>
    <w:p w14:paraId="3A1002C1">
      <w:pPr>
        <w:pStyle w:val="4"/>
        <w:keepNext w:val="0"/>
        <w:keepLines w:val="0"/>
        <w:widowControl/>
        <w:suppressLineNumbers w:val="0"/>
        <w:ind w:firstLine="643" w:firstLineChars="200"/>
        <w:jc w:val="left"/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b/>
          <w:bCs/>
          <w:kern w:val="2"/>
          <w:sz w:val="32"/>
          <w:szCs w:val="32"/>
          <w:lang w:val="en-US" w:eastAsia="zh-CN" w:bidi="ar-SA"/>
        </w:rPr>
        <w:t>3.1个股连续下跌：</w:t>
      </w:r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某一股票近五日内下跌，且股价接近于下方支撑位。</w:t>
      </w:r>
    </w:p>
    <w:p w14:paraId="3063F1BC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</w:pPr>
      <w:bookmarkStart w:id="0" w:name="_GoBack"/>
      <w:bookmarkEnd w:id="0"/>
      <w:r>
        <w:rPr>
          <w:rFonts w:hint="eastAsia" w:ascii="Times New Roman" w:hAnsi="Times New Roman" w:eastAsia="方正仿宋_GBK" w:cs="Times New Roman"/>
          <w:b w:val="0"/>
          <w:bCs w:val="0"/>
          <w:kern w:val="2"/>
          <w:sz w:val="32"/>
          <w:szCs w:val="32"/>
          <w:lang w:val="en-US" w:eastAsia="zh-CN" w:bidi="ar-SA"/>
        </w:rPr>
        <w:t>3.2该股所属公司无暴雷且财务业绩无亏损</w:t>
      </w:r>
    </w:p>
    <w:p w14:paraId="7066C06D">
      <w:pPr>
        <w:pStyle w:val="4"/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eastAsia="方正仿宋_GBK" w:cs="Times New Roman"/>
          <w:b w:val="0"/>
          <w:bCs w:val="0"/>
          <w:kern w:val="2"/>
          <w:sz w:val="32"/>
          <w:szCs w:val="32"/>
          <w:highlight w:val="yellow"/>
          <w:lang w:val="en-US" w:eastAsia="zh-CN" w:bidi="ar-SA"/>
        </w:rPr>
      </w:pPr>
    </w:p>
    <w:p w14:paraId="0A8669EC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61ED554A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eastAsia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</w:pPr>
    </w:p>
    <w:p w14:paraId="1CCD9A20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eastAsia" w:ascii="方正仿宋_GBK" w:hAnsi="方正仿宋_GBK" w:eastAsia="方正仿宋_GBK" w:cs="方正仿宋_GBK"/>
          <w:b/>
          <w:bCs/>
          <w:kern w:val="2"/>
          <w:sz w:val="32"/>
          <w:szCs w:val="32"/>
          <w:lang w:val="en-US" w:eastAsia="zh-CN" w:bidi="ar-SA"/>
        </w:rPr>
      </w:pPr>
    </w:p>
    <w:p w14:paraId="4CEB3A6D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1" w:fontKey="{F0CD1A64-74D5-4CDE-B19B-B7D2C6AAD61E}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2" w:fontKey="{CAE28878-7CE7-4468-998A-159F4B3B0278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8C482"/>
    <w:multiLevelType w:val="multilevel"/>
    <w:tmpl w:val="B5C8C4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4CE14150"/>
    <w:multiLevelType w:val="singleLevel"/>
    <w:tmpl w:val="4CE1415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9A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9" w:lineRule="auto"/>
      <w:outlineLvl w:val="0"/>
    </w:pPr>
    <w:rPr>
      <w:rFonts w:ascii="宋体" w:hAnsi="宋体" w:eastAsia="仿宋"/>
      <w:b/>
      <w:bCs/>
      <w:kern w:val="44"/>
      <w:sz w:val="32"/>
      <w:szCs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2026-05-01T14:29:54Z</dcterms:created>
  <dc:creator>Administrator</dc:creator>
  <cp:lastModifiedBy>澡澡泡</cp:lastModifiedBy>
  <dcterms:modified xsi:type="dcterms:W3CDTF">2026-05-01T16:11:03Z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eyJoZGlkIjoiZjIyZjhhMDY3ZjFkYTliZTJmNDViYjFiMTA4ZWQ3MWQiLCJ1c2VySWQiOiIxMjMxMTc1NDEwIn0=</vt:lpwstr>
  </property>
  <property fmtid="{D5CDD505-2E9C-101B-9397-08002B2CF9AE}" pid="4" name="ICV">
    <vt:lpwstr>C5239EA0747A4960841478DFBB2A48E0_12</vt:lpwstr>
  </property>
</Properties>
</file>