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FFC" w:rsidRDefault="00E753AA">
      <w:bookmarkStart w:id="0" w:name="_GoBack"/>
      <w:bookmarkEnd w:id="0"/>
      <w:r>
        <w:rPr>
          <w:noProof/>
        </w:rPr>
        <w:drawing>
          <wp:anchor distT="0" distB="0" distL="114300" distR="114300" simplePos="0" relativeHeight="251683840" behindDoc="1" locked="0" layoutInCell="1" allowOverlap="1">
            <wp:simplePos x="0" y="0"/>
            <wp:positionH relativeFrom="page">
              <wp:posOffset>-11069</wp:posOffset>
            </wp:positionH>
            <wp:positionV relativeFrom="page">
              <wp:posOffset>-38100</wp:posOffset>
            </wp:positionV>
            <wp:extent cx="7619913" cy="10778490"/>
            <wp:effectExtent l="0" t="0" r="635" b="3810"/>
            <wp:wrapNone/>
            <wp:docPr id="4"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s ACT-cover background.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flipV="1">
                      <a:off x="0" y="0"/>
                      <a:ext cx="7619913" cy="10778490"/>
                    </a:xfrm>
                    <a:prstGeom prst="rect">
                      <a:avLst/>
                    </a:prstGeom>
                    <a:noFill/>
                  </pic:spPr>
                </pic:pic>
              </a:graphicData>
            </a:graphic>
          </wp:anchor>
        </w:drawing>
      </w:r>
      <w:r w:rsidR="0089332C">
        <w:rPr>
          <w:noProof/>
        </w:rPr>
        <w:drawing>
          <wp:anchor distT="0" distB="0" distL="114300" distR="114300" simplePos="0" relativeHeight="251665408" behindDoc="0" locked="0" layoutInCell="1" allowOverlap="1">
            <wp:simplePos x="0" y="0"/>
            <wp:positionH relativeFrom="margin">
              <wp:posOffset>0</wp:posOffset>
            </wp:positionH>
            <wp:positionV relativeFrom="page">
              <wp:posOffset>1440180</wp:posOffset>
            </wp:positionV>
            <wp:extent cx="1413510" cy="723265"/>
            <wp:effectExtent l="19050" t="0" r="0" b="0"/>
            <wp:wrapSquare wrapText="bothSides"/>
            <wp:docPr id="7" name="Picture 4" descr="ACT Gover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Gov_inline_black.wmf"/>
                    <pic:cNvPicPr>
                      <a:picLocks noChangeAspect="1" noChangeArrowheads="1"/>
                    </pic:cNvPicPr>
                  </pic:nvPicPr>
                  <pic:blipFill>
                    <a:blip r:embed="rId12" cstate="print"/>
                    <a:srcRect/>
                    <a:stretch>
                      <a:fillRect/>
                    </a:stretch>
                  </pic:blipFill>
                  <pic:spPr bwMode="auto">
                    <a:xfrm>
                      <a:off x="0" y="0"/>
                      <a:ext cx="1413510" cy="723265"/>
                    </a:xfrm>
                    <a:prstGeom prst="rect">
                      <a:avLst/>
                    </a:prstGeom>
                    <a:noFill/>
                  </pic:spPr>
                </pic:pic>
              </a:graphicData>
            </a:graphic>
          </wp:anchor>
        </w:drawing>
      </w:r>
    </w:p>
    <w:sdt>
      <w:sdtPr>
        <w:id w:val="440470352"/>
        <w:docPartObj>
          <w:docPartGallery w:val="Cover Pages"/>
          <w:docPartUnique/>
        </w:docPartObj>
      </w:sdtPr>
      <w:sdtEndPr>
        <w:rPr>
          <w:rFonts w:asciiTheme="majorHAnsi" w:eastAsia="Times New Roman" w:hAnsiTheme="majorHAnsi"/>
          <w:caps/>
          <w:noProof/>
          <w:color w:val="482D8C" w:themeColor="background2"/>
          <w:sz w:val="36"/>
          <w:szCs w:val="40"/>
        </w:rPr>
      </w:sdtEndPr>
      <w:sdtContent>
        <w:p w:rsidR="00F875BD" w:rsidRDefault="00F875BD"/>
        <w:p w:rsidR="00F875BD" w:rsidRDefault="003C2618">
          <w:pPr>
            <w:spacing w:line="276" w:lineRule="auto"/>
            <w:rPr>
              <w:rFonts w:asciiTheme="majorHAnsi" w:eastAsia="Times New Roman" w:hAnsiTheme="majorHAnsi"/>
              <w:caps/>
              <w:noProof/>
              <w:color w:val="482D8C" w:themeColor="background2"/>
              <w:sz w:val="36"/>
              <w:szCs w:val="40"/>
            </w:rPr>
          </w:pPr>
          <w:r>
            <w:rPr>
              <w:rFonts w:asciiTheme="majorHAnsi" w:eastAsia="Times New Roman" w:hAnsiTheme="majorHAnsi"/>
              <w:caps/>
              <w:noProof/>
              <w:color w:val="482D8C" w:themeColor="background2"/>
              <w:sz w:val="36"/>
              <w:szCs w:val="40"/>
            </w:rPr>
            <mc:AlternateContent>
              <mc:Choice Requires="wps">
                <w:drawing>
                  <wp:anchor distT="0" distB="0" distL="114300" distR="114300" simplePos="0" relativeHeight="251666432" behindDoc="0" locked="0" layoutInCell="1" allowOverlap="1">
                    <wp:simplePos x="0" y="0"/>
                    <wp:positionH relativeFrom="margin">
                      <wp:posOffset>-213309</wp:posOffset>
                    </wp:positionH>
                    <wp:positionV relativeFrom="page">
                      <wp:posOffset>4672425</wp:posOffset>
                    </wp:positionV>
                    <wp:extent cx="6247519" cy="2806627"/>
                    <wp:effectExtent l="0" t="0" r="0" b="0"/>
                    <wp:wrapNone/>
                    <wp:docPr id="2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7519" cy="2806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2618" w:rsidRDefault="003C2618" w:rsidP="0089332C">
                                <w:pPr>
                                  <w:pStyle w:val="Title"/>
                                  <w:rPr>
                                    <w:color w:val="FFFFFF"/>
                                  </w:rPr>
                                </w:pPr>
                                <w:r>
                                  <w:rPr>
                                    <w:color w:val="FFFFFF"/>
                                  </w:rPr>
                                  <w:t>regulating the use of electric personal transportation dEvices</w:t>
                                </w:r>
                              </w:p>
                              <w:p w:rsidR="00246AAC" w:rsidRPr="00731AE2" w:rsidRDefault="003C2618" w:rsidP="0089332C">
                                <w:pPr>
                                  <w:pStyle w:val="Title"/>
                                  <w:rPr>
                                    <w:color w:val="FFFFFF"/>
                                  </w:rPr>
                                </w:pPr>
                                <w:r>
                                  <w:rPr>
                                    <w:color w:val="FFFFFF"/>
                                  </w:rPr>
                                  <w:t xml:space="preserve">(electric scooters and similar devices) in the Act </w:t>
                                </w:r>
                              </w:p>
                              <w:p w:rsidR="00246AAC" w:rsidRDefault="003C2618" w:rsidP="0089332C">
                                <w:pPr>
                                  <w:pStyle w:val="Subtitle"/>
                                  <w:rPr>
                                    <w:color w:val="FFFFFF"/>
                                  </w:rPr>
                                </w:pPr>
                                <w:r>
                                  <w:rPr>
                                    <w:color w:val="FFFFFF"/>
                                  </w:rPr>
                                  <w:t>Discussion Paper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6.8pt;margin-top:367.9pt;width:491.95pt;height:22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3btgIAALs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owkjQHnp0z/YG3cg9Sm15xkFn4HU3gJ/ZwzG02VHVw62svmkk5LKlYsOulZJjy2gN6YX2pn92&#10;dcLRFmQ9fpQ1hKFbIx3QvlG9rR1UAwE6tOnh1BqbSgWHcUTmszDFqAJblARxHM1dDJodrw9Km/dM&#10;9sgucqyg9w6e7m61senQ7OhiowlZ8q5z/e/EswNwnE4gOFy1NpuGa+djGqSrZJUQj0TxyiNBUXjX&#10;5ZJ4cRnOZ8W7Yrkswp82bkiyltc1EzbMUVoh+bPWHUQ+ieIkLi07Xls4m5JWm/WyU2hHQdql+w4F&#10;OXPzn6fhigBcXlAKIxLcRKlXxsncIyWZeek8SLwgTG/SOCApKcrnlG65YP9OCY05TmfRbFLTb7kF&#10;7nvNjWY9NzA8Ot7nODk50cxqcCVq11pDeTetz0ph038qBbT72GinWCvSSa5mv94DipXxWtYPoF0l&#10;QVkgUJh4sGil+oHRCNMjx/r7liqGUfdBgP7TkBA7btyGzOYRbNS5ZX1uoaICqBwbjKbl0kwjajso&#10;vmkh0vTihLyGN9Nwp+anrA4vDSaEI3WYZnYEne+d19PMXfwCAAD//wMAUEsDBBQABgAIAAAAIQAg&#10;0qtF4AAAAAwBAAAPAAAAZHJzL2Rvd25yZXYueG1sTI/BTsMwEETvSPyDtUjcWruENG2IUyEQV1AL&#10;VOrNjbdJRLyOYrcJf89yguNqn2beFJvJdeKCQ2g9aVjMFQikytuWag0f7y+zFYgQDVnTeUIN3xhg&#10;U15fFSa3fqQtXnaxFhxCITcamhj7XMpQNehMmPseiX8nPzgT+RxqaQczcrjr5J1SS+lMS9zQmB6f&#10;Gqy+dmen4fP1dNjfq7f62aX96Cclya2l1rc30+MDiIhT/IPhV5/VoWSnoz+TDaLTMEuSJaMasiTl&#10;DUysU5WAODK6yLIVyLKQ/0eUPwAAAP//AwBQSwECLQAUAAYACAAAACEAtoM4kv4AAADhAQAAEwAA&#10;AAAAAAAAAAAAAAAAAAAAW0NvbnRlbnRfVHlwZXNdLnhtbFBLAQItABQABgAIAAAAIQA4/SH/1gAA&#10;AJQBAAALAAAAAAAAAAAAAAAAAC8BAABfcmVscy8ucmVsc1BLAQItABQABgAIAAAAIQD+BG3btgIA&#10;ALsFAAAOAAAAAAAAAAAAAAAAAC4CAABkcnMvZTJvRG9jLnhtbFBLAQItABQABgAIAAAAIQAg0qtF&#10;4AAAAAwBAAAPAAAAAAAAAAAAAAAAABAFAABkcnMvZG93bnJldi54bWxQSwUGAAAAAAQABADzAAAA&#10;HQYAAAAA&#10;" filled="f" stroked="f">
                    <v:textbox>
                      <w:txbxContent>
                        <w:p w:rsidR="003C2618" w:rsidRDefault="003C2618" w:rsidP="0089332C">
                          <w:pPr>
                            <w:pStyle w:val="Title"/>
                            <w:rPr>
                              <w:color w:val="FFFFFF"/>
                            </w:rPr>
                          </w:pPr>
                          <w:r>
                            <w:rPr>
                              <w:color w:val="FFFFFF"/>
                            </w:rPr>
                            <w:t>regulating the use of electric personal transportation dEvices</w:t>
                          </w:r>
                        </w:p>
                        <w:p w:rsidR="00246AAC" w:rsidRPr="00731AE2" w:rsidRDefault="003C2618" w:rsidP="0089332C">
                          <w:pPr>
                            <w:pStyle w:val="Title"/>
                            <w:rPr>
                              <w:color w:val="FFFFFF"/>
                            </w:rPr>
                          </w:pPr>
                          <w:r>
                            <w:rPr>
                              <w:color w:val="FFFFFF"/>
                            </w:rPr>
                            <w:t xml:space="preserve">(electric scooters and similar devices) in the Act </w:t>
                          </w:r>
                        </w:p>
                        <w:p w:rsidR="00246AAC" w:rsidRDefault="003C2618" w:rsidP="0089332C">
                          <w:pPr>
                            <w:pStyle w:val="Subtitle"/>
                            <w:rPr>
                              <w:color w:val="FFFFFF"/>
                            </w:rPr>
                          </w:pPr>
                          <w:r>
                            <w:rPr>
                              <w:color w:val="FFFFFF"/>
                            </w:rPr>
                            <w:t>Discussion Paper</w:t>
                          </w:r>
                        </w:p>
                      </w:txbxContent>
                    </v:textbox>
                    <w10:wrap anchorx="margin" anchory="page"/>
                  </v:shape>
                </w:pict>
              </mc:Fallback>
            </mc:AlternateContent>
          </w:r>
          <w:r w:rsidR="00E666BB">
            <w:rPr>
              <w:rFonts w:asciiTheme="majorHAnsi" w:eastAsia="Times New Roman" w:hAnsiTheme="majorHAnsi"/>
              <w:caps/>
              <w:noProof/>
              <w:color w:val="482D8C" w:themeColor="background2"/>
              <w:sz w:val="36"/>
              <w:szCs w:val="40"/>
            </w:rPr>
            <mc:AlternateContent>
              <mc:Choice Requires="wps">
                <w:drawing>
                  <wp:anchor distT="0" distB="0" distL="114300" distR="114300" simplePos="0" relativeHeight="251667456" behindDoc="0" locked="0" layoutInCell="1" allowOverlap="1">
                    <wp:simplePos x="0" y="0"/>
                    <wp:positionH relativeFrom="margin">
                      <wp:posOffset>-214630</wp:posOffset>
                    </wp:positionH>
                    <wp:positionV relativeFrom="page">
                      <wp:posOffset>7807325</wp:posOffset>
                    </wp:positionV>
                    <wp:extent cx="2298065" cy="916940"/>
                    <wp:effectExtent l="4445" t="0" r="2540" b="0"/>
                    <wp:wrapNone/>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065" cy="916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AAC" w:rsidRPr="000016B9" w:rsidRDefault="003C2618" w:rsidP="0089332C">
                                <w:pPr>
                                  <w:pStyle w:val="Intro"/>
                                  <w:rPr>
                                    <w:caps/>
                                    <w:color w:val="FFFFFF"/>
                                  </w:rPr>
                                </w:pPr>
                                <w:r>
                                  <w:rPr>
                                    <w:color w:val="FFFFFF"/>
                                  </w:rPr>
                                  <w:t>Justice and Community Safety</w:t>
                                </w:r>
                              </w:p>
                              <w:p w:rsidR="00246AAC" w:rsidRPr="000016B9" w:rsidRDefault="003C2618" w:rsidP="0089332C">
                                <w:pPr>
                                  <w:pStyle w:val="Intro"/>
                                  <w:rPr>
                                    <w:caps/>
                                    <w:color w:val="FFFFFF"/>
                                  </w:rPr>
                                </w:pPr>
                                <w:r>
                                  <w:rPr>
                                    <w:color w:val="FFFFFF"/>
                                  </w:rPr>
                                  <w:t xml:space="preserve">June 2019 </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10" o:spid="_x0000_s1027" type="#_x0000_t202" style="position:absolute;margin-left:-16.9pt;margin-top:614.75pt;width:180.95pt;height:72.2pt;z-index:251667456;visibility:visible;mso-wrap-style:square;mso-width-percent:400;mso-height-percent:200;mso-wrap-distance-left:9pt;mso-wrap-distance-top:0;mso-wrap-distance-right:9pt;mso-wrap-distance-bottom:0;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OJaugIAAMIFAAAOAAAAZHJzL2Uyb0RvYy54bWysVNtunDAQfa/Uf7D8TrjUywIKGyXLUlVK&#10;L1LSD/CCWayCTW3vsmnVf+/Y7C3JS9WWB2R7xjNn5hzP9c2+79COKc2lyHF4FWDERCVrLjY5/vpY&#10;eglG2lBR004KluMnpvHN4u2b63HIWCRb2dVMIQgidDYOOW6NGTLf11XLeqqv5MAEGBupempgqzZ+&#10;regI0fvOj4Ig9kep6kHJimkNp8VkxAsXv2lYZT43jWYGdTkGbMb9lfuv7d9fXNNso+jQ8uoAg/4F&#10;ip5yAUlPoQpqKNoq/ipUzysltWzMVSV7XzYNr5irAaoJgxfVPLR0YK4WaI4eTm3S/y9s9Wn3RSFe&#10;5zgKMRK0B44e2d6gO7lHoevPOOgM3B4GcDR7OAeeXa16uJfVN42EXLZUbNitUnJsGa0BX2g7619c&#10;tYzoTNsg6/GjrCEP3RrpAu0b1dvmQTsQRAeenk7cWCwVHEZRmgTxDKMKbGkYp8SB82l2vD0obd4z&#10;2SO7yLEC7l10urvXxqKh2dHFJhOy5F3n+O/EswNwnE4gN1y1NovC0fkzDdJVskqIR6J45ZGgKLzb&#10;ckm8uAzns+JdsVwW4S+bNyRZy+uaCZvmKK2Q/Bl1B5FPojiJS8uO1zachaTVZr3sFNpRkHbpPtdz&#10;sJzd/OcwXBOglhclhREJ7qLUK+Nk7pGSzLx0HiReEKZ3aRyQlBTl85LuuWD/XhIagclZNJvEdAb9&#10;orbAfa9ro1nPDQyPjvc5Tk5ONLMSXInaUWso76b1RSss/HMrgO4j0U6wVqOTWs1+vXdvw6nZ6nct&#10;6ydQsJIgMJApDD5YtFL9wGiEIZJj/X1LFcOo+yDgFaQhAZki4zZkNo9goy4t60sLFRWEyrHBaFou&#10;zTSptoPimxYyHd/dLbyckjtRn1Ed3hsMClfbYajZSXS5d17n0bv4DQAA//8DAFBLAwQUAAYACAAA&#10;ACEAXDjv0OEAAAANAQAADwAAAGRycy9kb3ducmV2LnhtbEyPS0/DMBCE70j8B2uRuLVOk4a2IU6F&#10;eEgcaQsSRzfePIS9jmK3Df+e5QTH2RnNfFtuJ2fFGcfQe1KwmCcgkGpvemoVvB9eZmsQIWoy2npC&#10;Bd8YYFtdX5W6MP5COzzvYyu4hEKhFXQxDoWUoe7Q6TD3AxJ7jR+djizHVppRX7jcWZkmyZ10uide&#10;6PSAjx3WX/uTU/BBn/a1WZoOV/nbcjc8PzV5PCh1ezM93IOIOMW/MPziMzpUzHT0JzJBWAWzLGP0&#10;yEaabnIQHMnS9QLEkU/ZKtuArEr5/4vqBwAA//8DAFBLAQItABQABgAIAAAAIQC2gziS/gAAAOEB&#10;AAATAAAAAAAAAAAAAAAAAAAAAABbQ29udGVudF9UeXBlc10ueG1sUEsBAi0AFAAGAAgAAAAhADj9&#10;If/WAAAAlAEAAAsAAAAAAAAAAAAAAAAALwEAAF9yZWxzLy5yZWxzUEsBAi0AFAAGAAgAAAAhAClU&#10;4lq6AgAAwgUAAA4AAAAAAAAAAAAAAAAALgIAAGRycy9lMm9Eb2MueG1sUEsBAi0AFAAGAAgAAAAh&#10;AFw479DhAAAADQEAAA8AAAAAAAAAAAAAAAAAFAUAAGRycy9kb3ducmV2LnhtbFBLBQYAAAAABAAE&#10;APMAAAAiBgAAAAA=&#10;" filled="f" stroked="f">
                    <v:textbox style="mso-fit-shape-to-text:t">
                      <w:txbxContent>
                        <w:p w:rsidR="00246AAC" w:rsidRPr="000016B9" w:rsidRDefault="003C2618" w:rsidP="0089332C">
                          <w:pPr>
                            <w:pStyle w:val="Intro"/>
                            <w:rPr>
                              <w:caps/>
                              <w:color w:val="FFFFFF"/>
                            </w:rPr>
                          </w:pPr>
                          <w:r>
                            <w:rPr>
                              <w:color w:val="FFFFFF"/>
                            </w:rPr>
                            <w:t>Justice and Community Safety</w:t>
                          </w:r>
                        </w:p>
                        <w:p w:rsidR="00246AAC" w:rsidRPr="000016B9" w:rsidRDefault="003C2618" w:rsidP="0089332C">
                          <w:pPr>
                            <w:pStyle w:val="Intro"/>
                            <w:rPr>
                              <w:caps/>
                              <w:color w:val="FFFFFF"/>
                            </w:rPr>
                          </w:pPr>
                          <w:r>
                            <w:rPr>
                              <w:color w:val="FFFFFF"/>
                            </w:rPr>
                            <w:t xml:space="preserve">June 2019 </w:t>
                          </w:r>
                        </w:p>
                      </w:txbxContent>
                    </v:textbox>
                    <w10:wrap anchorx="margin" anchory="page"/>
                  </v:shape>
                </w:pict>
              </mc:Fallback>
            </mc:AlternateContent>
          </w:r>
          <w:r w:rsidR="00F875BD">
            <w:rPr>
              <w:rFonts w:asciiTheme="majorHAnsi" w:eastAsia="Times New Roman" w:hAnsiTheme="majorHAnsi"/>
              <w:caps/>
              <w:noProof/>
              <w:color w:val="482D8C" w:themeColor="background2"/>
              <w:sz w:val="36"/>
              <w:szCs w:val="40"/>
            </w:rPr>
            <w:br w:type="page"/>
          </w:r>
        </w:p>
      </w:sdtContent>
    </w:sdt>
    <w:p w:rsidR="002D33BC" w:rsidRPr="005115E8" w:rsidRDefault="002D33BC" w:rsidP="005115E8">
      <w:pPr>
        <w:pStyle w:val="TOC1"/>
      </w:pPr>
      <w:r w:rsidRPr="005115E8">
        <w:lastRenderedPageBreak/>
        <w:t>Content</w:t>
      </w:r>
      <w:r w:rsidR="005115E8" w:rsidRPr="005115E8">
        <w:t>s</w:t>
      </w:r>
    </w:p>
    <w:p w:rsidR="002462E5" w:rsidRDefault="00DD7FA7">
      <w:pPr>
        <w:pStyle w:val="TOC2"/>
        <w:rPr>
          <w:rFonts w:eastAsiaTheme="minorEastAsia" w:cstheme="minorBidi"/>
          <w:color w:val="auto"/>
          <w:sz w:val="22"/>
          <w:szCs w:val="22"/>
        </w:rPr>
      </w:pPr>
      <w:r>
        <w:rPr>
          <w:b/>
          <w:sz w:val="32"/>
        </w:rPr>
        <w:fldChar w:fldCharType="begin"/>
      </w:r>
      <w:r w:rsidR="0096313F">
        <w:instrText xml:space="preserve"> TOC \o "1-4" \u </w:instrText>
      </w:r>
      <w:r>
        <w:rPr>
          <w:b/>
          <w:sz w:val="32"/>
        </w:rPr>
        <w:fldChar w:fldCharType="separate"/>
      </w:r>
      <w:r w:rsidR="002462E5">
        <w:t>WHAT ARE WE DOING?</w:t>
      </w:r>
      <w:r w:rsidR="002462E5">
        <w:tab/>
      </w:r>
      <w:r w:rsidR="002462E5">
        <w:fldChar w:fldCharType="begin"/>
      </w:r>
      <w:r w:rsidR="002462E5">
        <w:instrText xml:space="preserve"> PAGEREF _Toc12274650 \h </w:instrText>
      </w:r>
      <w:r w:rsidR="002462E5">
        <w:fldChar w:fldCharType="separate"/>
      </w:r>
      <w:r w:rsidR="002462E5">
        <w:t>4</w:t>
      </w:r>
      <w:r w:rsidR="002462E5">
        <w:fldChar w:fldCharType="end"/>
      </w:r>
    </w:p>
    <w:p w:rsidR="002462E5" w:rsidRDefault="002462E5">
      <w:pPr>
        <w:pStyle w:val="TOC2"/>
        <w:rPr>
          <w:rFonts w:eastAsiaTheme="minorEastAsia" w:cstheme="minorBidi"/>
          <w:color w:val="auto"/>
          <w:sz w:val="22"/>
          <w:szCs w:val="22"/>
        </w:rPr>
      </w:pPr>
      <w:r>
        <w:t>DEFINITION OF ELECTRIC PERSONAL TRANSPORTATION DEVICE</w:t>
      </w:r>
      <w:r>
        <w:tab/>
      </w:r>
      <w:r>
        <w:fldChar w:fldCharType="begin"/>
      </w:r>
      <w:r>
        <w:instrText xml:space="preserve"> PAGEREF _Toc12274651 \h </w:instrText>
      </w:r>
      <w:r>
        <w:fldChar w:fldCharType="separate"/>
      </w:r>
      <w:r>
        <w:t>4</w:t>
      </w:r>
      <w:r>
        <w:fldChar w:fldCharType="end"/>
      </w:r>
    </w:p>
    <w:p w:rsidR="002462E5" w:rsidRDefault="002462E5">
      <w:pPr>
        <w:pStyle w:val="TOC2"/>
        <w:rPr>
          <w:rFonts w:eastAsiaTheme="minorEastAsia" w:cstheme="minorBidi"/>
          <w:color w:val="auto"/>
          <w:sz w:val="22"/>
          <w:szCs w:val="22"/>
        </w:rPr>
      </w:pPr>
      <w:r>
        <w:t>THE QUEENSLAND MODEL</w:t>
      </w:r>
      <w:r>
        <w:tab/>
      </w:r>
      <w:r>
        <w:fldChar w:fldCharType="begin"/>
      </w:r>
      <w:r>
        <w:instrText xml:space="preserve"> PAGEREF _Toc12274652 \h </w:instrText>
      </w:r>
      <w:r>
        <w:fldChar w:fldCharType="separate"/>
      </w:r>
      <w:r>
        <w:t>5</w:t>
      </w:r>
      <w:r>
        <w:fldChar w:fldCharType="end"/>
      </w:r>
    </w:p>
    <w:p w:rsidR="002462E5" w:rsidRDefault="002462E5">
      <w:pPr>
        <w:pStyle w:val="TOC2"/>
        <w:rPr>
          <w:rFonts w:eastAsiaTheme="minorEastAsia" w:cstheme="minorBidi"/>
          <w:color w:val="auto"/>
          <w:sz w:val="22"/>
          <w:szCs w:val="22"/>
        </w:rPr>
      </w:pPr>
      <w:r>
        <w:t>WE WANT TO CONSULT ON LOCATION, SPEED &amp; USER RESTRICTIONS</w:t>
      </w:r>
      <w:r>
        <w:tab/>
      </w:r>
      <w:r>
        <w:fldChar w:fldCharType="begin"/>
      </w:r>
      <w:r>
        <w:instrText xml:space="preserve"> PAGEREF _Toc12274653 \h </w:instrText>
      </w:r>
      <w:r>
        <w:fldChar w:fldCharType="separate"/>
      </w:r>
      <w:r>
        <w:t>5</w:t>
      </w:r>
      <w:r>
        <w:fldChar w:fldCharType="end"/>
      </w:r>
    </w:p>
    <w:p w:rsidR="002462E5" w:rsidRDefault="002462E5">
      <w:pPr>
        <w:pStyle w:val="TOC3"/>
        <w:tabs>
          <w:tab w:val="left" w:pos="880"/>
          <w:tab w:val="right" w:leader="dot" w:pos="9060"/>
        </w:tabs>
        <w:rPr>
          <w:rFonts w:eastAsiaTheme="minorEastAsia" w:cstheme="minorBidi"/>
          <w:noProof/>
          <w:sz w:val="22"/>
          <w:szCs w:val="22"/>
        </w:rPr>
      </w:pPr>
      <w:r>
        <w:rPr>
          <w:noProof/>
        </w:rPr>
        <w:t>1.</w:t>
      </w:r>
      <w:r>
        <w:rPr>
          <w:rFonts w:eastAsiaTheme="minorEastAsia" w:cstheme="minorBidi"/>
          <w:noProof/>
          <w:sz w:val="22"/>
          <w:szCs w:val="22"/>
        </w:rPr>
        <w:tab/>
      </w:r>
      <w:r>
        <w:rPr>
          <w:noProof/>
        </w:rPr>
        <w:t>LOCATION</w:t>
      </w:r>
      <w:r>
        <w:rPr>
          <w:noProof/>
        </w:rPr>
        <w:tab/>
      </w:r>
      <w:r>
        <w:rPr>
          <w:noProof/>
        </w:rPr>
        <w:fldChar w:fldCharType="begin"/>
      </w:r>
      <w:r>
        <w:rPr>
          <w:noProof/>
        </w:rPr>
        <w:instrText xml:space="preserve"> PAGEREF _Toc12274654 \h </w:instrText>
      </w:r>
      <w:r>
        <w:rPr>
          <w:noProof/>
        </w:rPr>
      </w:r>
      <w:r>
        <w:rPr>
          <w:noProof/>
        </w:rPr>
        <w:fldChar w:fldCharType="separate"/>
      </w:r>
      <w:r>
        <w:rPr>
          <w:noProof/>
        </w:rPr>
        <w:t>5</w:t>
      </w:r>
      <w:r>
        <w:rPr>
          <w:noProof/>
        </w:rPr>
        <w:fldChar w:fldCharType="end"/>
      </w:r>
    </w:p>
    <w:p w:rsidR="002462E5" w:rsidRDefault="002462E5">
      <w:pPr>
        <w:pStyle w:val="TOC3"/>
        <w:tabs>
          <w:tab w:val="left" w:pos="880"/>
          <w:tab w:val="right" w:leader="dot" w:pos="9060"/>
        </w:tabs>
        <w:rPr>
          <w:rFonts w:eastAsiaTheme="minorEastAsia" w:cstheme="minorBidi"/>
          <w:noProof/>
          <w:sz w:val="22"/>
          <w:szCs w:val="22"/>
        </w:rPr>
      </w:pPr>
      <w:r>
        <w:rPr>
          <w:noProof/>
        </w:rPr>
        <w:t>2.</w:t>
      </w:r>
      <w:r>
        <w:rPr>
          <w:rFonts w:eastAsiaTheme="minorEastAsia" w:cstheme="minorBidi"/>
          <w:noProof/>
          <w:sz w:val="22"/>
          <w:szCs w:val="22"/>
        </w:rPr>
        <w:tab/>
      </w:r>
      <w:r>
        <w:rPr>
          <w:noProof/>
        </w:rPr>
        <w:t>SPEED</w:t>
      </w:r>
      <w:r>
        <w:rPr>
          <w:noProof/>
        </w:rPr>
        <w:tab/>
      </w:r>
      <w:r>
        <w:rPr>
          <w:noProof/>
        </w:rPr>
        <w:fldChar w:fldCharType="begin"/>
      </w:r>
      <w:r>
        <w:rPr>
          <w:noProof/>
        </w:rPr>
        <w:instrText xml:space="preserve"> PAGEREF _Toc12274655 \h </w:instrText>
      </w:r>
      <w:r>
        <w:rPr>
          <w:noProof/>
        </w:rPr>
      </w:r>
      <w:r>
        <w:rPr>
          <w:noProof/>
        </w:rPr>
        <w:fldChar w:fldCharType="separate"/>
      </w:r>
      <w:r>
        <w:rPr>
          <w:noProof/>
        </w:rPr>
        <w:t>6</w:t>
      </w:r>
      <w:r>
        <w:rPr>
          <w:noProof/>
        </w:rPr>
        <w:fldChar w:fldCharType="end"/>
      </w:r>
    </w:p>
    <w:p w:rsidR="002462E5" w:rsidRDefault="002462E5">
      <w:pPr>
        <w:pStyle w:val="TOC3"/>
        <w:tabs>
          <w:tab w:val="left" w:pos="880"/>
          <w:tab w:val="right" w:leader="dot" w:pos="9060"/>
        </w:tabs>
        <w:rPr>
          <w:rFonts w:eastAsiaTheme="minorEastAsia" w:cstheme="minorBidi"/>
          <w:noProof/>
          <w:sz w:val="22"/>
          <w:szCs w:val="22"/>
        </w:rPr>
      </w:pPr>
      <w:r>
        <w:rPr>
          <w:noProof/>
        </w:rPr>
        <w:t>3.</w:t>
      </w:r>
      <w:r>
        <w:rPr>
          <w:rFonts w:eastAsiaTheme="minorEastAsia" w:cstheme="minorBidi"/>
          <w:noProof/>
          <w:sz w:val="22"/>
          <w:szCs w:val="22"/>
        </w:rPr>
        <w:tab/>
      </w:r>
      <w:r>
        <w:rPr>
          <w:noProof/>
        </w:rPr>
        <w:t>USER RESTRICTIONS</w:t>
      </w:r>
      <w:r>
        <w:rPr>
          <w:noProof/>
        </w:rPr>
        <w:tab/>
      </w:r>
      <w:r>
        <w:rPr>
          <w:noProof/>
        </w:rPr>
        <w:fldChar w:fldCharType="begin"/>
      </w:r>
      <w:r>
        <w:rPr>
          <w:noProof/>
        </w:rPr>
        <w:instrText xml:space="preserve"> PAGEREF _Toc12274656 \h </w:instrText>
      </w:r>
      <w:r>
        <w:rPr>
          <w:noProof/>
        </w:rPr>
      </w:r>
      <w:r>
        <w:rPr>
          <w:noProof/>
        </w:rPr>
        <w:fldChar w:fldCharType="separate"/>
      </w:r>
      <w:r>
        <w:rPr>
          <w:noProof/>
        </w:rPr>
        <w:t>7</w:t>
      </w:r>
      <w:r>
        <w:rPr>
          <w:noProof/>
        </w:rPr>
        <w:fldChar w:fldCharType="end"/>
      </w:r>
    </w:p>
    <w:p w:rsidR="002462E5" w:rsidRDefault="002462E5">
      <w:pPr>
        <w:pStyle w:val="TOC2"/>
        <w:rPr>
          <w:rFonts w:eastAsiaTheme="minorEastAsia" w:cstheme="minorBidi"/>
          <w:color w:val="auto"/>
          <w:sz w:val="22"/>
          <w:szCs w:val="22"/>
        </w:rPr>
      </w:pPr>
      <w:r>
        <w:t>SAFETY CONCERNS</w:t>
      </w:r>
      <w:r>
        <w:tab/>
      </w:r>
      <w:r>
        <w:fldChar w:fldCharType="begin"/>
      </w:r>
      <w:r>
        <w:instrText xml:space="preserve"> PAGEREF _Toc12274657 \h </w:instrText>
      </w:r>
      <w:r>
        <w:fldChar w:fldCharType="separate"/>
      </w:r>
      <w:r>
        <w:t>7</w:t>
      </w:r>
      <w:r>
        <w:fldChar w:fldCharType="end"/>
      </w:r>
    </w:p>
    <w:p w:rsidR="002462E5" w:rsidRDefault="002462E5">
      <w:pPr>
        <w:pStyle w:val="TOC2"/>
        <w:rPr>
          <w:rFonts w:eastAsiaTheme="minorEastAsia" w:cstheme="minorBidi"/>
          <w:color w:val="auto"/>
          <w:sz w:val="22"/>
          <w:szCs w:val="22"/>
        </w:rPr>
      </w:pPr>
      <w:r>
        <w:t>NEXT STEPS</w:t>
      </w:r>
      <w:r>
        <w:tab/>
      </w:r>
      <w:r>
        <w:fldChar w:fldCharType="begin"/>
      </w:r>
      <w:r>
        <w:instrText xml:space="preserve"> PAGEREF _Toc12274658 \h </w:instrText>
      </w:r>
      <w:r>
        <w:fldChar w:fldCharType="separate"/>
      </w:r>
      <w:r>
        <w:t>8</w:t>
      </w:r>
      <w:r>
        <w:fldChar w:fldCharType="end"/>
      </w:r>
    </w:p>
    <w:p w:rsidR="002462E5" w:rsidRDefault="002462E5">
      <w:pPr>
        <w:pStyle w:val="TOC2"/>
        <w:rPr>
          <w:rFonts w:eastAsiaTheme="minorEastAsia" w:cstheme="minorBidi"/>
          <w:color w:val="auto"/>
          <w:sz w:val="22"/>
          <w:szCs w:val="22"/>
        </w:rPr>
      </w:pPr>
      <w:r>
        <w:t>APPENDIX A</w:t>
      </w:r>
      <w:r>
        <w:tab/>
      </w:r>
      <w:r>
        <w:fldChar w:fldCharType="begin"/>
      </w:r>
      <w:r>
        <w:instrText xml:space="preserve"> PAGEREF _Toc12274659 \h </w:instrText>
      </w:r>
      <w:r>
        <w:fldChar w:fldCharType="separate"/>
      </w:r>
      <w:r>
        <w:t>9</w:t>
      </w:r>
      <w:r>
        <w:fldChar w:fldCharType="end"/>
      </w:r>
    </w:p>
    <w:p w:rsidR="002462E5" w:rsidRDefault="002462E5">
      <w:pPr>
        <w:pStyle w:val="TOC2"/>
        <w:rPr>
          <w:rFonts w:eastAsiaTheme="minorEastAsia" w:cstheme="minorBidi"/>
          <w:color w:val="auto"/>
          <w:sz w:val="22"/>
          <w:szCs w:val="22"/>
        </w:rPr>
      </w:pPr>
      <w:r>
        <w:t>APPENDIX B – JURISDICTIONAL COMPARISON ON E-SCOOTER/SIMILAR DEVICES LAWS</w:t>
      </w:r>
      <w:r>
        <w:tab/>
      </w:r>
      <w:r>
        <w:fldChar w:fldCharType="begin"/>
      </w:r>
      <w:r>
        <w:instrText xml:space="preserve"> PAGEREF _Toc12274660 \h </w:instrText>
      </w:r>
      <w:r>
        <w:fldChar w:fldCharType="separate"/>
      </w:r>
      <w:r>
        <w:t>10</w:t>
      </w:r>
      <w:r>
        <w:fldChar w:fldCharType="end"/>
      </w:r>
    </w:p>
    <w:p w:rsidR="002462E5" w:rsidRDefault="002462E5">
      <w:pPr>
        <w:pStyle w:val="TOC2"/>
        <w:rPr>
          <w:rFonts w:eastAsiaTheme="minorEastAsia" w:cstheme="minorBidi"/>
          <w:color w:val="auto"/>
          <w:sz w:val="22"/>
          <w:szCs w:val="22"/>
        </w:rPr>
      </w:pPr>
      <w:r>
        <w:t>APPENDIX C – CURRENT FRAMEWORK FOR ROAD/ROAD RELATED AREA USE IN THE ACT</w:t>
      </w:r>
      <w:r>
        <w:tab/>
      </w:r>
      <w:r>
        <w:fldChar w:fldCharType="begin"/>
      </w:r>
      <w:r>
        <w:instrText xml:space="preserve"> PAGEREF _Toc12274661 \h </w:instrText>
      </w:r>
      <w:r>
        <w:fldChar w:fldCharType="separate"/>
      </w:r>
      <w:r>
        <w:t>12</w:t>
      </w:r>
      <w:r>
        <w:fldChar w:fldCharType="end"/>
      </w:r>
    </w:p>
    <w:p w:rsidR="00D06D75" w:rsidRDefault="00DD7FA7" w:rsidP="00D06D75">
      <w:pPr>
        <w:spacing w:line="276" w:lineRule="auto"/>
      </w:pPr>
      <w:r>
        <w:rPr>
          <w:rFonts w:asciiTheme="majorHAnsi" w:hAnsiTheme="majorHAnsi"/>
          <w:caps/>
          <w:noProof/>
          <w:color w:val="482D8C" w:themeColor="background2"/>
          <w:sz w:val="36"/>
          <w:szCs w:val="40"/>
        </w:rPr>
        <w:fldChar w:fldCharType="end"/>
      </w:r>
      <w:r w:rsidR="00C34A60">
        <w:br w:type="page"/>
      </w:r>
      <w:r w:rsidR="00203525">
        <w:lastRenderedPageBreak/>
        <w:softHyphen/>
      </w:r>
      <w:r w:rsidR="00D06D75" w:rsidRPr="00B925C3">
        <w:rPr>
          <w:rStyle w:val="Heading1Char"/>
        </w:rPr>
        <w:t>INTRODUCTION</w:t>
      </w:r>
    </w:p>
    <w:p w:rsidR="00D06D75" w:rsidRDefault="0047491B" w:rsidP="0047491B">
      <w:pPr>
        <w:ind w:left="2835"/>
      </w:pPr>
      <w:r>
        <w:br/>
      </w:r>
      <w:r w:rsidRPr="00633EBA">
        <w:rPr>
          <w:b/>
          <w:noProof/>
          <w:sz w:val="24"/>
          <w:szCs w:val="24"/>
        </w:rPr>
        <w:drawing>
          <wp:anchor distT="0" distB="0" distL="114300" distR="114300" simplePos="0" relativeHeight="251687936" behindDoc="0" locked="0" layoutInCell="1" allowOverlap="1" wp14:anchorId="3D18813F" wp14:editId="7023100C">
            <wp:simplePos x="0" y="0"/>
            <wp:positionH relativeFrom="column">
              <wp:posOffset>0</wp:posOffset>
            </wp:positionH>
            <wp:positionV relativeFrom="paragraph">
              <wp:posOffset>161290</wp:posOffset>
            </wp:positionV>
            <wp:extent cx="1704975" cy="1672590"/>
            <wp:effectExtent l="0" t="0" r="9525" b="3810"/>
            <wp:wrapSquare wrapText="bothSides"/>
            <wp:docPr id="1" name="Picture 1" descr="Mr Shane Rattenbury, Minister for Justice, Consumer Affairs and Road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04975" cy="1672590"/>
                    </a:xfrm>
                    <a:prstGeom prst="rect">
                      <a:avLst/>
                    </a:prstGeom>
                  </pic:spPr>
                </pic:pic>
              </a:graphicData>
            </a:graphic>
            <wp14:sizeRelH relativeFrom="page">
              <wp14:pctWidth>0</wp14:pctWidth>
            </wp14:sizeRelH>
            <wp14:sizeRelV relativeFrom="page">
              <wp14:pctHeight>0</wp14:pctHeight>
            </wp14:sizeRelV>
          </wp:anchor>
        </w:drawing>
      </w:r>
      <w:r w:rsidR="00D06D75">
        <w:t xml:space="preserve">Electric scooters and similar devices are quickly becoming more appealing as viable and sustainable transportation options for commuters.  As part of the Road Safety Action Plan 2016-20, the ACT Government committed to exploring options for recognising the role of sustainable transport in road safety. </w:t>
      </w:r>
    </w:p>
    <w:p w:rsidR="00D06D75" w:rsidRDefault="00D06D75" w:rsidP="00B925C3">
      <w:r>
        <w:t xml:space="preserve">The ACT Government recognises that electric scooters and similar devices have the potential to provide an innovative, zero-emission transport option for people who would otherwise drive. These devices provide an alternative to a motor vehicle for greater mobility choice, including providing a first and last mile travel solution, as well as direct cost savings to users. </w:t>
      </w:r>
    </w:p>
    <w:p w:rsidR="00D06D75" w:rsidRDefault="00D06D75" w:rsidP="00B925C3">
      <w:r>
        <w:t xml:space="preserve">In addition to providing benefits to the user, these devices have the potential to provide benefits for the environment such as reducing pollution, greenhouse gas emissions, and noise. By regulating the safe use of electric scooters and similar personal transportation devices, we can potentially decrease the number of cars on the road, and actively work towards the ACT Government’s target of net zero greenhouse gas emissions by 2045. </w:t>
      </w:r>
    </w:p>
    <w:p w:rsidR="00D06D75" w:rsidRDefault="00D06D75" w:rsidP="00B925C3">
      <w:r>
        <w:t>I’ve asked the Justice and Community Directorate to consult the Canberra community on how we can facilitate their use in the ACT – while making sure that we don’t compromise road safety.</w:t>
      </w:r>
    </w:p>
    <w:p w:rsidR="00D06D75" w:rsidRDefault="00D06D75" w:rsidP="00D06D75">
      <w:pPr>
        <w:spacing w:line="276" w:lineRule="auto"/>
      </w:pPr>
    </w:p>
    <w:p w:rsidR="00D06D75" w:rsidRDefault="00D06D75" w:rsidP="00D06D75">
      <w:pPr>
        <w:spacing w:line="276" w:lineRule="auto"/>
      </w:pPr>
    </w:p>
    <w:p w:rsidR="00D06D75" w:rsidRDefault="00D06D75" w:rsidP="00D06D75">
      <w:pPr>
        <w:spacing w:line="276" w:lineRule="auto"/>
      </w:pPr>
      <w:r>
        <w:t xml:space="preserve">Mr Shane </w:t>
      </w:r>
      <w:proofErr w:type="spellStart"/>
      <w:r>
        <w:t>Rattenbury</w:t>
      </w:r>
      <w:proofErr w:type="spellEnd"/>
      <w:r>
        <w:t xml:space="preserve"> MLA</w:t>
      </w:r>
    </w:p>
    <w:p w:rsidR="00D06D75" w:rsidRDefault="00D06D75" w:rsidP="00D06D75">
      <w:pPr>
        <w:spacing w:line="276" w:lineRule="auto"/>
      </w:pPr>
      <w:r>
        <w:t>Minister for Justice, Consumer Affairs and Road Safety</w:t>
      </w:r>
    </w:p>
    <w:p w:rsidR="00D06D75" w:rsidRDefault="00D06D75" w:rsidP="00D06D75">
      <w:pPr>
        <w:spacing w:line="276" w:lineRule="auto"/>
      </w:pPr>
    </w:p>
    <w:p w:rsidR="00E03C85" w:rsidRDefault="00D06D75" w:rsidP="00D06D75">
      <w:pPr>
        <w:spacing w:line="276" w:lineRule="auto"/>
      </w:pPr>
      <w:r>
        <w:t> </w:t>
      </w:r>
    </w:p>
    <w:p w:rsidR="00E03C85" w:rsidRDefault="00E03C85">
      <w:pPr>
        <w:spacing w:line="276" w:lineRule="auto"/>
      </w:pPr>
      <w:r>
        <w:br w:type="page"/>
      </w:r>
    </w:p>
    <w:p w:rsidR="00D06D75" w:rsidRDefault="00D06D75" w:rsidP="00B925C3">
      <w:pPr>
        <w:pStyle w:val="Heading2"/>
      </w:pPr>
      <w:bookmarkStart w:id="1" w:name="_Toc12274650"/>
      <w:r>
        <w:lastRenderedPageBreak/>
        <w:t>WHAT ARE WE DOING?</w:t>
      </w:r>
      <w:bookmarkEnd w:id="1"/>
      <w:r w:rsidR="00B925C3">
        <w:br/>
      </w:r>
    </w:p>
    <w:p w:rsidR="00D06D75" w:rsidRDefault="00D06D75" w:rsidP="00D06D75">
      <w:pPr>
        <w:spacing w:line="276" w:lineRule="auto"/>
      </w:pPr>
      <w:r>
        <w:t xml:space="preserve">The ACT Government intends to amend the territory’s road transports laws to allow electric scooters </w:t>
      </w:r>
      <w:r w:rsidR="00B925C3">
        <w:br/>
      </w:r>
      <w:r>
        <w:t>(e-scooters) and similar personal mobility devices to travel legally in the nation’s capital. E-scooter use in particular has increased globally, particularly via e-scooter rideshare operators. The purpose of this discussion paper is to seek views from Canberra on appropriate regulatory settings for e-scooter and similar devices.</w:t>
      </w:r>
    </w:p>
    <w:p w:rsidR="00D06D75" w:rsidRDefault="00D06D75" w:rsidP="00D06D75">
      <w:pPr>
        <w:spacing w:line="276" w:lineRule="auto"/>
      </w:pPr>
      <w:r>
        <w:t>Electric scooters are currently not permitted to be used on roads and road related areas in the ACT. The penalties for using an e-scooter in the ACT can be significant. Infringement notices can include a penalty of $151 for using an e-scooter, $600 for using an unregistered vehicle and $903 for using an uninsured vehicle.</w:t>
      </w:r>
    </w:p>
    <w:p w:rsidR="00D06D75" w:rsidRDefault="00D06D75" w:rsidP="00D06D75">
      <w:pPr>
        <w:spacing w:line="276" w:lineRule="auto"/>
      </w:pPr>
      <w:r>
        <w:t xml:space="preserve">The ACT Government recognises the benefits these devices provide including environmental benefits such as reduced pollution, greenhouse gas emissions and noise. They provide an alternative to a motor vehicle for greater mobility choice, including providing a first and last mile travel solution, as well as direct cost savings to users because of reduced spending on petrol and vehicle maintenance.  E-scooters have the potential to provide an innovative, zero-emission transport option for people who would otherwise </w:t>
      </w:r>
      <w:proofErr w:type="gramStart"/>
      <w:r>
        <w:t>drive</w:t>
      </w:r>
      <w:proofErr w:type="gramEnd"/>
      <w:r>
        <w:t xml:space="preserve"> and we are seeking community views on the best and safest way to regulate their use. </w:t>
      </w:r>
    </w:p>
    <w:p w:rsidR="00D06D75" w:rsidRDefault="00D06D75" w:rsidP="00D06D75">
      <w:pPr>
        <w:spacing w:line="276" w:lineRule="auto"/>
      </w:pPr>
      <w:r>
        <w:t>To assist in the review of electric personal transportation devices, the ACT Government is interested in community views on:</w:t>
      </w:r>
    </w:p>
    <w:p w:rsidR="00D06D75" w:rsidRPr="0008091D" w:rsidRDefault="00D06D75" w:rsidP="00D06D75">
      <w:pPr>
        <w:spacing w:line="276" w:lineRule="auto"/>
        <w:rPr>
          <w:i/>
        </w:rPr>
      </w:pPr>
      <w:r w:rsidRPr="0008091D">
        <w:rPr>
          <w:i/>
        </w:rPr>
        <w:t>•</w:t>
      </w:r>
      <w:r w:rsidRPr="0008091D">
        <w:rPr>
          <w:i/>
        </w:rPr>
        <w:tab/>
        <w:t>the maximum speed at which the device should be able to travel</w:t>
      </w:r>
    </w:p>
    <w:p w:rsidR="00D06D75" w:rsidRPr="0008091D" w:rsidRDefault="00D06D75" w:rsidP="00D06D75">
      <w:pPr>
        <w:spacing w:line="276" w:lineRule="auto"/>
        <w:rPr>
          <w:i/>
        </w:rPr>
      </w:pPr>
      <w:r w:rsidRPr="0008091D">
        <w:rPr>
          <w:i/>
        </w:rPr>
        <w:t>•</w:t>
      </w:r>
      <w:r w:rsidRPr="0008091D">
        <w:rPr>
          <w:i/>
        </w:rPr>
        <w:tab/>
        <w:t>what road and road related areas it is appropriate for these devices to travel on</w:t>
      </w:r>
    </w:p>
    <w:p w:rsidR="00D06D75" w:rsidRPr="0008091D" w:rsidRDefault="00D06D75" w:rsidP="00D06D75">
      <w:pPr>
        <w:spacing w:line="276" w:lineRule="auto"/>
        <w:rPr>
          <w:i/>
        </w:rPr>
      </w:pPr>
      <w:r w:rsidRPr="0008091D">
        <w:rPr>
          <w:i/>
        </w:rPr>
        <w:t>•</w:t>
      </w:r>
      <w:r w:rsidRPr="0008091D">
        <w:rPr>
          <w:i/>
        </w:rPr>
        <w:tab/>
        <w:t>whether there should be a limitation on who may use these devices</w:t>
      </w:r>
    </w:p>
    <w:p w:rsidR="00D06D75" w:rsidRDefault="00D06D75" w:rsidP="00D06D75">
      <w:pPr>
        <w:spacing w:line="276" w:lineRule="auto"/>
      </w:pPr>
    </w:p>
    <w:p w:rsidR="00D06D75" w:rsidRDefault="00D06D75" w:rsidP="00E03C85">
      <w:pPr>
        <w:pStyle w:val="Heading2"/>
      </w:pPr>
      <w:bookmarkStart w:id="2" w:name="_Toc12274651"/>
      <w:r>
        <w:t>DEFINITION OF ELECTRIC PERSONAL TRANSPORTATION DEVICE</w:t>
      </w:r>
      <w:bookmarkEnd w:id="2"/>
    </w:p>
    <w:p w:rsidR="00D06D75" w:rsidRDefault="00D06D75" w:rsidP="00D06D75">
      <w:pPr>
        <w:spacing w:line="276" w:lineRule="auto"/>
      </w:pPr>
    </w:p>
    <w:p w:rsidR="00D06D75" w:rsidRDefault="00D06D75" w:rsidP="00D06D75">
      <w:pPr>
        <w:spacing w:line="276" w:lineRule="auto"/>
      </w:pPr>
      <w:r>
        <w:t xml:space="preserve">An electric personal transportation device is designed to be used by a single person and is powered by a system using a battery and electric motor or motors to propel the device, with or without assistance from the user.  The terms ‘electric’ and ‘motorised’ are often used interchangeably. </w:t>
      </w:r>
    </w:p>
    <w:p w:rsidR="00D06D75" w:rsidRDefault="00D06D75" w:rsidP="00D06D75">
      <w:pPr>
        <w:spacing w:line="276" w:lineRule="auto"/>
      </w:pPr>
      <w:r>
        <w:t xml:space="preserve">Electric personal transportation devices include electrically powered scooters, skateboards, roller skates, </w:t>
      </w:r>
      <w:proofErr w:type="spellStart"/>
      <w:r>
        <w:t>uni</w:t>
      </w:r>
      <w:proofErr w:type="spellEnd"/>
      <w:r>
        <w:t xml:space="preserve">-cycles etc. Examples would include Segway Drift skates, Yike bikes, Solo wheel </w:t>
      </w:r>
      <w:proofErr w:type="spellStart"/>
      <w:r>
        <w:t>uni</w:t>
      </w:r>
      <w:proofErr w:type="spellEnd"/>
      <w:r>
        <w:t xml:space="preserve">-cycles, </w:t>
      </w:r>
      <w:proofErr w:type="spellStart"/>
      <w:r>
        <w:t>Onewheel</w:t>
      </w:r>
      <w:proofErr w:type="spellEnd"/>
      <w:r>
        <w:t xml:space="preserve"> skate boards and electric Wheelman skateboards.</w:t>
      </w:r>
    </w:p>
    <w:p w:rsidR="00D06D75" w:rsidRDefault="00D06D75" w:rsidP="00D06D75">
      <w:pPr>
        <w:spacing w:line="276" w:lineRule="auto"/>
      </w:pPr>
      <w:r>
        <w:t xml:space="preserve">Motorised mobility devices are outside the scope of this paper. These are powered wheelchairs and mobility scooters that are primarily intended as assistive technology for people with limited mobility. Users of these devices are provided the same rights and responsibilities as a pedestrian. Power Assisted Pedal Cycles and </w:t>
      </w:r>
      <w:proofErr w:type="spellStart"/>
      <w:r>
        <w:t>Pedalecs</w:t>
      </w:r>
      <w:proofErr w:type="spellEnd"/>
      <w:r>
        <w:t xml:space="preserve"> are captured by the definition of a bicycle in the ACT road transport law and are also not in scope.</w:t>
      </w:r>
    </w:p>
    <w:p w:rsidR="00D06D75" w:rsidRDefault="00D06D75" w:rsidP="00D06D75">
      <w:pPr>
        <w:spacing w:line="276" w:lineRule="auto"/>
      </w:pPr>
    </w:p>
    <w:p w:rsidR="00D06D75" w:rsidRDefault="00D06D75" w:rsidP="00705BA9">
      <w:pPr>
        <w:pStyle w:val="Heading2"/>
      </w:pPr>
      <w:bookmarkStart w:id="3" w:name="_Toc12274652"/>
      <w:r>
        <w:lastRenderedPageBreak/>
        <w:t>THE QUEENSLAND MODEL</w:t>
      </w:r>
      <w:bookmarkEnd w:id="3"/>
    </w:p>
    <w:p w:rsidR="00D06D75" w:rsidRDefault="00D06D75" w:rsidP="00D06D75">
      <w:pPr>
        <w:spacing w:line="276" w:lineRule="auto"/>
      </w:pPr>
    </w:p>
    <w:p w:rsidR="00D06D75" w:rsidRDefault="00D06D75" w:rsidP="00D06D75">
      <w:pPr>
        <w:spacing w:line="276" w:lineRule="auto"/>
      </w:pPr>
      <w:r>
        <w:t xml:space="preserve">E-scooter regulatory settings in Australia vary from state to state. The QLD government progressed regulation amendments to provide that from 14 December 2018 a greater range of electric personal transportation devices (including electric scooters) </w:t>
      </w:r>
      <w:proofErr w:type="gramStart"/>
      <w:r>
        <w:t>are able to</w:t>
      </w:r>
      <w:proofErr w:type="gramEnd"/>
      <w:r>
        <w:t xml:space="preserve"> be used on roads and road related areas in QLD. Refer to Appendix A for QLD’s law on personal transportation devices. QLD is the only Australian jurisdiction to regulate the use of personal transportation devices on footpaths and shared pathways, and on roads with speed limits of 50km/h or less, to a maximum speed of 25km/h. </w:t>
      </w:r>
    </w:p>
    <w:p w:rsidR="00D06D75" w:rsidRDefault="00D06D75" w:rsidP="00D06D75">
      <w:pPr>
        <w:spacing w:line="276" w:lineRule="auto"/>
      </w:pPr>
      <w:r>
        <w:t xml:space="preserve">South Australia trialled e-scooters during the Adelaide Fringe Festival and have moved to a more permanent arrangement allowing their use, but with a 15km/h speed limit.  The Northern Territory intends to establish a trial of e-scooters in Darwin from mid-August 2019. Western Australia allows the use of e-scooters not exceeding the </w:t>
      </w:r>
      <w:proofErr w:type="gramStart"/>
      <w:r>
        <w:t>200 watt</w:t>
      </w:r>
      <w:proofErr w:type="gramEnd"/>
      <w:r>
        <w:t xml:space="preserve"> power limit. Refer to Appendix B for a more detailed comparison of e-scooter laws in Australian jurisdictions. </w:t>
      </w:r>
    </w:p>
    <w:p w:rsidR="00D06D75" w:rsidRDefault="00D06D75" w:rsidP="00D06D75">
      <w:pPr>
        <w:spacing w:line="276" w:lineRule="auto"/>
      </w:pPr>
    </w:p>
    <w:p w:rsidR="00D06D75" w:rsidRDefault="00D06D75" w:rsidP="00705BA9">
      <w:pPr>
        <w:pStyle w:val="Heading2"/>
      </w:pPr>
      <w:bookmarkStart w:id="4" w:name="_Toc12274653"/>
      <w:r>
        <w:t>WE WANT TO CONSULT ON LOCATION, SPEED &amp; USER RESTRICTIONS</w:t>
      </w:r>
      <w:bookmarkEnd w:id="4"/>
    </w:p>
    <w:p w:rsidR="00D06D75" w:rsidRDefault="00176A1C" w:rsidP="00D06D75">
      <w:pPr>
        <w:spacing w:line="276" w:lineRule="auto"/>
      </w:pPr>
      <w:r>
        <w:br/>
      </w:r>
      <w:r w:rsidR="00D06D75">
        <w:t xml:space="preserve">The ACT Government’s approach to road safety is to aim for Vision Zero – that means no deaths or serious injuries on ACT roads. It is obviously important to consider safety concerns when introducing/legalising new modes of transport. The Government is keen to get community views on how to best regulate electric scooters, while minimising potential impacts in terms of road safety. </w:t>
      </w:r>
    </w:p>
    <w:p w:rsidR="00D06D75" w:rsidRDefault="00D06D75" w:rsidP="00D06D75">
      <w:pPr>
        <w:spacing w:line="276" w:lineRule="auto"/>
      </w:pPr>
      <w:r>
        <w:t xml:space="preserve">The ACT Government considers the following minimum safety standards essential. </w:t>
      </w:r>
      <w:proofErr w:type="gramStart"/>
      <w:r>
        <w:t>Similar to</w:t>
      </w:r>
      <w:proofErr w:type="gramEnd"/>
      <w:r>
        <w:t xml:space="preserve"> the QLD model, the ACT regulatory setting will include the requirement to wear an approved bicycle helmet, no mobile phone use and no alcohol impairment. These minimum requirements are </w:t>
      </w:r>
      <w:proofErr w:type="gramStart"/>
      <w:r>
        <w:t>similar to</w:t>
      </w:r>
      <w:proofErr w:type="gramEnd"/>
      <w:r>
        <w:t xml:space="preserve"> those currently in place for bicycles and Segway-type devices.</w:t>
      </w:r>
    </w:p>
    <w:p w:rsidR="00D06D75" w:rsidRDefault="00D06D75" w:rsidP="00D06D75">
      <w:pPr>
        <w:spacing w:line="276" w:lineRule="auto"/>
      </w:pPr>
      <w:r>
        <w:t>The issues we would like input from the Canberra community on are:</w:t>
      </w:r>
      <w:r w:rsidR="0008091D">
        <w:br/>
      </w:r>
    </w:p>
    <w:p w:rsidR="00D06D75" w:rsidRDefault="00D06D75" w:rsidP="00176A1C">
      <w:pPr>
        <w:pStyle w:val="Heading3"/>
      </w:pPr>
      <w:bookmarkStart w:id="5" w:name="_Toc12274654"/>
      <w:r>
        <w:t>1.</w:t>
      </w:r>
      <w:r>
        <w:tab/>
        <w:t>LOCATION</w:t>
      </w:r>
      <w:bookmarkEnd w:id="5"/>
    </w:p>
    <w:p w:rsidR="00D06D75" w:rsidRDefault="00E03C85" w:rsidP="00D06D75">
      <w:pPr>
        <w:spacing w:line="276" w:lineRule="auto"/>
      </w:pPr>
      <w:r>
        <w:br/>
      </w:r>
      <w:r w:rsidR="00D06D75">
        <w:t xml:space="preserve">In QLD, e-scooters and similar devices </w:t>
      </w:r>
      <w:proofErr w:type="gramStart"/>
      <w:r w:rsidR="00D06D75">
        <w:t>are allowed to</w:t>
      </w:r>
      <w:proofErr w:type="gramEnd"/>
      <w:r w:rsidR="00D06D75">
        <w:t xml:space="preserve"> travel on footpaths, shared paths, bicycle paths, bicycle side of separated paths, roads with speed limits of 50km/h or less and without dividing lines or median strips. In Peru, e-scooters are banned from pavements and pedestrian areas. France is planning to ban e-scooters from riding on footpaths later this year, following a rise in accidents as well as growing complaints about share scheme scooters being abandoned on streets.</w:t>
      </w:r>
    </w:p>
    <w:p w:rsidR="00D06D75" w:rsidRDefault="00D06D75" w:rsidP="00D06D75">
      <w:pPr>
        <w:spacing w:line="276" w:lineRule="auto"/>
      </w:pPr>
      <w:r>
        <w:t>In the ACT bicycles are permitted on road and road related areas. Pedestrians are permitted to use the road and road related areas, except for separated bicycle paths such as the Civic Cycle Loop. Refer to Appendix C for information on the current framework for road/road related use by pedestrians, wheeled recreational devices/wheeled toys, Segway-type devices and bicycles.</w:t>
      </w:r>
    </w:p>
    <w:p w:rsidR="00D06D75" w:rsidRDefault="00D06D75" w:rsidP="00D06D75">
      <w:pPr>
        <w:spacing w:line="276" w:lineRule="auto"/>
      </w:pPr>
      <w:r>
        <w:t xml:space="preserve">We want to hear from you on where electric personal transportation devices should be allowed to travel in the ACT. </w:t>
      </w:r>
    </w:p>
    <w:p w:rsidR="00D06D75" w:rsidRPr="00176A1C" w:rsidRDefault="00D06D75" w:rsidP="00D06D75">
      <w:pPr>
        <w:spacing w:line="276" w:lineRule="auto"/>
        <w:rPr>
          <w:i/>
        </w:rPr>
      </w:pPr>
      <w:r w:rsidRPr="00176A1C">
        <w:rPr>
          <w:i/>
        </w:rPr>
        <w:lastRenderedPageBreak/>
        <w:t>Should they be allowed/not allowed to be ridden on:</w:t>
      </w:r>
    </w:p>
    <w:p w:rsidR="00D06D75" w:rsidRPr="00176A1C" w:rsidRDefault="00D06D75" w:rsidP="00D06D75">
      <w:pPr>
        <w:spacing w:line="276" w:lineRule="auto"/>
        <w:rPr>
          <w:i/>
        </w:rPr>
      </w:pPr>
      <w:r w:rsidRPr="00176A1C">
        <w:rPr>
          <w:i/>
        </w:rPr>
        <w:t>•</w:t>
      </w:r>
      <w:r w:rsidRPr="00176A1C">
        <w:rPr>
          <w:i/>
        </w:rPr>
        <w:tab/>
        <w:t>footpaths</w:t>
      </w:r>
    </w:p>
    <w:p w:rsidR="00D06D75" w:rsidRPr="00176A1C" w:rsidRDefault="00D06D75" w:rsidP="00D06D75">
      <w:pPr>
        <w:spacing w:line="276" w:lineRule="auto"/>
        <w:rPr>
          <w:i/>
        </w:rPr>
      </w:pPr>
      <w:r w:rsidRPr="00176A1C">
        <w:rPr>
          <w:i/>
        </w:rPr>
        <w:t>•</w:t>
      </w:r>
      <w:r w:rsidRPr="00176A1C">
        <w:rPr>
          <w:i/>
        </w:rPr>
        <w:tab/>
        <w:t>shared paths</w:t>
      </w:r>
    </w:p>
    <w:p w:rsidR="00D06D75" w:rsidRPr="00176A1C" w:rsidRDefault="00D06D75" w:rsidP="00D06D75">
      <w:pPr>
        <w:spacing w:line="276" w:lineRule="auto"/>
        <w:rPr>
          <w:i/>
        </w:rPr>
      </w:pPr>
      <w:r w:rsidRPr="00176A1C">
        <w:rPr>
          <w:i/>
        </w:rPr>
        <w:t>•</w:t>
      </w:r>
      <w:r w:rsidRPr="00176A1C">
        <w:rPr>
          <w:i/>
        </w:rPr>
        <w:tab/>
        <w:t>crossings</w:t>
      </w:r>
    </w:p>
    <w:p w:rsidR="00D06D75" w:rsidRPr="00176A1C" w:rsidRDefault="00D06D75" w:rsidP="00D06D75">
      <w:pPr>
        <w:spacing w:line="276" w:lineRule="auto"/>
        <w:rPr>
          <w:i/>
        </w:rPr>
      </w:pPr>
      <w:r w:rsidRPr="00176A1C">
        <w:rPr>
          <w:i/>
        </w:rPr>
        <w:t>•</w:t>
      </w:r>
      <w:r w:rsidRPr="00176A1C">
        <w:rPr>
          <w:i/>
        </w:rPr>
        <w:tab/>
        <w:t xml:space="preserve">high pedestrian areas </w:t>
      </w:r>
      <w:proofErr w:type="spellStart"/>
      <w:r w:rsidRPr="00176A1C">
        <w:rPr>
          <w:i/>
        </w:rPr>
        <w:t>e.g</w:t>
      </w:r>
      <w:proofErr w:type="spellEnd"/>
      <w:r w:rsidRPr="00176A1C">
        <w:rPr>
          <w:i/>
        </w:rPr>
        <w:t xml:space="preserve"> footpaths in and around shopping malls and group centres</w:t>
      </w:r>
    </w:p>
    <w:p w:rsidR="00D06D75" w:rsidRPr="00176A1C" w:rsidRDefault="00D06D75" w:rsidP="00D06D75">
      <w:pPr>
        <w:spacing w:line="276" w:lineRule="auto"/>
        <w:rPr>
          <w:i/>
        </w:rPr>
      </w:pPr>
      <w:r w:rsidRPr="00176A1C">
        <w:rPr>
          <w:i/>
        </w:rPr>
        <w:t>•</w:t>
      </w:r>
      <w:r w:rsidRPr="00176A1C">
        <w:rPr>
          <w:i/>
        </w:rPr>
        <w:tab/>
        <w:t>dedicated bicycle lanes/loops</w:t>
      </w:r>
    </w:p>
    <w:p w:rsidR="00D06D75" w:rsidRPr="00176A1C" w:rsidRDefault="00D06D75" w:rsidP="00D06D75">
      <w:pPr>
        <w:spacing w:line="276" w:lineRule="auto"/>
        <w:rPr>
          <w:i/>
        </w:rPr>
      </w:pPr>
      <w:r w:rsidRPr="00176A1C">
        <w:rPr>
          <w:i/>
        </w:rPr>
        <w:t>•</w:t>
      </w:r>
      <w:r w:rsidRPr="00176A1C">
        <w:rPr>
          <w:i/>
        </w:rPr>
        <w:tab/>
        <w:t>roads with speed limits of 50km/h or less, without dividing lines or median strips</w:t>
      </w:r>
    </w:p>
    <w:p w:rsidR="00D06D75" w:rsidRPr="00176A1C" w:rsidRDefault="00D06D75" w:rsidP="00D06D75">
      <w:pPr>
        <w:spacing w:line="276" w:lineRule="auto"/>
        <w:rPr>
          <w:i/>
        </w:rPr>
      </w:pPr>
      <w:r w:rsidRPr="00176A1C">
        <w:rPr>
          <w:i/>
        </w:rPr>
        <w:t>•</w:t>
      </w:r>
      <w:r w:rsidRPr="00176A1C">
        <w:rPr>
          <w:i/>
        </w:rPr>
        <w:tab/>
        <w:t>other.</w:t>
      </w:r>
      <w:r w:rsidR="00E03C85">
        <w:rPr>
          <w:i/>
        </w:rPr>
        <w:br/>
      </w:r>
    </w:p>
    <w:p w:rsidR="00D06D75" w:rsidRDefault="00D06D75" w:rsidP="00176A1C">
      <w:pPr>
        <w:pStyle w:val="Heading3"/>
      </w:pPr>
      <w:bookmarkStart w:id="6" w:name="_Toc12274655"/>
      <w:r>
        <w:t>2.</w:t>
      </w:r>
      <w:r>
        <w:tab/>
        <w:t>SPEED</w:t>
      </w:r>
      <w:bookmarkEnd w:id="6"/>
    </w:p>
    <w:p w:rsidR="00D06D75" w:rsidRDefault="00D06D75" w:rsidP="00D06D75">
      <w:pPr>
        <w:spacing w:line="276" w:lineRule="auto"/>
      </w:pPr>
    </w:p>
    <w:p w:rsidR="00D06D75" w:rsidRDefault="00D06D75" w:rsidP="00D06D75">
      <w:pPr>
        <w:spacing w:line="276" w:lineRule="auto"/>
      </w:pPr>
      <w:r>
        <w:t>A significant speed differential with pedestrians could result in an increased risk of a collision on footpaths</w:t>
      </w:r>
      <w:r w:rsidR="00810A6F" w:rsidRPr="0032439E">
        <w:rPr>
          <w:rStyle w:val="FootnoteReference"/>
        </w:rPr>
        <w:footnoteReference w:id="1"/>
      </w:r>
      <w:r>
        <w:t xml:space="preserve">, and the same would apply to a significant speed differential with a motor vehicle on roads. </w:t>
      </w:r>
    </w:p>
    <w:p w:rsidR="00D06D75" w:rsidRDefault="00D06D75" w:rsidP="00D06D75">
      <w:pPr>
        <w:spacing w:line="276" w:lineRule="auto"/>
      </w:pPr>
      <w:r>
        <w:t xml:space="preserve">The Pedestrian Council of Australia has called for e-scooters to be speed limited to 10km/h. QLD regulation for e-scooters provides for a maximum speed capability of 25km/h, whereas </w:t>
      </w:r>
    </w:p>
    <w:p w:rsidR="00D06D75" w:rsidRDefault="00D06D75" w:rsidP="00D06D75">
      <w:pPr>
        <w:spacing w:line="276" w:lineRule="auto"/>
      </w:pPr>
      <w:r>
        <w:t xml:space="preserve">e-scooters being trialled in Adelaide are permitted to ride at a maximum of 15km/h.  </w:t>
      </w:r>
    </w:p>
    <w:p w:rsidR="00D06D75" w:rsidRDefault="00D06D75" w:rsidP="00D06D75">
      <w:pPr>
        <w:spacing w:line="276" w:lineRule="auto"/>
      </w:pPr>
      <w:r>
        <w:t>In Auckland, New Zealand, a local council recently reduced the speed limit from 25km/h to 15km/h in certain parts of the city using the geo fencing capability of ride share schemes. Auckland is in the second phase of their trial which continues until October 31, after which they will evaluate the trial and look at options for regulating e-scooters in the future</w:t>
      </w:r>
      <w:r w:rsidR="00810A6F" w:rsidRPr="00377E17">
        <w:rPr>
          <w:rStyle w:val="FootnoteReference"/>
        </w:rPr>
        <w:footnoteReference w:id="2"/>
      </w:r>
      <w:r>
        <w:t>.</w:t>
      </w:r>
    </w:p>
    <w:p w:rsidR="00D06D75" w:rsidRDefault="00D06D75" w:rsidP="00D06D75">
      <w:pPr>
        <w:spacing w:line="276" w:lineRule="auto"/>
      </w:pPr>
      <w:r>
        <w:t xml:space="preserve">The ACT, like QLD, allows general footpath cycling and does not impose a speed limit on cyclists on paths, other than the default speed limit and the requirement to slow down to 10km/h when approaching crossings and riding </w:t>
      </w:r>
      <w:proofErr w:type="spellStart"/>
      <w:r>
        <w:t>across</w:t>
      </w:r>
      <w:proofErr w:type="spellEnd"/>
      <w:r>
        <w:t xml:space="preserve"> roads on crossings. Segway-type devices do not have a regulated speed limit, however devices from major manufacturers cannot travel at more than 20.1 km/h. Motorised wheelchairs/motorised mobility devices have a regulated maximum speed capability of not more than 10km/h on level ground. </w:t>
      </w:r>
      <w:r>
        <w:tab/>
      </w:r>
    </w:p>
    <w:p w:rsidR="00D06D75" w:rsidRPr="00810A6F" w:rsidRDefault="00D06D75" w:rsidP="00D06D75">
      <w:pPr>
        <w:spacing w:line="276" w:lineRule="auto"/>
        <w:rPr>
          <w:i/>
        </w:rPr>
      </w:pPr>
      <w:r w:rsidRPr="00810A6F">
        <w:rPr>
          <w:i/>
        </w:rPr>
        <w:t>Taking into consideration the above information, what do you think is a safe speed for an electric personal transportation device?</w:t>
      </w:r>
    </w:p>
    <w:p w:rsidR="00D06D75" w:rsidRDefault="00D06D75" w:rsidP="00D06D75">
      <w:pPr>
        <w:spacing w:line="276" w:lineRule="auto"/>
      </w:pPr>
      <w:r w:rsidRPr="00810A6F">
        <w:rPr>
          <w:i/>
        </w:rPr>
        <w:t>What is a safe and appropriate speed for the location/areas identified above, and should speed vary by location?</w:t>
      </w:r>
    </w:p>
    <w:p w:rsidR="00D06D75" w:rsidRDefault="00D06D75" w:rsidP="00176A1C">
      <w:pPr>
        <w:pStyle w:val="Heading3"/>
      </w:pPr>
      <w:bookmarkStart w:id="8" w:name="_Toc12274656"/>
      <w:r>
        <w:lastRenderedPageBreak/>
        <w:t> </w:t>
      </w:r>
      <w:r>
        <w:t>3.</w:t>
      </w:r>
      <w:r>
        <w:tab/>
        <w:t>USER RESTRICTIONS</w:t>
      </w:r>
      <w:bookmarkEnd w:id="8"/>
    </w:p>
    <w:p w:rsidR="00D06D75" w:rsidRDefault="00176A1C" w:rsidP="00D06D75">
      <w:pPr>
        <w:spacing w:line="276" w:lineRule="auto"/>
      </w:pPr>
      <w:r>
        <w:br/>
      </w:r>
      <w:r w:rsidR="00D06D75">
        <w:t>QLD limits users of electric personal transportation devices to people over 12 years of age under adult supervision, and to people over 16 years of age unsupervised. As part of South Australia’s trial of e-scooters, users are required to be 18 years and older.</w:t>
      </w:r>
    </w:p>
    <w:p w:rsidR="00D06D75" w:rsidRDefault="00D06D75" w:rsidP="00D06D75">
      <w:pPr>
        <w:spacing w:line="276" w:lineRule="auto"/>
      </w:pPr>
      <w:r>
        <w:t>The ACT does not regulate who can use a personal mobility device (Segway-type devices) but relies on advice of manufacturers as to who should/should not use their devices.</w:t>
      </w:r>
    </w:p>
    <w:p w:rsidR="00D06D75" w:rsidRPr="006C085A" w:rsidRDefault="00D06D75" w:rsidP="00D06D75">
      <w:pPr>
        <w:spacing w:line="276" w:lineRule="auto"/>
        <w:rPr>
          <w:i/>
        </w:rPr>
      </w:pPr>
      <w:r w:rsidRPr="006C085A">
        <w:rPr>
          <w:i/>
        </w:rPr>
        <w:t>Should the ACT apply conditions limiting who can use an electric personal transportation device?</w:t>
      </w:r>
      <w:r w:rsidR="006C085A">
        <w:rPr>
          <w:i/>
        </w:rPr>
        <w:br/>
      </w:r>
    </w:p>
    <w:p w:rsidR="00D06D75" w:rsidRDefault="00D06D75" w:rsidP="00302C68">
      <w:pPr>
        <w:pStyle w:val="Heading2"/>
      </w:pPr>
      <w:bookmarkStart w:id="9" w:name="_Toc12274657"/>
      <w:r>
        <w:t>SAFETY CONCERNS</w:t>
      </w:r>
      <w:bookmarkEnd w:id="9"/>
    </w:p>
    <w:p w:rsidR="00D06D75" w:rsidRDefault="00302C68" w:rsidP="00D06D75">
      <w:pPr>
        <w:spacing w:line="276" w:lineRule="auto"/>
      </w:pPr>
      <w:r>
        <w:br/>
      </w:r>
      <w:r w:rsidR="00D06D75">
        <w:t>A lot of the safety concerns for pedestrians and motorised mobility users focus on speed. Portland, Oregon in the US recently undertook a review of their electric scooter trial and found that with speeds capped at 15 mph (24.14km/hr), scooters are appropriate for bike lanes or low-volume streets, but they are too fast for use on sidewalks, where they make it unsafe and uncomfortable for people walking or using mobility devices</w:t>
      </w:r>
      <w:r w:rsidR="00486D56" w:rsidRPr="00377E17">
        <w:rPr>
          <w:rStyle w:val="FootnoteReference"/>
        </w:rPr>
        <w:footnoteReference w:id="3"/>
      </w:r>
      <w:r w:rsidR="00D06D75">
        <w:t>.</w:t>
      </w:r>
    </w:p>
    <w:p w:rsidR="00D06D75" w:rsidRDefault="00D06D75" w:rsidP="00D06D75">
      <w:pPr>
        <w:spacing w:line="276" w:lineRule="auto"/>
      </w:pPr>
      <w:r>
        <w:t>There is limited data supporting safety concerns or otherwise in Australia, noting that data is primarily held by ride share operators. Data is even more limited in relation to the details of electric scooter injuries, for example, reported incidents of people falling off a scooter, riders running into motor vehicles or vice versa or scooter riders colliding with pedestrians. Incidents reported in the media have been attributed to speed, impairment and improper use, including not wearing a helmet.</w:t>
      </w:r>
    </w:p>
    <w:p w:rsidR="00D06D75" w:rsidRDefault="00D06D75" w:rsidP="00D06D75">
      <w:pPr>
        <w:spacing w:line="276" w:lineRule="auto"/>
      </w:pPr>
      <w:r>
        <w:t>While it is not possible at this stage to provide advice about the number of crashes or incidents that have occurred since scooter sharing services have been introduced in Adelaide, anecdotal information appears to suggest that there has not been a significant number of crashes or incidents reported to Transport South Australia or to the South Australian Police Force.</w:t>
      </w:r>
    </w:p>
    <w:p w:rsidR="00D06D75" w:rsidRDefault="00D06D75" w:rsidP="00D06D75">
      <w:pPr>
        <w:spacing w:line="276" w:lineRule="auto"/>
      </w:pPr>
      <w:r>
        <w:t xml:space="preserve">In Queensland, emergency department presentation data for five central emergency departments in Brisbane identified a total of 134 patients presented for treatment because of an e-scooter related incident.  At least 10% of these injuries required surgery.  </w:t>
      </w:r>
    </w:p>
    <w:p w:rsidR="00D06D75" w:rsidRDefault="00D06D75" w:rsidP="00D06D75">
      <w:pPr>
        <w:spacing w:line="276" w:lineRule="auto"/>
      </w:pPr>
      <w:r>
        <w:t>Data from two of the central hospitals in Brisbane following the introduction of e-scooters shows 109 patients were treated across four inner city hospitals as a result of e-scooter accidents. Of these 11% had minor head injuries, 3% had major head injuries, 21% had upper limb fractures, 17.4% had sprains, and the rest had contusions/abrasions. Based on patient reports, 28% had not been wearing helmets, 16% had been drinking alcohol, and 28% indicated that speed above 30km/hr was involved</w:t>
      </w:r>
      <w:r w:rsidR="00486D56">
        <w:rPr>
          <w:rStyle w:val="FootnoteReference"/>
        </w:rPr>
        <w:footnoteReference w:id="4"/>
      </w:r>
      <w:r>
        <w:t xml:space="preserve">. </w:t>
      </w:r>
    </w:p>
    <w:p w:rsidR="00D06D75" w:rsidRDefault="00D06D75" w:rsidP="00D06D75">
      <w:pPr>
        <w:spacing w:line="276" w:lineRule="auto"/>
      </w:pPr>
      <w:r>
        <w:lastRenderedPageBreak/>
        <w:t>A study</w:t>
      </w:r>
      <w:r w:rsidR="00486D56">
        <w:rPr>
          <w:rStyle w:val="FootnoteReference"/>
          <w:iCs/>
          <w:lang w:val="en-US"/>
        </w:rPr>
        <w:footnoteReference w:id="5"/>
      </w:r>
      <w:r>
        <w:t xml:space="preserve"> analysing a year of hospital presentations at emergency departments at two hospitals affiliated with the University of California, Los Angeles relating to e-scooter use identified that:</w:t>
      </w:r>
    </w:p>
    <w:p w:rsidR="00D06D75" w:rsidRDefault="00D06D75" w:rsidP="00302C68">
      <w:pPr>
        <w:pStyle w:val="ListBullet"/>
      </w:pPr>
      <w:r>
        <w:t>249 patients presented</w:t>
      </w:r>
    </w:p>
    <w:p w:rsidR="00D06D75" w:rsidRDefault="00D06D75" w:rsidP="00302C68">
      <w:pPr>
        <w:pStyle w:val="ListBullet"/>
      </w:pPr>
      <w:r>
        <w:t>152 (61%) were between 18 and 40 years of age, although ages ranged from 8 to 89</w:t>
      </w:r>
    </w:p>
    <w:p w:rsidR="00D06D75" w:rsidRDefault="00D06D75" w:rsidP="00302C68">
      <w:pPr>
        <w:pStyle w:val="ListBullet"/>
      </w:pPr>
      <w:r>
        <w:t>145 (58.2%) were male</w:t>
      </w:r>
    </w:p>
    <w:p w:rsidR="00D06D75" w:rsidRDefault="00D06D75" w:rsidP="00302C68">
      <w:pPr>
        <w:pStyle w:val="ListBullet"/>
      </w:pPr>
      <w:r>
        <w:t>228 (91.6%) were riders</w:t>
      </w:r>
    </w:p>
    <w:p w:rsidR="00D06D75" w:rsidRDefault="00D06D75" w:rsidP="00302C68">
      <w:pPr>
        <w:pStyle w:val="ListBullet"/>
      </w:pPr>
      <w:r>
        <w:t>21 (8.4%) were non-rider pedestrians (11 hit by scooter, 5 tripped over parked scooter and 5 were attempting to lift or carry a scooter not in use)</w:t>
      </w:r>
    </w:p>
    <w:p w:rsidR="00D06D75" w:rsidRDefault="00D06D75" w:rsidP="00302C68">
      <w:pPr>
        <w:pStyle w:val="ListBullet"/>
      </w:pPr>
      <w:r>
        <w:t>Only 4.4% of scooter riders were documented as wearing a helmet</w:t>
      </w:r>
    </w:p>
    <w:p w:rsidR="00D06D75" w:rsidRDefault="00D06D75" w:rsidP="00302C68">
      <w:pPr>
        <w:pStyle w:val="ListBullet"/>
      </w:pPr>
      <w:r>
        <w:t>In the same period, 195 presentations for bicycle injuries and 181 presentations for pedestrian injuries were identified.</w:t>
      </w:r>
    </w:p>
    <w:p w:rsidR="00D06D75" w:rsidRDefault="00D06D75" w:rsidP="00D06D75">
      <w:pPr>
        <w:spacing w:line="276" w:lineRule="auto"/>
      </w:pPr>
      <w:r>
        <w:t>We welcome any additional comments you consider may be relevant in how the Territory can safely regulate the use of electric personal transportation devices.</w:t>
      </w:r>
      <w:r w:rsidR="00906DEF">
        <w:br/>
      </w:r>
    </w:p>
    <w:p w:rsidR="00D06D75" w:rsidRDefault="00D06D75" w:rsidP="00302C68">
      <w:pPr>
        <w:pStyle w:val="Heading2"/>
      </w:pPr>
      <w:bookmarkStart w:id="10" w:name="_Toc12274658"/>
      <w:r>
        <w:t>NEXT STEPS</w:t>
      </w:r>
      <w:bookmarkEnd w:id="10"/>
    </w:p>
    <w:p w:rsidR="00D06D75" w:rsidRDefault="006C085A" w:rsidP="00D06D75">
      <w:pPr>
        <w:spacing w:line="276" w:lineRule="auto"/>
      </w:pPr>
      <w:r>
        <w:br/>
      </w:r>
      <w:r w:rsidR="00D06D75">
        <w:t>Community members are invited to make submissions to the ACT Government and participate in the process of reviewing the regulatory framework for the safe use of electric personal transportation devices in the ACT.</w:t>
      </w:r>
    </w:p>
    <w:p w:rsidR="00D06D75" w:rsidRDefault="00D06D75" w:rsidP="00D06D75">
      <w:pPr>
        <w:spacing w:line="276" w:lineRule="auto"/>
      </w:pPr>
      <w:r>
        <w:t xml:space="preserve">Key questions that the Government is seeking input on are: </w:t>
      </w:r>
    </w:p>
    <w:p w:rsidR="00D06D75" w:rsidRDefault="00D06D75" w:rsidP="00D06D75">
      <w:pPr>
        <w:spacing w:line="276" w:lineRule="auto"/>
      </w:pPr>
      <w:r>
        <w:t>•</w:t>
      </w:r>
      <w:r>
        <w:tab/>
        <w:t xml:space="preserve">the speed at which the device can travel </w:t>
      </w:r>
    </w:p>
    <w:p w:rsidR="00D06D75" w:rsidRDefault="00D06D75" w:rsidP="00D06D75">
      <w:pPr>
        <w:spacing w:line="276" w:lineRule="auto"/>
      </w:pPr>
      <w:r>
        <w:t>•</w:t>
      </w:r>
      <w:r>
        <w:tab/>
        <w:t>locations that the device should/should not travel on</w:t>
      </w:r>
    </w:p>
    <w:p w:rsidR="00D06D75" w:rsidRDefault="00D06D75" w:rsidP="00D06D75">
      <w:pPr>
        <w:spacing w:line="276" w:lineRule="auto"/>
      </w:pPr>
      <w:r>
        <w:t>•</w:t>
      </w:r>
      <w:r>
        <w:tab/>
        <w:t>user restrictions.</w:t>
      </w:r>
    </w:p>
    <w:p w:rsidR="00D06D75" w:rsidRDefault="00D06D75" w:rsidP="00D06D75">
      <w:pPr>
        <w:spacing w:line="276" w:lineRule="auto"/>
      </w:pPr>
      <w:r>
        <w:t xml:space="preserve">Submissions can be made via the yoursay.act.gov.au consultation website, by email to </w:t>
      </w:r>
      <w:r w:rsidRPr="00906DEF">
        <w:t>roadsafety@act.gov.au</w:t>
      </w:r>
      <w:r>
        <w:t>, or in writing to:</w:t>
      </w:r>
    </w:p>
    <w:p w:rsidR="00D06D75" w:rsidRPr="00906DEF" w:rsidRDefault="00D06D75" w:rsidP="00906DEF">
      <w:pPr>
        <w:spacing w:before="120" w:after="0" w:line="240" w:lineRule="auto"/>
        <w:jc w:val="center"/>
      </w:pPr>
      <w:r w:rsidRPr="00906DEF">
        <w:t>Electric Personal Transportation Devices Review</w:t>
      </w:r>
    </w:p>
    <w:p w:rsidR="00D06D75" w:rsidRPr="00906DEF" w:rsidRDefault="00D06D75" w:rsidP="00906DEF">
      <w:pPr>
        <w:spacing w:before="120" w:after="0" w:line="240" w:lineRule="auto"/>
        <w:jc w:val="center"/>
      </w:pPr>
      <w:r w:rsidRPr="00906DEF">
        <w:t>Road Safety Policy</w:t>
      </w:r>
    </w:p>
    <w:p w:rsidR="00D06D75" w:rsidRPr="00906DEF" w:rsidRDefault="00D06D75" w:rsidP="00906DEF">
      <w:pPr>
        <w:spacing w:before="120" w:after="0" w:line="240" w:lineRule="auto"/>
        <w:jc w:val="center"/>
      </w:pPr>
      <w:r w:rsidRPr="00906DEF">
        <w:t>Justice and Community Safety Directorate</w:t>
      </w:r>
    </w:p>
    <w:p w:rsidR="00D06D75" w:rsidRPr="00906DEF" w:rsidRDefault="00D06D75" w:rsidP="00906DEF">
      <w:pPr>
        <w:spacing w:before="120" w:after="0" w:line="240" w:lineRule="auto"/>
        <w:jc w:val="center"/>
      </w:pPr>
      <w:r w:rsidRPr="00906DEF">
        <w:t>GPO Box 158</w:t>
      </w:r>
    </w:p>
    <w:p w:rsidR="00D06D75" w:rsidRPr="00906DEF" w:rsidRDefault="00D06D75" w:rsidP="00906DEF">
      <w:pPr>
        <w:spacing w:before="120" w:after="0" w:line="240" w:lineRule="auto"/>
        <w:jc w:val="center"/>
      </w:pPr>
      <w:r w:rsidRPr="00906DEF">
        <w:t>CANBERRA CITY ACT 2601</w:t>
      </w:r>
    </w:p>
    <w:p w:rsidR="00D06D75" w:rsidRDefault="00D06D75" w:rsidP="00D06D75">
      <w:pPr>
        <w:spacing w:line="276" w:lineRule="auto"/>
      </w:pPr>
    </w:p>
    <w:p w:rsidR="00D06D75" w:rsidRDefault="00D06D75" w:rsidP="00D06D75">
      <w:pPr>
        <w:spacing w:line="276" w:lineRule="auto"/>
      </w:pPr>
    </w:p>
    <w:p w:rsidR="00D06D75" w:rsidRDefault="00D06D75" w:rsidP="00D06D75">
      <w:pPr>
        <w:spacing w:line="276" w:lineRule="auto"/>
      </w:pPr>
      <w:r>
        <w:t> </w:t>
      </w:r>
    </w:p>
    <w:p w:rsidR="0008091D" w:rsidRDefault="0008091D">
      <w:pPr>
        <w:spacing w:line="276" w:lineRule="auto"/>
        <w:rPr>
          <w:b/>
          <w:color w:val="AB4399"/>
          <w:sz w:val="38"/>
          <w:szCs w:val="36"/>
        </w:rPr>
      </w:pPr>
      <w:r>
        <w:br w:type="page"/>
      </w:r>
    </w:p>
    <w:p w:rsidR="00D06D75" w:rsidRDefault="00D06D75" w:rsidP="0008091D">
      <w:pPr>
        <w:pStyle w:val="Heading2"/>
      </w:pPr>
      <w:bookmarkStart w:id="11" w:name="_Toc12274659"/>
      <w:r>
        <w:lastRenderedPageBreak/>
        <w:t>APPENDIX A</w:t>
      </w:r>
      <w:bookmarkEnd w:id="11"/>
      <w:r>
        <w:t xml:space="preserve"> </w:t>
      </w:r>
    </w:p>
    <w:p w:rsidR="00D06D75" w:rsidRDefault="00D06D75" w:rsidP="00D06D75">
      <w:pPr>
        <w:spacing w:line="276" w:lineRule="auto"/>
      </w:pPr>
    </w:p>
    <w:p w:rsidR="00D06D75" w:rsidRDefault="00D06D75" w:rsidP="00D06D75">
      <w:pPr>
        <w:spacing w:line="276" w:lineRule="auto"/>
      </w:pPr>
      <w:r>
        <w:t>Queensland law defines personal transportation devices by:</w:t>
      </w:r>
    </w:p>
    <w:p w:rsidR="00D06D75" w:rsidRDefault="00D06D75" w:rsidP="00D06D75">
      <w:pPr>
        <w:spacing w:line="276" w:lineRule="auto"/>
      </w:pPr>
      <w:r>
        <w:t>a.</w:t>
      </w:r>
      <w:r>
        <w:tab/>
        <w:t>Power source (electric only)</w:t>
      </w:r>
    </w:p>
    <w:p w:rsidR="00D06D75" w:rsidRDefault="00D06D75" w:rsidP="00D06D75">
      <w:pPr>
        <w:spacing w:line="276" w:lineRule="auto"/>
      </w:pPr>
      <w:r>
        <w:t>b.</w:t>
      </w:r>
      <w:r>
        <w:tab/>
        <w:t>Designed to carry one person only</w:t>
      </w:r>
    </w:p>
    <w:p w:rsidR="00D06D75" w:rsidRDefault="00D06D75" w:rsidP="00D06D75">
      <w:pPr>
        <w:spacing w:line="276" w:lineRule="auto"/>
      </w:pPr>
      <w:r>
        <w:t>c.</w:t>
      </w:r>
      <w:r>
        <w:tab/>
        <w:t>Maximum speed capability of 25km/h</w:t>
      </w:r>
    </w:p>
    <w:p w:rsidR="00D06D75" w:rsidRDefault="00D06D75" w:rsidP="00D06D75">
      <w:pPr>
        <w:spacing w:line="276" w:lineRule="auto"/>
      </w:pPr>
      <w:r>
        <w:t>d.</w:t>
      </w:r>
      <w:r>
        <w:tab/>
        <w:t>Maximum weight of 60kg</w:t>
      </w:r>
    </w:p>
    <w:p w:rsidR="00D06D75" w:rsidRDefault="00D06D75" w:rsidP="00D06D75">
      <w:pPr>
        <w:spacing w:line="276" w:lineRule="auto"/>
      </w:pPr>
      <w:r>
        <w:t>e.</w:t>
      </w:r>
      <w:r>
        <w:tab/>
        <w:t>Maximum size 700mm (length/width) x 1250mm (width/length) x 1350mm high</w:t>
      </w:r>
    </w:p>
    <w:p w:rsidR="00D06D75" w:rsidRDefault="00D06D75" w:rsidP="00D06D75">
      <w:pPr>
        <w:spacing w:line="276" w:lineRule="auto"/>
      </w:pPr>
      <w:r>
        <w:t>f.</w:t>
      </w:r>
      <w:r>
        <w:tab/>
        <w:t>Effective stopping system, including brakes, gears or motor control</w:t>
      </w:r>
    </w:p>
    <w:p w:rsidR="00D06D75" w:rsidRDefault="00D06D75" w:rsidP="00D06D75">
      <w:pPr>
        <w:spacing w:line="276" w:lineRule="auto"/>
      </w:pPr>
      <w:r>
        <w:t>g.</w:t>
      </w:r>
      <w:r>
        <w:tab/>
        <w:t>Must have bell, horn or similar warning device</w:t>
      </w:r>
    </w:p>
    <w:p w:rsidR="00D06D75" w:rsidRDefault="00D06D75" w:rsidP="00D06D75">
      <w:pPr>
        <w:spacing w:line="276" w:lineRule="auto"/>
      </w:pPr>
      <w:r>
        <w:t>h.</w:t>
      </w:r>
      <w:r>
        <w:tab/>
        <w:t>Must have lights and reflectors if used at night.</w:t>
      </w:r>
    </w:p>
    <w:p w:rsidR="00D06D75" w:rsidRDefault="00D06D75" w:rsidP="00D06D75">
      <w:pPr>
        <w:spacing w:line="276" w:lineRule="auto"/>
      </w:pPr>
    </w:p>
    <w:p w:rsidR="00D06D75" w:rsidRDefault="00D06D75" w:rsidP="00D06D75">
      <w:pPr>
        <w:spacing w:line="276" w:lineRule="auto"/>
      </w:pPr>
      <w:r>
        <w:t>Permissible use includes:</w:t>
      </w:r>
    </w:p>
    <w:p w:rsidR="00D06D75" w:rsidRDefault="00D06D75" w:rsidP="00D06D75">
      <w:pPr>
        <w:spacing w:line="276" w:lineRule="auto"/>
      </w:pPr>
      <w:r>
        <w:t>a.</w:t>
      </w:r>
      <w:r>
        <w:tab/>
        <w:t>Footpaths</w:t>
      </w:r>
    </w:p>
    <w:p w:rsidR="00D06D75" w:rsidRDefault="00D06D75" w:rsidP="00D06D75">
      <w:pPr>
        <w:spacing w:line="276" w:lineRule="auto"/>
      </w:pPr>
      <w:r>
        <w:t>b.</w:t>
      </w:r>
      <w:r>
        <w:tab/>
        <w:t>Shared paths</w:t>
      </w:r>
    </w:p>
    <w:p w:rsidR="00D06D75" w:rsidRDefault="00D06D75" w:rsidP="00D06D75">
      <w:pPr>
        <w:spacing w:line="276" w:lineRule="auto"/>
      </w:pPr>
      <w:r>
        <w:t>c.</w:t>
      </w:r>
      <w:r>
        <w:tab/>
        <w:t>Bicycle paths</w:t>
      </w:r>
    </w:p>
    <w:p w:rsidR="00D06D75" w:rsidRDefault="00D06D75" w:rsidP="00D06D75">
      <w:pPr>
        <w:spacing w:line="276" w:lineRule="auto"/>
      </w:pPr>
      <w:r>
        <w:t>d.</w:t>
      </w:r>
      <w:r>
        <w:tab/>
        <w:t>Bicycle side of separated paths</w:t>
      </w:r>
    </w:p>
    <w:p w:rsidR="00D06D75" w:rsidRDefault="00D06D75" w:rsidP="00D06D75">
      <w:pPr>
        <w:spacing w:line="276" w:lineRule="auto"/>
      </w:pPr>
      <w:r>
        <w:t>e.</w:t>
      </w:r>
      <w:r>
        <w:tab/>
        <w:t>Roads with speed limits of 50km/h or less, without dividing lines or median strips.</w:t>
      </w:r>
    </w:p>
    <w:p w:rsidR="00D06D75" w:rsidRDefault="00D06D75" w:rsidP="00D06D75">
      <w:pPr>
        <w:spacing w:line="276" w:lineRule="auto"/>
      </w:pPr>
    </w:p>
    <w:p w:rsidR="00D06D75" w:rsidRDefault="00D06D75" w:rsidP="00D06D75">
      <w:pPr>
        <w:spacing w:line="276" w:lineRule="auto"/>
      </w:pPr>
      <w:r>
        <w:t>Conditions of use includes:</w:t>
      </w:r>
    </w:p>
    <w:p w:rsidR="00D06D75" w:rsidRDefault="00D06D75" w:rsidP="00D06D75">
      <w:pPr>
        <w:spacing w:line="276" w:lineRule="auto"/>
      </w:pPr>
      <w:r>
        <w:t>a.</w:t>
      </w:r>
      <w:r>
        <w:tab/>
        <w:t>Over 12 years of age under adult supervision</w:t>
      </w:r>
    </w:p>
    <w:p w:rsidR="00D06D75" w:rsidRDefault="00D06D75" w:rsidP="00D06D75">
      <w:pPr>
        <w:spacing w:line="276" w:lineRule="auto"/>
      </w:pPr>
      <w:r>
        <w:t>b.</w:t>
      </w:r>
      <w:r>
        <w:tab/>
        <w:t>Over 16 years of age without supervision</w:t>
      </w:r>
    </w:p>
    <w:p w:rsidR="00D06D75" w:rsidRDefault="00D06D75" w:rsidP="00D06D75">
      <w:pPr>
        <w:spacing w:line="276" w:lineRule="auto"/>
      </w:pPr>
      <w:r>
        <w:t>c.</w:t>
      </w:r>
      <w:r>
        <w:tab/>
        <w:t>Must wear an approved bicycle helmet</w:t>
      </w:r>
    </w:p>
    <w:p w:rsidR="00D06D75" w:rsidRDefault="00D06D75" w:rsidP="00D06D75">
      <w:pPr>
        <w:spacing w:line="276" w:lineRule="auto"/>
      </w:pPr>
      <w:r>
        <w:t>d.</w:t>
      </w:r>
      <w:r>
        <w:tab/>
        <w:t>Not to be used on roads at night</w:t>
      </w:r>
    </w:p>
    <w:p w:rsidR="00D06D75" w:rsidRDefault="00D06D75" w:rsidP="00D06D75">
      <w:pPr>
        <w:spacing w:line="276" w:lineRule="auto"/>
      </w:pPr>
      <w:r>
        <w:t>e.</w:t>
      </w:r>
      <w:r>
        <w:tab/>
        <w:t>Must travel at a safe speed on footpaths and shared paths</w:t>
      </w:r>
    </w:p>
    <w:p w:rsidR="00D06D75" w:rsidRDefault="00D06D75" w:rsidP="00D06D75">
      <w:pPr>
        <w:spacing w:line="276" w:lineRule="auto"/>
      </w:pPr>
      <w:r>
        <w:t>f.</w:t>
      </w:r>
      <w:r>
        <w:tab/>
        <w:t>Must give way to pedestrians</w:t>
      </w:r>
    </w:p>
    <w:p w:rsidR="00D06D75" w:rsidRDefault="00D06D75" w:rsidP="00D06D75">
      <w:pPr>
        <w:spacing w:line="276" w:lineRule="auto"/>
      </w:pPr>
      <w:r>
        <w:t>g.</w:t>
      </w:r>
      <w:r>
        <w:tab/>
        <w:t xml:space="preserve">No mobile phone </w:t>
      </w:r>
      <w:proofErr w:type="gramStart"/>
      <w:r>
        <w:t>use</w:t>
      </w:r>
      <w:proofErr w:type="gramEnd"/>
    </w:p>
    <w:p w:rsidR="002B7344" w:rsidRDefault="00D06D75" w:rsidP="00D06D75">
      <w:pPr>
        <w:spacing w:line="276" w:lineRule="auto"/>
      </w:pPr>
      <w:r>
        <w:t>h.</w:t>
      </w:r>
      <w:r>
        <w:tab/>
        <w:t xml:space="preserve">No alcohol. </w:t>
      </w:r>
    </w:p>
    <w:p w:rsidR="0091147D" w:rsidRDefault="0091147D" w:rsidP="0091147D">
      <w:pPr>
        <w:spacing w:after="240"/>
        <w:rPr>
          <w:b/>
          <w:sz w:val="24"/>
          <w:szCs w:val="24"/>
        </w:rPr>
        <w:sectPr w:rsidR="0091147D" w:rsidSect="005115E8">
          <w:headerReference w:type="default" r:id="rId14"/>
          <w:footerReference w:type="default" r:id="rId15"/>
          <w:type w:val="continuous"/>
          <w:pgSz w:w="11906" w:h="16838" w:code="9"/>
          <w:pgMar w:top="1253" w:right="1418" w:bottom="1701" w:left="1418" w:header="567" w:footer="709" w:gutter="0"/>
          <w:cols w:space="708"/>
          <w:docGrid w:linePitch="360"/>
        </w:sectPr>
      </w:pPr>
    </w:p>
    <w:p w:rsidR="00F61492" w:rsidRPr="009562A9" w:rsidRDefault="00F61492" w:rsidP="00F61492">
      <w:pPr>
        <w:pStyle w:val="Heading2"/>
      </w:pPr>
      <w:bookmarkStart w:id="12" w:name="_Toc12274660"/>
      <w:r w:rsidRPr="009562A9">
        <w:lastRenderedPageBreak/>
        <w:t xml:space="preserve">APPENDIX B </w:t>
      </w:r>
      <w:r>
        <w:t>– JURISDICTIONAL COMPARISON ON E-</w:t>
      </w:r>
      <w:r w:rsidRPr="009562A9">
        <w:t>SCOOTER/SIMILAR DEVICES LAWS</w:t>
      </w:r>
      <w:bookmarkEnd w:id="12"/>
    </w:p>
    <w:tbl>
      <w:tblPr>
        <w:tblStyle w:val="ListTable1Light-Accent5"/>
        <w:tblpPr w:leftFromText="180" w:rightFromText="180" w:vertAnchor="text" w:horzAnchor="margin" w:tblpXSpec="center" w:tblpY="149"/>
        <w:tblW w:w="2225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553"/>
        <w:gridCol w:w="2932"/>
        <w:gridCol w:w="2932"/>
        <w:gridCol w:w="2932"/>
        <w:gridCol w:w="2932"/>
        <w:gridCol w:w="2872"/>
        <w:gridCol w:w="2992"/>
        <w:gridCol w:w="2111"/>
      </w:tblGrid>
      <w:tr w:rsidR="00E246DC" w:rsidRPr="001A7048" w:rsidTr="001A7048">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553" w:type="dxa"/>
            <w:tcBorders>
              <w:bottom w:val="none" w:sz="0" w:space="0" w:color="auto"/>
            </w:tcBorders>
            <w:shd w:val="clear" w:color="auto" w:fill="352168" w:themeFill="background2" w:themeFillShade="BF"/>
          </w:tcPr>
          <w:p w:rsidR="00E246DC" w:rsidRPr="001A7048" w:rsidRDefault="00E246DC" w:rsidP="00E246DC">
            <w:pPr>
              <w:pStyle w:val="Tableheadbold"/>
              <w:rPr>
                <w:color w:val="FFFFFF" w:themeColor="background1"/>
                <w:sz w:val="20"/>
                <w:szCs w:val="20"/>
              </w:rPr>
            </w:pPr>
            <w:r w:rsidRPr="001A7048">
              <w:rPr>
                <w:color w:val="FFFFFF" w:themeColor="background1"/>
                <w:sz w:val="20"/>
                <w:szCs w:val="20"/>
              </w:rPr>
              <w:t>JURISDICTION</w:t>
            </w:r>
          </w:p>
        </w:tc>
        <w:tc>
          <w:tcPr>
            <w:tcW w:w="2932" w:type="dxa"/>
            <w:tcBorders>
              <w:bottom w:val="none" w:sz="0" w:space="0" w:color="auto"/>
            </w:tcBorders>
            <w:shd w:val="clear" w:color="auto" w:fill="352168" w:themeFill="background2" w:themeFillShade="BF"/>
          </w:tcPr>
          <w:p w:rsidR="00E246DC" w:rsidRPr="001A7048" w:rsidRDefault="00E246DC" w:rsidP="00E246DC">
            <w:pPr>
              <w:pStyle w:val="Tableheadbold"/>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1A7048">
              <w:rPr>
                <w:color w:val="FFFFFF" w:themeColor="background1"/>
                <w:sz w:val="20"/>
                <w:szCs w:val="20"/>
              </w:rPr>
              <w:t>NSW – Powered Foot Scooter</w:t>
            </w:r>
          </w:p>
        </w:tc>
        <w:tc>
          <w:tcPr>
            <w:tcW w:w="2932" w:type="dxa"/>
            <w:tcBorders>
              <w:bottom w:val="none" w:sz="0" w:space="0" w:color="auto"/>
            </w:tcBorders>
            <w:shd w:val="clear" w:color="auto" w:fill="352168" w:themeFill="background2" w:themeFillShade="BF"/>
          </w:tcPr>
          <w:p w:rsidR="00E246DC" w:rsidRPr="001A7048" w:rsidRDefault="00E246DC" w:rsidP="00E246DC">
            <w:pPr>
              <w:pStyle w:val="Tableheadbold"/>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1A7048">
              <w:rPr>
                <w:color w:val="FFFFFF" w:themeColor="background1"/>
                <w:sz w:val="20"/>
                <w:szCs w:val="20"/>
              </w:rPr>
              <w:t>WA – Mini Motor Scooter</w:t>
            </w:r>
          </w:p>
        </w:tc>
        <w:tc>
          <w:tcPr>
            <w:tcW w:w="2932" w:type="dxa"/>
            <w:tcBorders>
              <w:bottom w:val="none" w:sz="0" w:space="0" w:color="auto"/>
            </w:tcBorders>
            <w:shd w:val="clear" w:color="auto" w:fill="352168" w:themeFill="background2" w:themeFillShade="BF"/>
          </w:tcPr>
          <w:p w:rsidR="00E246DC" w:rsidRPr="001A7048" w:rsidRDefault="00E246DC" w:rsidP="00E246DC">
            <w:pPr>
              <w:pStyle w:val="Tableheadbold"/>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1A7048">
              <w:rPr>
                <w:color w:val="FFFFFF" w:themeColor="background1"/>
                <w:sz w:val="20"/>
                <w:szCs w:val="20"/>
              </w:rPr>
              <w:t>QLD – Personal transportation Device</w:t>
            </w:r>
          </w:p>
        </w:tc>
        <w:tc>
          <w:tcPr>
            <w:tcW w:w="2932" w:type="dxa"/>
            <w:tcBorders>
              <w:bottom w:val="none" w:sz="0" w:space="0" w:color="auto"/>
            </w:tcBorders>
            <w:shd w:val="clear" w:color="auto" w:fill="352168" w:themeFill="background2" w:themeFillShade="BF"/>
          </w:tcPr>
          <w:p w:rsidR="00E246DC" w:rsidRPr="001A7048" w:rsidRDefault="00E246DC" w:rsidP="00E246DC">
            <w:pPr>
              <w:pStyle w:val="Tableheadbold"/>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1A7048">
              <w:rPr>
                <w:color w:val="FFFFFF" w:themeColor="background1"/>
                <w:sz w:val="20"/>
                <w:szCs w:val="20"/>
              </w:rPr>
              <w:t>NT – motorised foot scooter</w:t>
            </w:r>
          </w:p>
        </w:tc>
        <w:tc>
          <w:tcPr>
            <w:tcW w:w="2872" w:type="dxa"/>
            <w:tcBorders>
              <w:bottom w:val="none" w:sz="0" w:space="0" w:color="auto"/>
            </w:tcBorders>
            <w:shd w:val="clear" w:color="auto" w:fill="352168" w:themeFill="background2" w:themeFillShade="BF"/>
          </w:tcPr>
          <w:p w:rsidR="00E246DC" w:rsidRPr="001A7048" w:rsidRDefault="00E246DC" w:rsidP="00E246DC">
            <w:pPr>
              <w:pStyle w:val="Tableheadbold"/>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1A7048">
              <w:rPr>
                <w:color w:val="FFFFFF" w:themeColor="background1"/>
                <w:sz w:val="20"/>
                <w:szCs w:val="20"/>
              </w:rPr>
              <w:t>SA – Motorised Wheeled Recreational Device</w:t>
            </w:r>
          </w:p>
        </w:tc>
        <w:tc>
          <w:tcPr>
            <w:tcW w:w="2992" w:type="dxa"/>
            <w:tcBorders>
              <w:bottom w:val="none" w:sz="0" w:space="0" w:color="auto"/>
            </w:tcBorders>
            <w:shd w:val="clear" w:color="auto" w:fill="352168" w:themeFill="background2" w:themeFillShade="BF"/>
          </w:tcPr>
          <w:p w:rsidR="00E246DC" w:rsidRPr="001A7048" w:rsidRDefault="00E246DC" w:rsidP="00E246DC">
            <w:pPr>
              <w:pStyle w:val="Tableheadbold"/>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1A7048">
              <w:rPr>
                <w:color w:val="FFFFFF" w:themeColor="background1"/>
                <w:sz w:val="20"/>
                <w:szCs w:val="20"/>
              </w:rPr>
              <w:t>TAS – Motorised Scooter</w:t>
            </w:r>
          </w:p>
        </w:tc>
        <w:tc>
          <w:tcPr>
            <w:tcW w:w="2111" w:type="dxa"/>
            <w:tcBorders>
              <w:bottom w:val="none" w:sz="0" w:space="0" w:color="auto"/>
            </w:tcBorders>
            <w:shd w:val="clear" w:color="auto" w:fill="352168" w:themeFill="background2" w:themeFillShade="BF"/>
          </w:tcPr>
          <w:p w:rsidR="00E246DC" w:rsidRPr="001A7048" w:rsidRDefault="00E246DC" w:rsidP="00E246DC">
            <w:pPr>
              <w:pStyle w:val="Tableheadbold"/>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1A7048">
              <w:rPr>
                <w:color w:val="FFFFFF" w:themeColor="background1"/>
                <w:sz w:val="20"/>
                <w:szCs w:val="20"/>
              </w:rPr>
              <w:t>VIC – Wheeled Recreational Devices</w:t>
            </w:r>
          </w:p>
        </w:tc>
      </w:tr>
      <w:tr w:rsidR="001A7048" w:rsidRPr="001A7048" w:rsidTr="001A7048">
        <w:trPr>
          <w:cnfStyle w:val="000000100000" w:firstRow="0" w:lastRow="0" w:firstColumn="0" w:lastColumn="0" w:oddVBand="0" w:evenVBand="0" w:oddHBand="1" w:evenHBand="0" w:firstRowFirstColumn="0" w:firstRowLastColumn="0" w:lastRowFirstColumn="0" w:lastRowLastColumn="0"/>
          <w:trHeight w:val="7301"/>
        </w:trPr>
        <w:tc>
          <w:tcPr>
            <w:cnfStyle w:val="001000000000" w:firstRow="0" w:lastRow="0" w:firstColumn="1" w:lastColumn="0" w:oddVBand="0" w:evenVBand="0" w:oddHBand="0" w:evenHBand="0" w:firstRowFirstColumn="0" w:firstRowLastColumn="0" w:lastRowFirstColumn="0" w:lastRowLastColumn="0"/>
            <w:tcW w:w="2553" w:type="dxa"/>
            <w:shd w:val="clear" w:color="auto" w:fill="FFFFFF" w:themeFill="background1"/>
          </w:tcPr>
          <w:p w:rsidR="00E246DC" w:rsidRPr="001A7048" w:rsidRDefault="00E246DC" w:rsidP="00E246DC">
            <w:pPr>
              <w:spacing w:after="240"/>
              <w:rPr>
                <w:b w:val="0"/>
                <w:sz w:val="20"/>
                <w:szCs w:val="20"/>
              </w:rPr>
            </w:pPr>
            <w:r w:rsidRPr="001A7048">
              <w:rPr>
                <w:sz w:val="20"/>
                <w:szCs w:val="20"/>
              </w:rPr>
              <w:t>CURRENT STATUS</w:t>
            </w:r>
          </w:p>
        </w:tc>
        <w:tc>
          <w:tcPr>
            <w:tcW w:w="2932" w:type="dxa"/>
            <w:shd w:val="clear" w:color="auto" w:fill="FFFFFF" w:themeFill="background1"/>
          </w:tcPr>
          <w:p w:rsidR="00E246DC" w:rsidRPr="001A7048" w:rsidRDefault="00E246DC" w:rsidP="00E246DC">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1A7048">
              <w:rPr>
                <w:sz w:val="20"/>
                <w:szCs w:val="20"/>
              </w:rPr>
              <w:t>Not legal - NSW road rules currently stipulate that powered foot scooters cannot be registered and can only be used on private land.</w:t>
            </w:r>
          </w:p>
          <w:p w:rsidR="00E246DC" w:rsidRPr="001A7048" w:rsidRDefault="00E246DC" w:rsidP="00E246DC">
            <w:pPr>
              <w:spacing w:after="240"/>
              <w:cnfStyle w:val="000000100000" w:firstRow="0" w:lastRow="0" w:firstColumn="0" w:lastColumn="0" w:oddVBand="0" w:evenVBand="0" w:oddHBand="1" w:evenHBand="0" w:firstRowFirstColumn="0" w:firstRowLastColumn="0" w:lastRowFirstColumn="0" w:lastRowLastColumn="0"/>
              <w:rPr>
                <w:sz w:val="20"/>
                <w:szCs w:val="20"/>
              </w:rPr>
            </w:pPr>
          </w:p>
        </w:tc>
        <w:tc>
          <w:tcPr>
            <w:tcW w:w="2932" w:type="dxa"/>
            <w:shd w:val="clear" w:color="auto" w:fill="FFFFFF" w:themeFill="background1"/>
          </w:tcPr>
          <w:p w:rsidR="00E246DC" w:rsidRPr="001A7048" w:rsidRDefault="00E246DC" w:rsidP="00E246DC">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1A7048">
              <w:rPr>
                <w:sz w:val="20"/>
                <w:szCs w:val="20"/>
              </w:rPr>
              <w:t xml:space="preserve">Motorised scooters not exceeding 200 watts in power may be used.  Other motorised scooters </w:t>
            </w:r>
            <w:proofErr w:type="gramStart"/>
            <w:r w:rsidRPr="001A7048">
              <w:rPr>
                <w:sz w:val="20"/>
                <w:szCs w:val="20"/>
              </w:rPr>
              <w:t>are considered to be</w:t>
            </w:r>
            <w:proofErr w:type="gramEnd"/>
            <w:r w:rsidRPr="001A7048">
              <w:rPr>
                <w:sz w:val="20"/>
                <w:szCs w:val="20"/>
              </w:rPr>
              <w:t xml:space="preserve"> motor vehicles and as such must be registered to be used on roads or in other public places. </w:t>
            </w:r>
          </w:p>
          <w:p w:rsidR="00E246DC" w:rsidRPr="001A7048" w:rsidRDefault="00E246DC" w:rsidP="00E246DC">
            <w:pPr>
              <w:spacing w:after="240"/>
              <w:cnfStyle w:val="000000100000" w:firstRow="0" w:lastRow="0" w:firstColumn="0" w:lastColumn="0" w:oddVBand="0" w:evenVBand="0" w:oddHBand="1" w:evenHBand="0" w:firstRowFirstColumn="0" w:firstRowLastColumn="0" w:lastRowFirstColumn="0" w:lastRowLastColumn="0"/>
              <w:rPr>
                <w:sz w:val="20"/>
                <w:szCs w:val="20"/>
              </w:rPr>
            </w:pPr>
          </w:p>
        </w:tc>
        <w:tc>
          <w:tcPr>
            <w:tcW w:w="2932" w:type="dxa"/>
            <w:shd w:val="clear" w:color="auto" w:fill="FFFFFF" w:themeFill="background1"/>
          </w:tcPr>
          <w:p w:rsidR="00E246DC" w:rsidRPr="001A7048" w:rsidRDefault="00E246DC" w:rsidP="00E246DC">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1A7048">
              <w:rPr>
                <w:sz w:val="20"/>
                <w:szCs w:val="20"/>
              </w:rPr>
              <w:t>Motorised scooters and similar devices are legal on roads and road related areas.</w:t>
            </w:r>
          </w:p>
        </w:tc>
        <w:tc>
          <w:tcPr>
            <w:tcW w:w="2932" w:type="dxa"/>
            <w:shd w:val="clear" w:color="auto" w:fill="FFFFFF" w:themeFill="background1"/>
          </w:tcPr>
          <w:p w:rsidR="00E246DC" w:rsidRPr="001A7048" w:rsidRDefault="00E246DC" w:rsidP="00E246DC">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1A7048">
              <w:rPr>
                <w:sz w:val="20"/>
                <w:szCs w:val="20"/>
              </w:rPr>
              <w:t xml:space="preserve">Not legal – Motorised foot scooters are considered motor vehicles and as such must be registered to be used on roads or in other public places. </w:t>
            </w:r>
          </w:p>
          <w:p w:rsidR="00E246DC" w:rsidRPr="001A7048" w:rsidRDefault="00E246DC" w:rsidP="00E246DC">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1A7048">
              <w:rPr>
                <w:sz w:val="20"/>
                <w:szCs w:val="20"/>
              </w:rPr>
              <w:t>However, they cannot be registered as they do not comply with designed or manufactured to comply with registration requirements and national safety standards for road vehicles, such as Australian Design Rules.</w:t>
            </w:r>
          </w:p>
          <w:p w:rsidR="00E246DC" w:rsidRPr="001A7048" w:rsidRDefault="00E246DC" w:rsidP="00E246DC">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1A7048">
              <w:rPr>
                <w:sz w:val="20"/>
                <w:szCs w:val="20"/>
              </w:rPr>
              <w:t>They can only be used on private property where the road transport law does not apply.</w:t>
            </w:r>
          </w:p>
        </w:tc>
        <w:tc>
          <w:tcPr>
            <w:tcW w:w="2872" w:type="dxa"/>
            <w:shd w:val="clear" w:color="auto" w:fill="FFFFFF" w:themeFill="background1"/>
          </w:tcPr>
          <w:p w:rsidR="00E246DC" w:rsidRPr="001A7048" w:rsidRDefault="00E246DC" w:rsidP="00E246DC">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1A7048">
              <w:rPr>
                <w:sz w:val="20"/>
                <w:szCs w:val="20"/>
              </w:rPr>
              <w:t xml:space="preserve">Not legal - Motorised wheeled recreational devices include self-balancing two wheeled boards, also known as hover boards and self-balancing scooters, </w:t>
            </w:r>
            <w:proofErr w:type="spellStart"/>
            <w:r w:rsidRPr="001A7048">
              <w:rPr>
                <w:sz w:val="20"/>
                <w:szCs w:val="20"/>
              </w:rPr>
              <w:t>Segways</w:t>
            </w:r>
            <w:proofErr w:type="spellEnd"/>
            <w:r w:rsidRPr="001A7048">
              <w:rPr>
                <w:sz w:val="20"/>
                <w:szCs w:val="20"/>
              </w:rPr>
              <w:t>, self-balancing unicycles electric skateboards and electric scooters.</w:t>
            </w:r>
          </w:p>
          <w:p w:rsidR="00E246DC" w:rsidRPr="001A7048" w:rsidRDefault="00E246DC" w:rsidP="00E246DC">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1A7048">
              <w:rPr>
                <w:sz w:val="20"/>
                <w:szCs w:val="20"/>
              </w:rPr>
              <w:t xml:space="preserve">Motorised wheeled recreational devices are considered motor vehicles and as such must be registered to be used on roads or in other public places. </w:t>
            </w:r>
          </w:p>
          <w:p w:rsidR="00E246DC" w:rsidRPr="001A7048" w:rsidRDefault="00E246DC" w:rsidP="00E246DC">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1A7048">
              <w:rPr>
                <w:sz w:val="20"/>
                <w:szCs w:val="20"/>
              </w:rPr>
              <w:t>However, motorised scooters and similar devices cannot be registered as they do not meet the safety standards under the Australian Design Rules.</w:t>
            </w:r>
          </w:p>
          <w:p w:rsidR="00E246DC" w:rsidRPr="001A7048" w:rsidRDefault="00E246DC" w:rsidP="00E246DC">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1A7048">
              <w:rPr>
                <w:sz w:val="20"/>
                <w:szCs w:val="20"/>
              </w:rPr>
              <w:t>They can only be used on private property where the road transport law does not apply.</w:t>
            </w:r>
          </w:p>
        </w:tc>
        <w:tc>
          <w:tcPr>
            <w:tcW w:w="2992" w:type="dxa"/>
            <w:shd w:val="clear" w:color="auto" w:fill="FFFFFF" w:themeFill="background1"/>
          </w:tcPr>
          <w:p w:rsidR="00E246DC" w:rsidRPr="001A7048" w:rsidRDefault="00E246DC" w:rsidP="00E246DC">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1A7048">
              <w:rPr>
                <w:sz w:val="20"/>
                <w:szCs w:val="20"/>
              </w:rPr>
              <w:t>Not legal – Electric scooters cannot be registered as motor vehicles in Tasmania as they fail to meet the minimum safety requirements.</w:t>
            </w:r>
          </w:p>
          <w:p w:rsidR="00E246DC" w:rsidRPr="001A7048" w:rsidRDefault="00E246DC" w:rsidP="00E246DC">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1A7048">
              <w:rPr>
                <w:sz w:val="20"/>
                <w:szCs w:val="20"/>
              </w:rPr>
              <w:t xml:space="preserve">As such, any e-scooter that has a power output of more than 200 watts can only be used on private property in Tasmania. </w:t>
            </w:r>
          </w:p>
          <w:p w:rsidR="00E246DC" w:rsidRPr="001A7048" w:rsidRDefault="00E246DC" w:rsidP="00E246DC">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1A7048">
              <w:rPr>
                <w:sz w:val="20"/>
                <w:szCs w:val="20"/>
              </w:rPr>
              <w:t>A motorised scooter cannot travel faster than 10km/h in Tasmania.</w:t>
            </w:r>
          </w:p>
          <w:p w:rsidR="00E246DC" w:rsidRPr="001A7048" w:rsidRDefault="00E246DC" w:rsidP="00E246DC">
            <w:pPr>
              <w:spacing w:after="240"/>
              <w:cnfStyle w:val="000000100000" w:firstRow="0" w:lastRow="0" w:firstColumn="0" w:lastColumn="0" w:oddVBand="0" w:evenVBand="0" w:oddHBand="1" w:evenHBand="0" w:firstRowFirstColumn="0" w:firstRowLastColumn="0" w:lastRowFirstColumn="0" w:lastRowLastColumn="0"/>
              <w:rPr>
                <w:sz w:val="20"/>
                <w:szCs w:val="20"/>
              </w:rPr>
            </w:pPr>
          </w:p>
        </w:tc>
        <w:tc>
          <w:tcPr>
            <w:tcW w:w="2111" w:type="dxa"/>
            <w:shd w:val="clear" w:color="auto" w:fill="FFFFFF" w:themeFill="background1"/>
          </w:tcPr>
          <w:p w:rsidR="00E246DC" w:rsidRPr="001A7048" w:rsidRDefault="00E246DC" w:rsidP="00E246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20"/>
                <w:szCs w:val="20"/>
              </w:rPr>
            </w:pPr>
            <w:r w:rsidRPr="001A7048">
              <w:rPr>
                <w:sz w:val="20"/>
                <w:szCs w:val="20"/>
              </w:rPr>
              <w:t>Legal if meets certain requirements, which most motorised scooters cannot meet.</w:t>
            </w:r>
          </w:p>
          <w:p w:rsidR="00E246DC" w:rsidRPr="001A7048" w:rsidRDefault="00E246DC" w:rsidP="00E246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20"/>
                <w:szCs w:val="20"/>
              </w:rPr>
            </w:pPr>
            <w:r w:rsidRPr="001A7048">
              <w:rPr>
                <w:sz w:val="20"/>
                <w:szCs w:val="20"/>
              </w:rPr>
              <w:t xml:space="preserve">If a motorised scooter is over 200 watts, can go faster than 10km/h or is powered by a petrol motor, it is classified as a motor vehicle. </w:t>
            </w:r>
          </w:p>
          <w:p w:rsidR="00E246DC" w:rsidRPr="001A7048" w:rsidRDefault="00E246DC" w:rsidP="00E246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Style w:val="Hyperlink"/>
                <w:sz w:val="20"/>
                <w:szCs w:val="20"/>
              </w:rPr>
            </w:pPr>
            <w:r w:rsidRPr="001A7048">
              <w:rPr>
                <w:sz w:val="20"/>
                <w:szCs w:val="20"/>
              </w:rPr>
              <w:t>If classified as a motor vehicle, the electric scooter must be registered, and the rider must have a valid motorcycle license. Motorised scooters that do not meet these stipulations can be used on private property, but not in public.</w:t>
            </w:r>
          </w:p>
          <w:p w:rsidR="00E246DC" w:rsidRPr="001A7048" w:rsidRDefault="00E246DC" w:rsidP="00E246DC">
            <w:pPr>
              <w:spacing w:after="240"/>
              <w:cnfStyle w:val="000000100000" w:firstRow="0" w:lastRow="0" w:firstColumn="0" w:lastColumn="0" w:oddVBand="0" w:evenVBand="0" w:oddHBand="1" w:evenHBand="0" w:firstRowFirstColumn="0" w:firstRowLastColumn="0" w:lastRowFirstColumn="0" w:lastRowLastColumn="0"/>
              <w:rPr>
                <w:sz w:val="20"/>
                <w:szCs w:val="20"/>
              </w:rPr>
            </w:pPr>
            <w:r w:rsidRPr="001A7048">
              <w:rPr>
                <w:sz w:val="20"/>
                <w:szCs w:val="20"/>
              </w:rPr>
              <w:t>If a motorised scooter meets the above requirements, it must follow the same rules for wheeled recreation devices and therefore can be used on footpaths but not on separated bike paths.</w:t>
            </w:r>
          </w:p>
        </w:tc>
      </w:tr>
      <w:tr w:rsidR="00E246DC" w:rsidRPr="001A7048" w:rsidTr="001A7048">
        <w:trPr>
          <w:trHeight w:val="625"/>
        </w:trPr>
        <w:tc>
          <w:tcPr>
            <w:cnfStyle w:val="001000000000" w:firstRow="0" w:lastRow="0" w:firstColumn="1" w:lastColumn="0" w:oddVBand="0" w:evenVBand="0" w:oddHBand="0" w:evenHBand="0" w:firstRowFirstColumn="0" w:firstRowLastColumn="0" w:lastRowFirstColumn="0" w:lastRowLastColumn="0"/>
            <w:tcW w:w="2553" w:type="dxa"/>
            <w:shd w:val="clear" w:color="auto" w:fill="D9D9D9" w:themeFill="background1" w:themeFillShade="D9"/>
          </w:tcPr>
          <w:p w:rsidR="00E246DC" w:rsidRPr="001A7048" w:rsidRDefault="00E246DC" w:rsidP="00E246DC">
            <w:pPr>
              <w:spacing w:after="240"/>
              <w:rPr>
                <w:b w:val="0"/>
                <w:sz w:val="20"/>
                <w:szCs w:val="20"/>
              </w:rPr>
            </w:pPr>
            <w:r w:rsidRPr="001A7048">
              <w:rPr>
                <w:sz w:val="20"/>
                <w:szCs w:val="20"/>
              </w:rPr>
              <w:t>E-SCOOTER SHARE PROVIDER TRIAL CONDITIONS</w:t>
            </w:r>
          </w:p>
        </w:tc>
        <w:tc>
          <w:tcPr>
            <w:tcW w:w="2932" w:type="dxa"/>
            <w:shd w:val="clear" w:color="auto" w:fill="D9D9D9" w:themeFill="background1" w:themeFillShade="D9"/>
          </w:tcPr>
          <w:p w:rsidR="00E246DC" w:rsidRPr="001A7048" w:rsidRDefault="00E246DC" w:rsidP="00E246DC">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1A7048">
              <w:rPr>
                <w:sz w:val="20"/>
                <w:szCs w:val="20"/>
              </w:rPr>
              <w:t xml:space="preserve">A trial has not yet been undertaken in NSW. </w:t>
            </w:r>
          </w:p>
        </w:tc>
        <w:tc>
          <w:tcPr>
            <w:tcW w:w="2932" w:type="dxa"/>
            <w:shd w:val="clear" w:color="auto" w:fill="D9D9D9" w:themeFill="background1" w:themeFillShade="D9"/>
          </w:tcPr>
          <w:p w:rsidR="00E246DC" w:rsidRPr="001A7048" w:rsidRDefault="00E246DC" w:rsidP="00E246DC">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1A7048">
              <w:rPr>
                <w:sz w:val="20"/>
                <w:szCs w:val="20"/>
              </w:rPr>
              <w:t>A trial has not yet been undertaken in WA.</w:t>
            </w:r>
          </w:p>
        </w:tc>
        <w:tc>
          <w:tcPr>
            <w:tcW w:w="2932" w:type="dxa"/>
            <w:shd w:val="clear" w:color="auto" w:fill="D9D9D9" w:themeFill="background1" w:themeFillShade="D9"/>
          </w:tcPr>
          <w:p w:rsidR="00E246DC" w:rsidRPr="001A7048" w:rsidRDefault="00E246DC" w:rsidP="00E246DC">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1A7048">
              <w:rPr>
                <w:sz w:val="20"/>
                <w:szCs w:val="20"/>
              </w:rPr>
              <w:t>Trial was undertaken last year using an e-scooter share scheme operator to help inform regulations for QLD.</w:t>
            </w:r>
          </w:p>
          <w:p w:rsidR="00E246DC" w:rsidRPr="001A7048" w:rsidRDefault="00E246DC" w:rsidP="00E246DC">
            <w:pPr>
              <w:spacing w:after="240"/>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1A7048">
              <w:rPr>
                <w:sz w:val="20"/>
                <w:szCs w:val="20"/>
              </w:rPr>
              <w:t xml:space="preserve">Can only </w:t>
            </w:r>
            <w:r w:rsidRPr="001A7048">
              <w:rPr>
                <w:b/>
                <w:sz w:val="20"/>
                <w:szCs w:val="20"/>
              </w:rPr>
              <w:t>be used on footpaths or shared pathways</w:t>
            </w:r>
            <w:r w:rsidRPr="001A7048">
              <w:rPr>
                <w:sz w:val="20"/>
                <w:szCs w:val="20"/>
              </w:rPr>
              <w:t xml:space="preserve">, and </w:t>
            </w:r>
            <w:r w:rsidRPr="001A7048">
              <w:rPr>
                <w:b/>
                <w:sz w:val="20"/>
                <w:szCs w:val="20"/>
              </w:rPr>
              <w:t>on roads with speed limits of 50km/h or less, without dividing lines or median strips.</w:t>
            </w:r>
            <w:r w:rsidRPr="001A7048">
              <w:rPr>
                <w:sz w:val="20"/>
                <w:szCs w:val="20"/>
              </w:rPr>
              <w:t xml:space="preserve"> Users must wear a helmet and </w:t>
            </w:r>
            <w:r w:rsidRPr="001A7048">
              <w:rPr>
                <w:b/>
                <w:sz w:val="20"/>
                <w:szCs w:val="20"/>
              </w:rPr>
              <w:t>cannot exceed 25km/h.</w:t>
            </w:r>
          </w:p>
        </w:tc>
        <w:tc>
          <w:tcPr>
            <w:tcW w:w="2932" w:type="dxa"/>
            <w:shd w:val="clear" w:color="auto" w:fill="D9D9D9" w:themeFill="background1" w:themeFillShade="D9"/>
          </w:tcPr>
          <w:p w:rsidR="00E246DC" w:rsidRPr="001A7048" w:rsidRDefault="00E246DC" w:rsidP="00E246DC">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1A7048">
              <w:rPr>
                <w:sz w:val="20"/>
                <w:szCs w:val="20"/>
              </w:rPr>
              <w:t xml:space="preserve">A 12-month trial to commence in Darwin, around August 2019. Electric scooters via a ride share scheme will be permitted to use </w:t>
            </w:r>
            <w:r w:rsidRPr="001A7048">
              <w:rPr>
                <w:b/>
                <w:sz w:val="20"/>
                <w:szCs w:val="20"/>
              </w:rPr>
              <w:t>bikeways, shared paths and footpaths</w:t>
            </w:r>
            <w:r w:rsidRPr="001A7048">
              <w:rPr>
                <w:sz w:val="20"/>
                <w:szCs w:val="20"/>
              </w:rPr>
              <w:t xml:space="preserve">. </w:t>
            </w:r>
            <w:r w:rsidRPr="001A7048">
              <w:rPr>
                <w:b/>
                <w:sz w:val="20"/>
                <w:szCs w:val="20"/>
              </w:rPr>
              <w:t>Max speed 20km/h.</w:t>
            </w:r>
          </w:p>
          <w:p w:rsidR="00E246DC" w:rsidRPr="001A7048" w:rsidRDefault="00E246DC" w:rsidP="00E246DC">
            <w:pPr>
              <w:spacing w:after="240"/>
              <w:cnfStyle w:val="000000000000" w:firstRow="0" w:lastRow="0" w:firstColumn="0" w:lastColumn="0" w:oddVBand="0" w:evenVBand="0" w:oddHBand="0" w:evenHBand="0" w:firstRowFirstColumn="0" w:firstRowLastColumn="0" w:lastRowFirstColumn="0" w:lastRowLastColumn="0"/>
              <w:rPr>
                <w:sz w:val="20"/>
                <w:szCs w:val="20"/>
              </w:rPr>
            </w:pPr>
          </w:p>
        </w:tc>
        <w:tc>
          <w:tcPr>
            <w:tcW w:w="2872" w:type="dxa"/>
            <w:shd w:val="clear" w:color="auto" w:fill="D9D9D9" w:themeFill="background1" w:themeFillShade="D9"/>
          </w:tcPr>
          <w:p w:rsidR="00E246DC" w:rsidRPr="001A7048" w:rsidRDefault="00E246DC" w:rsidP="00E246DC">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A7048">
              <w:rPr>
                <w:sz w:val="20"/>
                <w:szCs w:val="20"/>
              </w:rPr>
              <w:t>Adelaide is in their second trial with two e-scooter share scheme operators permitted to deploy e-scooters from Monday 15 April for a six-month period.</w:t>
            </w:r>
          </w:p>
          <w:p w:rsidR="00E246DC" w:rsidRPr="001A7048" w:rsidRDefault="00E246DC" w:rsidP="00E246DC">
            <w:pPr>
              <w:pStyle w:val="NoSpacing"/>
              <w:cnfStyle w:val="000000000000" w:firstRow="0" w:lastRow="0" w:firstColumn="0" w:lastColumn="0" w:oddVBand="0" w:evenVBand="0" w:oddHBand="0" w:evenHBand="0" w:firstRowFirstColumn="0" w:firstRowLastColumn="0" w:lastRowFirstColumn="0" w:lastRowLastColumn="0"/>
              <w:rPr>
                <w:sz w:val="20"/>
                <w:szCs w:val="20"/>
              </w:rPr>
            </w:pPr>
          </w:p>
          <w:p w:rsidR="00E246DC" w:rsidRPr="001A7048" w:rsidRDefault="00E246DC" w:rsidP="00E246DC">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1A7048">
              <w:rPr>
                <w:sz w:val="20"/>
                <w:szCs w:val="20"/>
              </w:rPr>
              <w:t xml:space="preserve">Can only </w:t>
            </w:r>
            <w:r w:rsidRPr="001A7048">
              <w:rPr>
                <w:b/>
                <w:sz w:val="20"/>
                <w:szCs w:val="20"/>
              </w:rPr>
              <w:t>be used on footpaths or shared pathways</w:t>
            </w:r>
            <w:r w:rsidRPr="001A7048">
              <w:rPr>
                <w:sz w:val="20"/>
                <w:szCs w:val="20"/>
              </w:rPr>
              <w:t xml:space="preserve">, and </w:t>
            </w:r>
            <w:r w:rsidRPr="001A7048">
              <w:rPr>
                <w:b/>
                <w:sz w:val="20"/>
                <w:szCs w:val="20"/>
              </w:rPr>
              <w:t>must not be used on multi-lane roads, or any road with a speed limit of more than 50km/h</w:t>
            </w:r>
            <w:r w:rsidRPr="001A7048">
              <w:rPr>
                <w:sz w:val="20"/>
                <w:szCs w:val="20"/>
              </w:rPr>
              <w:t xml:space="preserve">. Users must wear a helmet, be </w:t>
            </w:r>
            <w:r w:rsidRPr="001A7048">
              <w:rPr>
                <w:b/>
                <w:sz w:val="20"/>
                <w:szCs w:val="20"/>
              </w:rPr>
              <w:t>18+ years old</w:t>
            </w:r>
            <w:r w:rsidRPr="001A7048">
              <w:rPr>
                <w:sz w:val="20"/>
                <w:szCs w:val="20"/>
              </w:rPr>
              <w:t xml:space="preserve"> and </w:t>
            </w:r>
            <w:r w:rsidRPr="001A7048">
              <w:rPr>
                <w:b/>
                <w:sz w:val="20"/>
                <w:szCs w:val="20"/>
              </w:rPr>
              <w:t>cannot exceed 15km/h</w:t>
            </w:r>
            <w:r w:rsidRPr="001A7048">
              <w:rPr>
                <w:sz w:val="20"/>
                <w:szCs w:val="20"/>
              </w:rPr>
              <w:t xml:space="preserve">. </w:t>
            </w:r>
          </w:p>
        </w:tc>
        <w:tc>
          <w:tcPr>
            <w:tcW w:w="2992" w:type="dxa"/>
            <w:shd w:val="clear" w:color="auto" w:fill="D9D9D9" w:themeFill="background1" w:themeFillShade="D9"/>
          </w:tcPr>
          <w:p w:rsidR="00E246DC" w:rsidRPr="001A7048" w:rsidRDefault="00E246DC" w:rsidP="00E246DC">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1A7048">
              <w:rPr>
                <w:sz w:val="20"/>
                <w:szCs w:val="20"/>
              </w:rPr>
              <w:t xml:space="preserve">A trial has not yet been undertaken in Tasmania. </w:t>
            </w:r>
          </w:p>
        </w:tc>
        <w:tc>
          <w:tcPr>
            <w:tcW w:w="2111" w:type="dxa"/>
            <w:shd w:val="clear" w:color="auto" w:fill="D9D9D9" w:themeFill="background1" w:themeFillShade="D9"/>
          </w:tcPr>
          <w:p w:rsidR="00E246DC" w:rsidRPr="001A7048" w:rsidRDefault="00E246DC" w:rsidP="00E246DC">
            <w:pPr>
              <w:spacing w:after="240"/>
              <w:cnfStyle w:val="000000000000" w:firstRow="0" w:lastRow="0" w:firstColumn="0" w:lastColumn="0" w:oddVBand="0" w:evenVBand="0" w:oddHBand="0" w:evenHBand="0" w:firstRowFirstColumn="0" w:firstRowLastColumn="0" w:lastRowFirstColumn="0" w:lastRowLastColumn="0"/>
              <w:rPr>
                <w:sz w:val="20"/>
                <w:szCs w:val="20"/>
              </w:rPr>
            </w:pPr>
            <w:r w:rsidRPr="001A7048">
              <w:rPr>
                <w:sz w:val="20"/>
                <w:szCs w:val="20"/>
              </w:rPr>
              <w:t xml:space="preserve">E-scooter share scheme operator Lime has conducted a few small trials including one at Monash University. </w:t>
            </w:r>
          </w:p>
        </w:tc>
      </w:tr>
    </w:tbl>
    <w:p w:rsidR="00F61492" w:rsidRDefault="00F61492">
      <w:pPr>
        <w:spacing w:line="276" w:lineRule="auto"/>
      </w:pPr>
    </w:p>
    <w:tbl>
      <w:tblPr>
        <w:tblStyle w:val="ListTable1Light-Accent5"/>
        <w:tblpPr w:leftFromText="180" w:rightFromText="180" w:vertAnchor="text" w:horzAnchor="margin" w:tblpXSpec="center" w:tblpY="464"/>
        <w:tblW w:w="2282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403"/>
        <w:gridCol w:w="3118"/>
        <w:gridCol w:w="3544"/>
        <w:gridCol w:w="3544"/>
        <w:gridCol w:w="2693"/>
        <w:gridCol w:w="2555"/>
        <w:gridCol w:w="1417"/>
        <w:gridCol w:w="2548"/>
      </w:tblGrid>
      <w:tr w:rsidR="001A7048" w:rsidRPr="0000654A" w:rsidTr="001A70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Borders>
              <w:bottom w:val="none" w:sz="0" w:space="0" w:color="auto"/>
            </w:tcBorders>
            <w:shd w:val="clear" w:color="auto" w:fill="482D8C" w:themeFill="background2"/>
          </w:tcPr>
          <w:p w:rsidR="001A7048" w:rsidRPr="001A7048" w:rsidRDefault="001A7048" w:rsidP="001A7048">
            <w:pPr>
              <w:pStyle w:val="Tableheadbold"/>
              <w:rPr>
                <w:rFonts w:eastAsia="Calibri"/>
                <w:color w:val="FFFFFF" w:themeColor="background1"/>
              </w:rPr>
            </w:pPr>
            <w:bookmarkStart w:id="13" w:name="_Toc12274661"/>
            <w:r w:rsidRPr="001A7048">
              <w:rPr>
                <w:rFonts w:eastAsia="Calibri"/>
                <w:color w:val="FFFFFF" w:themeColor="background1"/>
              </w:rPr>
              <w:lastRenderedPageBreak/>
              <w:t>What</w:t>
            </w:r>
          </w:p>
        </w:tc>
        <w:tc>
          <w:tcPr>
            <w:tcW w:w="3118" w:type="dxa"/>
            <w:tcBorders>
              <w:bottom w:val="none" w:sz="0" w:space="0" w:color="auto"/>
            </w:tcBorders>
            <w:shd w:val="clear" w:color="auto" w:fill="482D8C" w:themeFill="background2"/>
          </w:tcPr>
          <w:p w:rsidR="001A7048" w:rsidRPr="001A7048" w:rsidRDefault="001A7048" w:rsidP="001A7048">
            <w:pPr>
              <w:pStyle w:val="Tableheadbold"/>
              <w:cnfStyle w:val="100000000000" w:firstRow="1" w:lastRow="0" w:firstColumn="0" w:lastColumn="0" w:oddVBand="0" w:evenVBand="0" w:oddHBand="0" w:evenHBand="0" w:firstRowFirstColumn="0" w:firstRowLastColumn="0" w:lastRowFirstColumn="0" w:lastRowLastColumn="0"/>
              <w:rPr>
                <w:rFonts w:eastAsia="Calibri"/>
                <w:color w:val="FFFFFF" w:themeColor="background1"/>
              </w:rPr>
            </w:pPr>
            <w:r w:rsidRPr="001A7048">
              <w:rPr>
                <w:rFonts w:eastAsia="Calibri"/>
                <w:color w:val="FFFFFF" w:themeColor="background1"/>
              </w:rPr>
              <w:t>On road</w:t>
            </w:r>
          </w:p>
        </w:tc>
        <w:tc>
          <w:tcPr>
            <w:tcW w:w="3544" w:type="dxa"/>
            <w:tcBorders>
              <w:bottom w:val="none" w:sz="0" w:space="0" w:color="auto"/>
            </w:tcBorders>
            <w:shd w:val="clear" w:color="auto" w:fill="482D8C" w:themeFill="background2"/>
          </w:tcPr>
          <w:p w:rsidR="001A7048" w:rsidRPr="001A7048" w:rsidRDefault="001A7048" w:rsidP="001A7048">
            <w:pPr>
              <w:pStyle w:val="Tableheadbold"/>
              <w:cnfStyle w:val="100000000000" w:firstRow="1" w:lastRow="0" w:firstColumn="0" w:lastColumn="0" w:oddVBand="0" w:evenVBand="0" w:oddHBand="0" w:evenHBand="0" w:firstRowFirstColumn="0" w:firstRowLastColumn="0" w:lastRowFirstColumn="0" w:lastRowLastColumn="0"/>
              <w:rPr>
                <w:rFonts w:eastAsia="Calibri"/>
                <w:color w:val="FFFFFF" w:themeColor="background1"/>
              </w:rPr>
            </w:pPr>
            <w:r w:rsidRPr="001A7048">
              <w:rPr>
                <w:rFonts w:eastAsia="Calibri"/>
                <w:color w:val="FFFFFF" w:themeColor="background1"/>
              </w:rPr>
              <w:t>Along road</w:t>
            </w:r>
          </w:p>
        </w:tc>
        <w:tc>
          <w:tcPr>
            <w:tcW w:w="3544" w:type="dxa"/>
            <w:tcBorders>
              <w:bottom w:val="none" w:sz="0" w:space="0" w:color="auto"/>
            </w:tcBorders>
            <w:shd w:val="clear" w:color="auto" w:fill="482D8C" w:themeFill="background2"/>
          </w:tcPr>
          <w:p w:rsidR="001A7048" w:rsidRPr="001A7048" w:rsidRDefault="001A7048" w:rsidP="001A7048">
            <w:pPr>
              <w:pStyle w:val="Tableheadbold"/>
              <w:cnfStyle w:val="100000000000" w:firstRow="1" w:lastRow="0" w:firstColumn="0" w:lastColumn="0" w:oddVBand="0" w:evenVBand="0" w:oddHBand="0" w:evenHBand="0" w:firstRowFirstColumn="0" w:firstRowLastColumn="0" w:lastRowFirstColumn="0" w:lastRowLastColumn="0"/>
              <w:rPr>
                <w:rFonts w:eastAsia="Calibri"/>
                <w:color w:val="FFFFFF" w:themeColor="background1"/>
              </w:rPr>
            </w:pPr>
            <w:r w:rsidRPr="001A7048">
              <w:rPr>
                <w:rFonts w:eastAsia="Calibri"/>
                <w:color w:val="FFFFFF" w:themeColor="background1"/>
              </w:rPr>
              <w:t>Crossing road</w:t>
            </w:r>
          </w:p>
        </w:tc>
        <w:tc>
          <w:tcPr>
            <w:tcW w:w="2693" w:type="dxa"/>
            <w:tcBorders>
              <w:bottom w:val="none" w:sz="0" w:space="0" w:color="auto"/>
            </w:tcBorders>
            <w:shd w:val="clear" w:color="auto" w:fill="482D8C" w:themeFill="background2"/>
          </w:tcPr>
          <w:p w:rsidR="001A7048" w:rsidRPr="001A7048" w:rsidRDefault="001A7048" w:rsidP="001A7048">
            <w:pPr>
              <w:pStyle w:val="Tableheadbold"/>
              <w:cnfStyle w:val="100000000000" w:firstRow="1" w:lastRow="0" w:firstColumn="0" w:lastColumn="0" w:oddVBand="0" w:evenVBand="0" w:oddHBand="0" w:evenHBand="0" w:firstRowFirstColumn="0" w:firstRowLastColumn="0" w:lastRowFirstColumn="0" w:lastRowLastColumn="0"/>
              <w:rPr>
                <w:rFonts w:eastAsia="Calibri"/>
                <w:color w:val="FFFFFF" w:themeColor="background1"/>
              </w:rPr>
            </w:pPr>
            <w:r w:rsidRPr="001A7048">
              <w:rPr>
                <w:rFonts w:eastAsia="Calibri"/>
                <w:color w:val="FFFFFF" w:themeColor="background1"/>
              </w:rPr>
              <w:t>Footpath</w:t>
            </w:r>
          </w:p>
        </w:tc>
        <w:tc>
          <w:tcPr>
            <w:tcW w:w="2555" w:type="dxa"/>
            <w:tcBorders>
              <w:bottom w:val="none" w:sz="0" w:space="0" w:color="auto"/>
            </w:tcBorders>
            <w:shd w:val="clear" w:color="auto" w:fill="482D8C" w:themeFill="background2"/>
          </w:tcPr>
          <w:p w:rsidR="001A7048" w:rsidRPr="001A7048" w:rsidRDefault="001A7048" w:rsidP="001A7048">
            <w:pPr>
              <w:pStyle w:val="Tableheadbold"/>
              <w:cnfStyle w:val="100000000000" w:firstRow="1" w:lastRow="0" w:firstColumn="0" w:lastColumn="0" w:oddVBand="0" w:evenVBand="0" w:oddHBand="0" w:evenHBand="0" w:firstRowFirstColumn="0" w:firstRowLastColumn="0" w:lastRowFirstColumn="0" w:lastRowLastColumn="0"/>
              <w:rPr>
                <w:rFonts w:eastAsia="Calibri"/>
                <w:color w:val="FFFFFF" w:themeColor="background1"/>
              </w:rPr>
            </w:pPr>
            <w:r w:rsidRPr="001A7048">
              <w:rPr>
                <w:rFonts w:eastAsia="Calibri"/>
                <w:color w:val="FFFFFF" w:themeColor="background1"/>
              </w:rPr>
              <w:t>Shared path</w:t>
            </w:r>
          </w:p>
        </w:tc>
        <w:tc>
          <w:tcPr>
            <w:tcW w:w="1417" w:type="dxa"/>
            <w:tcBorders>
              <w:bottom w:val="none" w:sz="0" w:space="0" w:color="auto"/>
            </w:tcBorders>
            <w:shd w:val="clear" w:color="auto" w:fill="482D8C" w:themeFill="background2"/>
          </w:tcPr>
          <w:p w:rsidR="001A7048" w:rsidRPr="001A7048" w:rsidRDefault="001A7048" w:rsidP="001A7048">
            <w:pPr>
              <w:pStyle w:val="Tableheadbold"/>
              <w:cnfStyle w:val="100000000000" w:firstRow="1" w:lastRow="0" w:firstColumn="0" w:lastColumn="0" w:oddVBand="0" w:evenVBand="0" w:oddHBand="0" w:evenHBand="0" w:firstRowFirstColumn="0" w:firstRowLastColumn="0" w:lastRowFirstColumn="0" w:lastRowLastColumn="0"/>
              <w:rPr>
                <w:rFonts w:eastAsia="Calibri"/>
                <w:color w:val="FFFFFF" w:themeColor="background1"/>
              </w:rPr>
            </w:pPr>
            <w:r w:rsidRPr="001A7048">
              <w:rPr>
                <w:rFonts w:eastAsia="Calibri"/>
                <w:color w:val="FFFFFF" w:themeColor="background1"/>
              </w:rPr>
              <w:t>Bicycle path</w:t>
            </w:r>
          </w:p>
        </w:tc>
        <w:tc>
          <w:tcPr>
            <w:tcW w:w="2548" w:type="dxa"/>
            <w:tcBorders>
              <w:bottom w:val="none" w:sz="0" w:space="0" w:color="auto"/>
            </w:tcBorders>
            <w:shd w:val="clear" w:color="auto" w:fill="482D8C" w:themeFill="background2"/>
          </w:tcPr>
          <w:p w:rsidR="001A7048" w:rsidRPr="001A7048" w:rsidRDefault="001A7048" w:rsidP="001A7048">
            <w:pPr>
              <w:pStyle w:val="Tableheadbold"/>
              <w:cnfStyle w:val="100000000000" w:firstRow="1" w:lastRow="0" w:firstColumn="0" w:lastColumn="0" w:oddVBand="0" w:evenVBand="0" w:oddHBand="0" w:evenHBand="0" w:firstRowFirstColumn="0" w:firstRowLastColumn="0" w:lastRowFirstColumn="0" w:lastRowLastColumn="0"/>
              <w:rPr>
                <w:rFonts w:eastAsia="Calibri"/>
                <w:color w:val="FFFFFF" w:themeColor="background1"/>
              </w:rPr>
            </w:pPr>
            <w:r w:rsidRPr="001A7048">
              <w:rPr>
                <w:rFonts w:eastAsia="Calibri"/>
                <w:color w:val="FFFFFF" w:themeColor="background1"/>
              </w:rPr>
              <w:t>Separated path</w:t>
            </w:r>
          </w:p>
        </w:tc>
      </w:tr>
      <w:tr w:rsidR="001A7048" w:rsidRPr="0000654A" w:rsidTr="001A7048">
        <w:trPr>
          <w:cnfStyle w:val="000000100000" w:firstRow="0" w:lastRow="0" w:firstColumn="0" w:lastColumn="0" w:oddVBand="0" w:evenVBand="0" w:oddHBand="1" w:evenHBand="0" w:firstRowFirstColumn="0" w:firstRowLastColumn="0" w:lastRowFirstColumn="0" w:lastRowLastColumn="0"/>
          <w:trHeight w:val="2009"/>
        </w:trPr>
        <w:tc>
          <w:tcPr>
            <w:cnfStyle w:val="001000000000" w:firstRow="0" w:lastRow="0" w:firstColumn="1" w:lastColumn="0" w:oddVBand="0" w:evenVBand="0" w:oddHBand="0" w:evenHBand="0" w:firstRowFirstColumn="0" w:firstRowLastColumn="0" w:lastRowFirstColumn="0" w:lastRowLastColumn="0"/>
            <w:tcW w:w="3403" w:type="dxa"/>
            <w:shd w:val="clear" w:color="auto" w:fill="FFFFFF" w:themeFill="background1"/>
          </w:tcPr>
          <w:p w:rsidR="001A7048" w:rsidRPr="0000654A" w:rsidRDefault="001A7048" w:rsidP="001A7048">
            <w:pPr>
              <w:rPr>
                <w:rFonts w:ascii="Calibri" w:eastAsia="Calibri" w:hAnsi="Calibri"/>
                <w:b w:val="0"/>
              </w:rPr>
            </w:pPr>
            <w:r w:rsidRPr="0000654A">
              <w:rPr>
                <w:rFonts w:ascii="Calibri" w:eastAsia="Calibri" w:hAnsi="Calibri"/>
              </w:rPr>
              <w:t>Ambulant pedestrian</w:t>
            </w:r>
          </w:p>
        </w:tc>
        <w:tc>
          <w:tcPr>
            <w:tcW w:w="3118" w:type="dxa"/>
            <w:shd w:val="clear" w:color="auto" w:fill="FFFFFF" w:themeFill="background1"/>
          </w:tcPr>
          <w:p w:rsidR="001A7048" w:rsidRPr="0000654A" w:rsidRDefault="001A7048" w:rsidP="001A7048">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00654A">
              <w:rPr>
                <w:rFonts w:ascii="Calibri" w:eastAsia="Calibri" w:hAnsi="Calibri"/>
              </w:rPr>
              <w:t>Yes, but not past no pedestrian sign and not on road with sign prohibiting pedestrians past sign</w:t>
            </w:r>
          </w:p>
        </w:tc>
        <w:tc>
          <w:tcPr>
            <w:tcW w:w="3544" w:type="dxa"/>
            <w:shd w:val="clear" w:color="auto" w:fill="FFFFFF" w:themeFill="background1"/>
          </w:tcPr>
          <w:p w:rsidR="001A7048" w:rsidRPr="0000654A" w:rsidRDefault="001A7048" w:rsidP="001A7048">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00654A">
              <w:rPr>
                <w:rFonts w:ascii="Calibri" w:eastAsia="Calibri" w:hAnsi="Calibri"/>
              </w:rPr>
              <w:t>Yes, if impracticable to use footpath or nature strip adjacent to road.  Must travel as far to left or right of road as practicable and must face traffic where practicable</w:t>
            </w:r>
          </w:p>
        </w:tc>
        <w:tc>
          <w:tcPr>
            <w:tcW w:w="3544" w:type="dxa"/>
            <w:shd w:val="clear" w:color="auto" w:fill="FFFFFF" w:themeFill="background1"/>
          </w:tcPr>
          <w:p w:rsidR="001A7048" w:rsidRPr="0000654A" w:rsidRDefault="001A7048" w:rsidP="001A7048">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00654A">
              <w:rPr>
                <w:rFonts w:ascii="Calibri" w:eastAsia="Calibri" w:hAnsi="Calibri"/>
              </w:rPr>
              <w:t>Yes, at crossings or more than 20m from a crossing.  If crossing at crossing, must obey crossing rules including any pedestrian lights.  If crossing away from crossing, pedestrian must give way to vehicles travelling along road</w:t>
            </w:r>
          </w:p>
        </w:tc>
        <w:tc>
          <w:tcPr>
            <w:tcW w:w="2693" w:type="dxa"/>
            <w:shd w:val="clear" w:color="auto" w:fill="FFFFFF" w:themeFill="background1"/>
          </w:tcPr>
          <w:p w:rsidR="001A7048" w:rsidRPr="0000654A" w:rsidRDefault="001A7048" w:rsidP="001A7048">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00654A">
              <w:rPr>
                <w:rFonts w:ascii="Calibri" w:eastAsia="Calibri" w:hAnsi="Calibri"/>
              </w:rPr>
              <w:t>Yes</w:t>
            </w:r>
          </w:p>
        </w:tc>
        <w:tc>
          <w:tcPr>
            <w:tcW w:w="2555" w:type="dxa"/>
            <w:shd w:val="clear" w:color="auto" w:fill="FFFFFF" w:themeFill="background1"/>
          </w:tcPr>
          <w:p w:rsidR="001A7048" w:rsidRPr="0000654A" w:rsidRDefault="001A7048" w:rsidP="001A7048">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00654A">
              <w:rPr>
                <w:rFonts w:ascii="Calibri" w:eastAsia="Calibri" w:hAnsi="Calibri"/>
              </w:rPr>
              <w:t>Yes</w:t>
            </w:r>
          </w:p>
        </w:tc>
        <w:tc>
          <w:tcPr>
            <w:tcW w:w="1417" w:type="dxa"/>
            <w:shd w:val="clear" w:color="auto" w:fill="FFFFFF" w:themeFill="background1"/>
          </w:tcPr>
          <w:p w:rsidR="001A7048" w:rsidRPr="0000654A" w:rsidRDefault="001A7048" w:rsidP="001A7048">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00654A">
              <w:rPr>
                <w:rFonts w:ascii="Calibri" w:eastAsia="Calibri" w:hAnsi="Calibri"/>
              </w:rPr>
              <w:t>No</w:t>
            </w:r>
          </w:p>
        </w:tc>
        <w:tc>
          <w:tcPr>
            <w:tcW w:w="2548" w:type="dxa"/>
            <w:shd w:val="clear" w:color="auto" w:fill="FFFFFF" w:themeFill="background1"/>
          </w:tcPr>
          <w:p w:rsidR="001A7048" w:rsidRPr="0000654A" w:rsidRDefault="001A7048" w:rsidP="001A7048">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00654A">
              <w:rPr>
                <w:rFonts w:ascii="Calibri" w:eastAsia="Calibri" w:hAnsi="Calibri"/>
              </w:rPr>
              <w:t>Yes, but not on bicycle side</w:t>
            </w:r>
          </w:p>
        </w:tc>
      </w:tr>
      <w:tr w:rsidR="001A7048" w:rsidRPr="0000654A" w:rsidTr="001A7048">
        <w:trPr>
          <w:trHeight w:val="2092"/>
        </w:trPr>
        <w:tc>
          <w:tcPr>
            <w:cnfStyle w:val="001000000000" w:firstRow="0" w:lastRow="0" w:firstColumn="1" w:lastColumn="0" w:oddVBand="0" w:evenVBand="0" w:oddHBand="0" w:evenHBand="0" w:firstRowFirstColumn="0" w:firstRowLastColumn="0" w:lastRowFirstColumn="0" w:lastRowLastColumn="0"/>
            <w:tcW w:w="3403" w:type="dxa"/>
            <w:shd w:val="clear" w:color="auto" w:fill="D9D9D9" w:themeFill="background1" w:themeFillShade="D9"/>
          </w:tcPr>
          <w:p w:rsidR="001A7048" w:rsidRPr="0000654A" w:rsidRDefault="001A7048" w:rsidP="001A7048">
            <w:pPr>
              <w:rPr>
                <w:rFonts w:ascii="Calibri" w:eastAsia="Calibri" w:hAnsi="Calibri"/>
                <w:b w:val="0"/>
              </w:rPr>
            </w:pPr>
            <w:r w:rsidRPr="0000654A">
              <w:rPr>
                <w:rFonts w:ascii="Calibri" w:eastAsia="Calibri" w:hAnsi="Calibri"/>
              </w:rPr>
              <w:t>Pedestrian using Motorised wheelchair or motorised mobility device</w:t>
            </w:r>
          </w:p>
        </w:tc>
        <w:tc>
          <w:tcPr>
            <w:tcW w:w="3118" w:type="dxa"/>
            <w:shd w:val="clear" w:color="auto" w:fill="D9D9D9" w:themeFill="background1" w:themeFillShade="D9"/>
          </w:tcPr>
          <w:p w:rsidR="001A7048" w:rsidRPr="0000654A" w:rsidRDefault="001A7048" w:rsidP="001A7048">
            <w:pPr>
              <w:cnfStyle w:val="000000000000" w:firstRow="0" w:lastRow="0" w:firstColumn="0" w:lastColumn="0" w:oddVBand="0" w:evenVBand="0" w:oddHBand="0" w:evenHBand="0" w:firstRowFirstColumn="0" w:firstRowLastColumn="0" w:lastRowFirstColumn="0" w:lastRowLastColumn="0"/>
              <w:rPr>
                <w:rFonts w:ascii="Calibri" w:eastAsia="Calibri" w:hAnsi="Calibri"/>
              </w:rPr>
            </w:pPr>
            <w:r w:rsidRPr="0000654A">
              <w:rPr>
                <w:rFonts w:ascii="Calibri" w:eastAsia="Calibri" w:hAnsi="Calibri"/>
              </w:rPr>
              <w:t>Yes, but not past no pedestrian sign and not on road with sign prohibiting pedestrians past sign</w:t>
            </w:r>
          </w:p>
        </w:tc>
        <w:tc>
          <w:tcPr>
            <w:tcW w:w="3544" w:type="dxa"/>
            <w:shd w:val="clear" w:color="auto" w:fill="D9D9D9" w:themeFill="background1" w:themeFillShade="D9"/>
          </w:tcPr>
          <w:p w:rsidR="001A7048" w:rsidRPr="0000654A" w:rsidRDefault="001A7048" w:rsidP="001A7048">
            <w:pPr>
              <w:cnfStyle w:val="000000000000" w:firstRow="0" w:lastRow="0" w:firstColumn="0" w:lastColumn="0" w:oddVBand="0" w:evenVBand="0" w:oddHBand="0" w:evenHBand="0" w:firstRowFirstColumn="0" w:firstRowLastColumn="0" w:lastRowFirstColumn="0" w:lastRowLastColumn="0"/>
              <w:rPr>
                <w:rFonts w:ascii="Calibri" w:eastAsia="Calibri" w:hAnsi="Calibri"/>
              </w:rPr>
            </w:pPr>
            <w:r w:rsidRPr="0000654A">
              <w:rPr>
                <w:rFonts w:ascii="Calibri" w:eastAsia="Calibri" w:hAnsi="Calibri"/>
              </w:rPr>
              <w:t>Yes, if impracticable to use footpath or nature strip adjacent to road.  Must travel as far to left or right of road as practicable and must face traffic where practicable</w:t>
            </w:r>
          </w:p>
        </w:tc>
        <w:tc>
          <w:tcPr>
            <w:tcW w:w="3544" w:type="dxa"/>
            <w:shd w:val="clear" w:color="auto" w:fill="D9D9D9" w:themeFill="background1" w:themeFillShade="D9"/>
          </w:tcPr>
          <w:p w:rsidR="001A7048" w:rsidRPr="0000654A" w:rsidRDefault="001A7048" w:rsidP="001A7048">
            <w:pPr>
              <w:cnfStyle w:val="000000000000" w:firstRow="0" w:lastRow="0" w:firstColumn="0" w:lastColumn="0" w:oddVBand="0" w:evenVBand="0" w:oddHBand="0" w:evenHBand="0" w:firstRowFirstColumn="0" w:firstRowLastColumn="0" w:lastRowFirstColumn="0" w:lastRowLastColumn="0"/>
              <w:rPr>
                <w:rFonts w:ascii="Calibri" w:eastAsia="Calibri" w:hAnsi="Calibri"/>
              </w:rPr>
            </w:pPr>
            <w:r w:rsidRPr="0000654A">
              <w:rPr>
                <w:rFonts w:ascii="Calibri" w:eastAsia="Calibri" w:hAnsi="Calibri"/>
              </w:rPr>
              <w:t>Yes, at crossings or more than 20m from a crossing.  If crossing at crossing, must obey crossing rules including any pedestrian lights.  If crossing away from crossing, pedestrian must give way to vehicles travelling along road</w:t>
            </w:r>
          </w:p>
        </w:tc>
        <w:tc>
          <w:tcPr>
            <w:tcW w:w="2693" w:type="dxa"/>
            <w:shd w:val="clear" w:color="auto" w:fill="D9D9D9" w:themeFill="background1" w:themeFillShade="D9"/>
          </w:tcPr>
          <w:p w:rsidR="001A7048" w:rsidRPr="0000654A" w:rsidRDefault="001A7048" w:rsidP="001A7048">
            <w:pPr>
              <w:cnfStyle w:val="000000000000" w:firstRow="0" w:lastRow="0" w:firstColumn="0" w:lastColumn="0" w:oddVBand="0" w:evenVBand="0" w:oddHBand="0" w:evenHBand="0" w:firstRowFirstColumn="0" w:firstRowLastColumn="0" w:lastRowFirstColumn="0" w:lastRowLastColumn="0"/>
              <w:rPr>
                <w:rFonts w:ascii="Calibri" w:eastAsia="Calibri" w:hAnsi="Calibri"/>
              </w:rPr>
            </w:pPr>
            <w:r w:rsidRPr="0000654A">
              <w:rPr>
                <w:rFonts w:ascii="Calibri" w:eastAsia="Calibri" w:hAnsi="Calibri"/>
              </w:rPr>
              <w:t>Yes, if motorised wheelchair/mobility device does not weigh more than 150kg</w:t>
            </w:r>
          </w:p>
        </w:tc>
        <w:tc>
          <w:tcPr>
            <w:tcW w:w="2555" w:type="dxa"/>
            <w:shd w:val="clear" w:color="auto" w:fill="D9D9D9" w:themeFill="background1" w:themeFillShade="D9"/>
          </w:tcPr>
          <w:p w:rsidR="001A7048" w:rsidRPr="0000654A" w:rsidRDefault="001A7048" w:rsidP="001A7048">
            <w:pPr>
              <w:cnfStyle w:val="000000000000" w:firstRow="0" w:lastRow="0" w:firstColumn="0" w:lastColumn="0" w:oddVBand="0" w:evenVBand="0" w:oddHBand="0" w:evenHBand="0" w:firstRowFirstColumn="0" w:firstRowLastColumn="0" w:lastRowFirstColumn="0" w:lastRowLastColumn="0"/>
              <w:rPr>
                <w:rFonts w:ascii="Calibri" w:eastAsia="Calibri" w:hAnsi="Calibri"/>
              </w:rPr>
            </w:pPr>
            <w:r w:rsidRPr="0000654A">
              <w:rPr>
                <w:rFonts w:ascii="Calibri" w:eastAsia="Calibri" w:hAnsi="Calibri"/>
              </w:rPr>
              <w:t>Yes, if motorised wheelchair/mobility device does not weigh more than 150kg</w:t>
            </w:r>
          </w:p>
        </w:tc>
        <w:tc>
          <w:tcPr>
            <w:tcW w:w="1417" w:type="dxa"/>
            <w:shd w:val="clear" w:color="auto" w:fill="D9D9D9" w:themeFill="background1" w:themeFillShade="D9"/>
          </w:tcPr>
          <w:p w:rsidR="001A7048" w:rsidRPr="0000654A" w:rsidRDefault="001A7048" w:rsidP="001A7048">
            <w:pPr>
              <w:cnfStyle w:val="000000000000" w:firstRow="0" w:lastRow="0" w:firstColumn="0" w:lastColumn="0" w:oddVBand="0" w:evenVBand="0" w:oddHBand="0" w:evenHBand="0" w:firstRowFirstColumn="0" w:firstRowLastColumn="0" w:lastRowFirstColumn="0" w:lastRowLastColumn="0"/>
              <w:rPr>
                <w:rFonts w:ascii="Calibri" w:eastAsia="Calibri" w:hAnsi="Calibri"/>
              </w:rPr>
            </w:pPr>
            <w:r w:rsidRPr="0000654A">
              <w:rPr>
                <w:rFonts w:ascii="Calibri" w:eastAsia="Calibri" w:hAnsi="Calibri"/>
              </w:rPr>
              <w:t>No</w:t>
            </w:r>
          </w:p>
        </w:tc>
        <w:tc>
          <w:tcPr>
            <w:tcW w:w="2548" w:type="dxa"/>
            <w:shd w:val="clear" w:color="auto" w:fill="D9D9D9" w:themeFill="background1" w:themeFillShade="D9"/>
          </w:tcPr>
          <w:p w:rsidR="001A7048" w:rsidRPr="0000654A" w:rsidRDefault="001A7048" w:rsidP="001A7048">
            <w:pPr>
              <w:cnfStyle w:val="000000000000" w:firstRow="0" w:lastRow="0" w:firstColumn="0" w:lastColumn="0" w:oddVBand="0" w:evenVBand="0" w:oddHBand="0" w:evenHBand="0" w:firstRowFirstColumn="0" w:firstRowLastColumn="0" w:lastRowFirstColumn="0" w:lastRowLastColumn="0"/>
              <w:rPr>
                <w:rFonts w:ascii="Calibri" w:eastAsia="Calibri" w:hAnsi="Calibri"/>
              </w:rPr>
            </w:pPr>
            <w:r w:rsidRPr="0000654A">
              <w:rPr>
                <w:rFonts w:ascii="Calibri" w:eastAsia="Calibri" w:hAnsi="Calibri"/>
              </w:rPr>
              <w:t>Yes, if motorised wheelchair/mobility device does not weigh more than 150kg, but not on bicycle side</w:t>
            </w:r>
          </w:p>
        </w:tc>
      </w:tr>
      <w:tr w:rsidR="001A7048" w:rsidRPr="0000654A" w:rsidTr="001A7048">
        <w:trPr>
          <w:cnfStyle w:val="000000100000" w:firstRow="0" w:lastRow="0" w:firstColumn="0" w:lastColumn="0" w:oddVBand="0" w:evenVBand="0" w:oddHBand="1" w:evenHBand="0" w:firstRowFirstColumn="0" w:firstRowLastColumn="0" w:lastRowFirstColumn="0" w:lastRowLastColumn="0"/>
          <w:trHeight w:val="2294"/>
        </w:trPr>
        <w:tc>
          <w:tcPr>
            <w:cnfStyle w:val="001000000000" w:firstRow="0" w:lastRow="0" w:firstColumn="1" w:lastColumn="0" w:oddVBand="0" w:evenVBand="0" w:oddHBand="0" w:evenHBand="0" w:firstRowFirstColumn="0" w:firstRowLastColumn="0" w:lastRowFirstColumn="0" w:lastRowLastColumn="0"/>
            <w:tcW w:w="3403" w:type="dxa"/>
            <w:shd w:val="clear" w:color="auto" w:fill="FFFFFF" w:themeFill="background1"/>
          </w:tcPr>
          <w:p w:rsidR="001A7048" w:rsidRPr="0000654A" w:rsidRDefault="001A7048" w:rsidP="001A7048">
            <w:pPr>
              <w:rPr>
                <w:rFonts w:ascii="Calibri" w:eastAsia="Calibri" w:hAnsi="Calibri"/>
              </w:rPr>
            </w:pPr>
            <w:r w:rsidRPr="0000654A">
              <w:rPr>
                <w:rFonts w:ascii="Calibri" w:eastAsia="Calibri" w:hAnsi="Calibri"/>
              </w:rPr>
              <w:t>Pedestrian riding/using wheeled recreational device or wheeled toy (in-line skates, roller skates, skateboards, scooter, unicycle, child’s pedal car, scooter, tricycle etc).</w:t>
            </w:r>
          </w:p>
        </w:tc>
        <w:tc>
          <w:tcPr>
            <w:tcW w:w="3118" w:type="dxa"/>
            <w:shd w:val="clear" w:color="auto" w:fill="FFFFFF" w:themeFill="background1"/>
          </w:tcPr>
          <w:p w:rsidR="001A7048" w:rsidRPr="0000654A" w:rsidRDefault="001A7048" w:rsidP="001A7048">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00654A">
              <w:rPr>
                <w:rFonts w:ascii="Calibri" w:eastAsia="Calibri" w:hAnsi="Calibri"/>
              </w:rPr>
              <w:t xml:space="preserve">Yes, unless sign posted otherwise, not on roads with dividing line or median strip, speed limit greater than 50km/h or </w:t>
            </w:r>
            <w:proofErr w:type="gramStart"/>
            <w:r w:rsidRPr="0000654A">
              <w:rPr>
                <w:rFonts w:ascii="Calibri" w:eastAsia="Calibri" w:hAnsi="Calibri"/>
              </w:rPr>
              <w:t>one way</w:t>
            </w:r>
            <w:proofErr w:type="gramEnd"/>
            <w:r w:rsidRPr="0000654A">
              <w:rPr>
                <w:rFonts w:ascii="Calibri" w:eastAsia="Calibri" w:hAnsi="Calibri"/>
              </w:rPr>
              <w:t xml:space="preserve"> road with more than one marked lane, and not at night</w:t>
            </w:r>
          </w:p>
        </w:tc>
        <w:tc>
          <w:tcPr>
            <w:tcW w:w="3544" w:type="dxa"/>
            <w:shd w:val="clear" w:color="auto" w:fill="FFFFFF" w:themeFill="background1"/>
          </w:tcPr>
          <w:p w:rsidR="001A7048" w:rsidRPr="0000654A" w:rsidRDefault="001A7048" w:rsidP="001A7048">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00654A">
              <w:rPr>
                <w:rFonts w:ascii="Calibri" w:eastAsia="Calibri" w:hAnsi="Calibri"/>
              </w:rPr>
              <w:t>Yes, keeping as far to the left side of the road as practicable, must not travel alongside more than 1 other pedestrian or vehicle travelling in the same direction unless overtaking the pedestrians and must not be attached to another vehicle</w:t>
            </w:r>
          </w:p>
        </w:tc>
        <w:tc>
          <w:tcPr>
            <w:tcW w:w="3544" w:type="dxa"/>
            <w:shd w:val="clear" w:color="auto" w:fill="FFFFFF" w:themeFill="background1"/>
          </w:tcPr>
          <w:p w:rsidR="001A7048" w:rsidRPr="0000654A" w:rsidRDefault="001A7048" w:rsidP="001A7048">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00654A">
              <w:rPr>
                <w:rFonts w:ascii="Calibri" w:eastAsia="Calibri" w:hAnsi="Calibri"/>
              </w:rPr>
              <w:t>Yes, at crossings or more than 20m from a crossing.  If crossing at crossing, must obey crossing rules including any pedestrian lights.  If crossing away from crossing, pedestrian must give way to vehicles travelling along road</w:t>
            </w:r>
          </w:p>
        </w:tc>
        <w:tc>
          <w:tcPr>
            <w:tcW w:w="2693" w:type="dxa"/>
            <w:shd w:val="clear" w:color="auto" w:fill="FFFFFF" w:themeFill="background1"/>
          </w:tcPr>
          <w:p w:rsidR="001A7048" w:rsidRPr="0000654A" w:rsidRDefault="001A7048" w:rsidP="001A7048">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00654A">
              <w:rPr>
                <w:rFonts w:ascii="Calibri" w:eastAsia="Calibri" w:hAnsi="Calibri"/>
              </w:rPr>
              <w:t>Yes, but must keep to the left unless impracticable to do so and must give way to pedestrians other than another pedestrian using a wheeled recreational device/wheeled toy</w:t>
            </w:r>
          </w:p>
        </w:tc>
        <w:tc>
          <w:tcPr>
            <w:tcW w:w="2555" w:type="dxa"/>
            <w:shd w:val="clear" w:color="auto" w:fill="FFFFFF" w:themeFill="background1"/>
          </w:tcPr>
          <w:p w:rsidR="001A7048" w:rsidRPr="0000654A" w:rsidRDefault="001A7048" w:rsidP="001A7048">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00654A">
              <w:rPr>
                <w:rFonts w:ascii="Calibri" w:eastAsia="Calibri" w:hAnsi="Calibri"/>
              </w:rPr>
              <w:t>Yes, but must keep to the left unless impracticable to do so and must give way to pedestrians other than another pedestrian using a wheeled recreational device/wheeled toy</w:t>
            </w:r>
          </w:p>
        </w:tc>
        <w:tc>
          <w:tcPr>
            <w:tcW w:w="1417" w:type="dxa"/>
            <w:shd w:val="clear" w:color="auto" w:fill="FFFFFF" w:themeFill="background1"/>
          </w:tcPr>
          <w:p w:rsidR="001A7048" w:rsidRPr="0000654A" w:rsidRDefault="001A7048" w:rsidP="001A7048">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00654A">
              <w:rPr>
                <w:rFonts w:ascii="Calibri" w:eastAsia="Calibri" w:hAnsi="Calibri"/>
              </w:rPr>
              <w:t>Yes, but must keep out of the way of bicycles</w:t>
            </w:r>
          </w:p>
        </w:tc>
        <w:tc>
          <w:tcPr>
            <w:tcW w:w="2548" w:type="dxa"/>
            <w:shd w:val="clear" w:color="auto" w:fill="FFFFFF" w:themeFill="background1"/>
          </w:tcPr>
          <w:p w:rsidR="001A7048" w:rsidRPr="0000654A" w:rsidRDefault="001A7048" w:rsidP="001A7048">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00654A">
              <w:rPr>
                <w:rFonts w:ascii="Calibri" w:eastAsia="Calibri" w:hAnsi="Calibri"/>
              </w:rPr>
              <w:t>Yes, on the bicycle side.  May cross the pedestrian side by the shortest route.  When on the bicycle side must keep out of the way of bicycles.</w:t>
            </w:r>
          </w:p>
        </w:tc>
      </w:tr>
      <w:tr w:rsidR="001A7048" w:rsidRPr="0000654A" w:rsidTr="001A7048">
        <w:trPr>
          <w:trHeight w:val="2256"/>
        </w:trPr>
        <w:tc>
          <w:tcPr>
            <w:cnfStyle w:val="001000000000" w:firstRow="0" w:lastRow="0" w:firstColumn="1" w:lastColumn="0" w:oddVBand="0" w:evenVBand="0" w:oddHBand="0" w:evenHBand="0" w:firstRowFirstColumn="0" w:firstRowLastColumn="0" w:lastRowFirstColumn="0" w:lastRowLastColumn="0"/>
            <w:tcW w:w="3403" w:type="dxa"/>
            <w:shd w:val="clear" w:color="auto" w:fill="D9D9D9" w:themeFill="background1" w:themeFillShade="D9"/>
          </w:tcPr>
          <w:p w:rsidR="001A7048" w:rsidRPr="0000654A" w:rsidRDefault="001A7048" w:rsidP="001A7048">
            <w:pPr>
              <w:rPr>
                <w:rFonts w:ascii="Calibri" w:eastAsia="Calibri" w:hAnsi="Calibri"/>
              </w:rPr>
            </w:pPr>
            <w:r w:rsidRPr="0000654A">
              <w:rPr>
                <w:rFonts w:ascii="Calibri" w:eastAsia="Calibri" w:hAnsi="Calibri"/>
              </w:rPr>
              <w:t>Personal Mobility Device (</w:t>
            </w:r>
            <w:proofErr w:type="spellStart"/>
            <w:r w:rsidRPr="0000654A">
              <w:rPr>
                <w:rFonts w:ascii="Calibri" w:eastAsia="Calibri" w:hAnsi="Calibri"/>
              </w:rPr>
              <w:t>Segways</w:t>
            </w:r>
            <w:proofErr w:type="spellEnd"/>
            <w:r w:rsidRPr="0000654A">
              <w:rPr>
                <w:rFonts w:ascii="Calibri" w:eastAsia="Calibri" w:hAnsi="Calibri"/>
              </w:rPr>
              <w:t xml:space="preserve"> and Segway like devices)</w:t>
            </w:r>
          </w:p>
        </w:tc>
        <w:tc>
          <w:tcPr>
            <w:tcW w:w="3118" w:type="dxa"/>
            <w:shd w:val="clear" w:color="auto" w:fill="D9D9D9" w:themeFill="background1" w:themeFillShade="D9"/>
          </w:tcPr>
          <w:p w:rsidR="001A7048" w:rsidRPr="0000654A" w:rsidRDefault="001A7048" w:rsidP="001A7048">
            <w:pPr>
              <w:cnfStyle w:val="000000000000" w:firstRow="0" w:lastRow="0" w:firstColumn="0" w:lastColumn="0" w:oddVBand="0" w:evenVBand="0" w:oddHBand="0" w:evenHBand="0" w:firstRowFirstColumn="0" w:firstRowLastColumn="0" w:lastRowFirstColumn="0" w:lastRowLastColumn="0"/>
              <w:rPr>
                <w:rFonts w:ascii="Calibri" w:eastAsia="Calibri" w:hAnsi="Calibri"/>
              </w:rPr>
            </w:pPr>
            <w:r w:rsidRPr="0000654A">
              <w:rPr>
                <w:rFonts w:ascii="Calibri" w:eastAsia="Calibri" w:hAnsi="Calibri"/>
              </w:rPr>
              <w:t>No, unless impracticable to use footpath or nature strip adjacent to road</w:t>
            </w:r>
          </w:p>
        </w:tc>
        <w:tc>
          <w:tcPr>
            <w:tcW w:w="3544" w:type="dxa"/>
            <w:shd w:val="clear" w:color="auto" w:fill="D9D9D9" w:themeFill="background1" w:themeFillShade="D9"/>
          </w:tcPr>
          <w:p w:rsidR="001A7048" w:rsidRPr="0000654A" w:rsidRDefault="001A7048" w:rsidP="001A7048">
            <w:pPr>
              <w:cnfStyle w:val="000000000000" w:firstRow="0" w:lastRow="0" w:firstColumn="0" w:lastColumn="0" w:oddVBand="0" w:evenVBand="0" w:oddHBand="0" w:evenHBand="0" w:firstRowFirstColumn="0" w:firstRowLastColumn="0" w:lastRowFirstColumn="0" w:lastRowLastColumn="0"/>
              <w:rPr>
                <w:rFonts w:ascii="Calibri" w:eastAsia="Calibri" w:hAnsi="Calibri"/>
              </w:rPr>
            </w:pPr>
            <w:r w:rsidRPr="0000654A">
              <w:rPr>
                <w:rFonts w:ascii="Calibri" w:eastAsia="Calibri" w:hAnsi="Calibri"/>
              </w:rPr>
              <w:t>Yes, if no footpath or nature strip that can be used, must travel as far to the left as practicable and face in same direction of traffic travelling in same direction, and not be alongside more than one other pedestrian or vehicle unless overtaking other pedestrians</w:t>
            </w:r>
          </w:p>
        </w:tc>
        <w:tc>
          <w:tcPr>
            <w:tcW w:w="3544" w:type="dxa"/>
            <w:shd w:val="clear" w:color="auto" w:fill="D9D9D9" w:themeFill="background1" w:themeFillShade="D9"/>
          </w:tcPr>
          <w:p w:rsidR="001A7048" w:rsidRPr="0000654A" w:rsidRDefault="001A7048" w:rsidP="001A7048">
            <w:pPr>
              <w:cnfStyle w:val="000000000000" w:firstRow="0" w:lastRow="0" w:firstColumn="0" w:lastColumn="0" w:oddVBand="0" w:evenVBand="0" w:oddHBand="0" w:evenHBand="0" w:firstRowFirstColumn="0" w:firstRowLastColumn="0" w:lastRowFirstColumn="0" w:lastRowLastColumn="0"/>
              <w:rPr>
                <w:rFonts w:ascii="Calibri" w:eastAsia="Calibri" w:hAnsi="Calibri"/>
              </w:rPr>
            </w:pPr>
            <w:r w:rsidRPr="0000654A">
              <w:rPr>
                <w:rFonts w:ascii="Calibri" w:eastAsia="Calibri" w:hAnsi="Calibri"/>
              </w:rPr>
              <w:t>Yes, must slow to 10km/h, keep left and give way to pedestrians, must obey bicycle crossing lights or pedestrian crossing lights if there are no bicycle crossing lights</w:t>
            </w:r>
          </w:p>
        </w:tc>
        <w:tc>
          <w:tcPr>
            <w:tcW w:w="2693" w:type="dxa"/>
            <w:shd w:val="clear" w:color="auto" w:fill="D9D9D9" w:themeFill="background1" w:themeFillShade="D9"/>
          </w:tcPr>
          <w:p w:rsidR="001A7048" w:rsidRPr="0000654A" w:rsidRDefault="001A7048" w:rsidP="001A7048">
            <w:pPr>
              <w:cnfStyle w:val="000000000000" w:firstRow="0" w:lastRow="0" w:firstColumn="0" w:lastColumn="0" w:oddVBand="0" w:evenVBand="0" w:oddHBand="0" w:evenHBand="0" w:firstRowFirstColumn="0" w:firstRowLastColumn="0" w:lastRowFirstColumn="0" w:lastRowLastColumn="0"/>
              <w:rPr>
                <w:rFonts w:ascii="Calibri" w:eastAsia="Calibri" w:hAnsi="Calibri"/>
              </w:rPr>
            </w:pPr>
            <w:r w:rsidRPr="0000654A">
              <w:rPr>
                <w:rFonts w:ascii="Calibri" w:eastAsia="Calibri" w:hAnsi="Calibri"/>
              </w:rPr>
              <w:t>Yes, but must keep to the left unless impracticable to do so and must give way to pedestrians other than another user of a personal mobility device</w:t>
            </w:r>
          </w:p>
        </w:tc>
        <w:tc>
          <w:tcPr>
            <w:tcW w:w="2555" w:type="dxa"/>
            <w:shd w:val="clear" w:color="auto" w:fill="D9D9D9" w:themeFill="background1" w:themeFillShade="D9"/>
          </w:tcPr>
          <w:p w:rsidR="001A7048" w:rsidRPr="0000654A" w:rsidRDefault="001A7048" w:rsidP="001A7048">
            <w:pPr>
              <w:cnfStyle w:val="000000000000" w:firstRow="0" w:lastRow="0" w:firstColumn="0" w:lastColumn="0" w:oddVBand="0" w:evenVBand="0" w:oddHBand="0" w:evenHBand="0" w:firstRowFirstColumn="0" w:firstRowLastColumn="0" w:lastRowFirstColumn="0" w:lastRowLastColumn="0"/>
              <w:rPr>
                <w:rFonts w:ascii="Calibri" w:eastAsia="Calibri" w:hAnsi="Calibri"/>
              </w:rPr>
            </w:pPr>
            <w:r w:rsidRPr="0000654A">
              <w:rPr>
                <w:rFonts w:ascii="Calibri" w:eastAsia="Calibri" w:hAnsi="Calibri"/>
              </w:rPr>
              <w:t>Yes, but must keep to the left unless impracticable to do so and must give way to pedestrians other than another user of a personal mobility device</w:t>
            </w:r>
          </w:p>
        </w:tc>
        <w:tc>
          <w:tcPr>
            <w:tcW w:w="1417" w:type="dxa"/>
            <w:shd w:val="clear" w:color="auto" w:fill="D9D9D9" w:themeFill="background1" w:themeFillShade="D9"/>
          </w:tcPr>
          <w:p w:rsidR="001A7048" w:rsidRPr="0000654A" w:rsidRDefault="001A7048" w:rsidP="001A7048">
            <w:pPr>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2548" w:type="dxa"/>
            <w:shd w:val="clear" w:color="auto" w:fill="D9D9D9" w:themeFill="background1" w:themeFillShade="D9"/>
          </w:tcPr>
          <w:p w:rsidR="001A7048" w:rsidRPr="0000654A" w:rsidRDefault="001A7048" w:rsidP="001A7048">
            <w:pPr>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1A7048" w:rsidRPr="0000654A" w:rsidTr="001A7048">
        <w:trPr>
          <w:cnfStyle w:val="000000100000" w:firstRow="0" w:lastRow="0" w:firstColumn="0" w:lastColumn="0" w:oddVBand="0" w:evenVBand="0" w:oddHBand="1" w:evenHBand="0" w:firstRowFirstColumn="0" w:firstRowLastColumn="0" w:lastRowFirstColumn="0" w:lastRowLastColumn="0"/>
          <w:trHeight w:val="1540"/>
        </w:trPr>
        <w:tc>
          <w:tcPr>
            <w:cnfStyle w:val="001000000000" w:firstRow="0" w:lastRow="0" w:firstColumn="1" w:lastColumn="0" w:oddVBand="0" w:evenVBand="0" w:oddHBand="0" w:evenHBand="0" w:firstRowFirstColumn="0" w:firstRowLastColumn="0" w:lastRowFirstColumn="0" w:lastRowLastColumn="0"/>
            <w:tcW w:w="3403" w:type="dxa"/>
            <w:shd w:val="clear" w:color="auto" w:fill="FFFFFF" w:themeFill="background1"/>
          </w:tcPr>
          <w:p w:rsidR="001A7048" w:rsidRPr="0000654A" w:rsidRDefault="001A7048" w:rsidP="001A7048">
            <w:pPr>
              <w:rPr>
                <w:rFonts w:ascii="Calibri" w:eastAsia="Calibri" w:hAnsi="Calibri"/>
              </w:rPr>
            </w:pPr>
            <w:r w:rsidRPr="0000654A">
              <w:rPr>
                <w:rFonts w:ascii="Calibri" w:eastAsia="Calibri" w:hAnsi="Calibri"/>
              </w:rPr>
              <w:t xml:space="preserve">Bicycle (including power assisted pedal cycle and </w:t>
            </w:r>
            <w:proofErr w:type="spellStart"/>
            <w:r w:rsidRPr="0000654A">
              <w:rPr>
                <w:rFonts w:ascii="Calibri" w:eastAsia="Calibri" w:hAnsi="Calibri"/>
              </w:rPr>
              <w:t>pedalec</w:t>
            </w:r>
            <w:proofErr w:type="spellEnd"/>
            <w:r w:rsidRPr="0000654A">
              <w:rPr>
                <w:rFonts w:ascii="Calibri" w:eastAsia="Calibri" w:hAnsi="Calibri"/>
              </w:rPr>
              <w:t>)</w:t>
            </w:r>
          </w:p>
        </w:tc>
        <w:tc>
          <w:tcPr>
            <w:tcW w:w="3118" w:type="dxa"/>
            <w:shd w:val="clear" w:color="auto" w:fill="FFFFFF" w:themeFill="background1"/>
          </w:tcPr>
          <w:p w:rsidR="001A7048" w:rsidRPr="0000654A" w:rsidRDefault="001A7048" w:rsidP="001A7048">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00654A">
              <w:rPr>
                <w:rFonts w:ascii="Calibri" w:eastAsia="Calibri" w:hAnsi="Calibri"/>
              </w:rPr>
              <w:t>Yes</w:t>
            </w:r>
          </w:p>
        </w:tc>
        <w:tc>
          <w:tcPr>
            <w:tcW w:w="3544" w:type="dxa"/>
            <w:shd w:val="clear" w:color="auto" w:fill="FFFFFF" w:themeFill="background1"/>
          </w:tcPr>
          <w:p w:rsidR="001A7048" w:rsidRPr="0000654A" w:rsidRDefault="001A7048" w:rsidP="001A7048">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00654A">
              <w:rPr>
                <w:rFonts w:ascii="Calibri" w:eastAsia="Calibri" w:hAnsi="Calibri"/>
              </w:rPr>
              <w:t>Yes, travelling in direction of traffic, in bicycle lane if there is one, and must not cause a traffic hazard by moving into the path of another vehicle or pedestrian</w:t>
            </w:r>
          </w:p>
        </w:tc>
        <w:tc>
          <w:tcPr>
            <w:tcW w:w="3544" w:type="dxa"/>
            <w:shd w:val="clear" w:color="auto" w:fill="FFFFFF" w:themeFill="background1"/>
          </w:tcPr>
          <w:p w:rsidR="001A7048" w:rsidRPr="0000654A" w:rsidRDefault="001A7048" w:rsidP="001A7048">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00654A">
              <w:rPr>
                <w:rFonts w:ascii="Calibri" w:eastAsia="Calibri" w:hAnsi="Calibri"/>
              </w:rPr>
              <w:t>Yes, must slow to 10km/h, keep left and give way to pedestrians, must obey bicycle crossing lights or pedestrian crossing lights if there are no bicycle crossing lights</w:t>
            </w:r>
          </w:p>
        </w:tc>
        <w:tc>
          <w:tcPr>
            <w:tcW w:w="2693" w:type="dxa"/>
            <w:shd w:val="clear" w:color="auto" w:fill="FFFFFF" w:themeFill="background1"/>
          </w:tcPr>
          <w:p w:rsidR="001A7048" w:rsidRPr="0000654A" w:rsidRDefault="001A7048" w:rsidP="001A7048">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00654A">
              <w:rPr>
                <w:rFonts w:ascii="Calibri" w:eastAsia="Calibri" w:hAnsi="Calibri"/>
              </w:rPr>
              <w:t>Yes, must give way to pedestrians, and keep to the left of oncoming bicycles</w:t>
            </w:r>
          </w:p>
        </w:tc>
        <w:tc>
          <w:tcPr>
            <w:tcW w:w="2555" w:type="dxa"/>
            <w:shd w:val="clear" w:color="auto" w:fill="FFFFFF" w:themeFill="background1"/>
          </w:tcPr>
          <w:p w:rsidR="001A7048" w:rsidRPr="0000654A" w:rsidRDefault="001A7048" w:rsidP="001A7048">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00654A">
              <w:rPr>
                <w:rFonts w:ascii="Calibri" w:eastAsia="Calibri" w:hAnsi="Calibri"/>
              </w:rPr>
              <w:t>Yes, must give way to pedestrians, and keep to the left of oncoming bicycles</w:t>
            </w:r>
          </w:p>
        </w:tc>
        <w:tc>
          <w:tcPr>
            <w:tcW w:w="1417" w:type="dxa"/>
            <w:shd w:val="clear" w:color="auto" w:fill="FFFFFF" w:themeFill="background1"/>
          </w:tcPr>
          <w:p w:rsidR="001A7048" w:rsidRPr="0000654A" w:rsidRDefault="001A7048" w:rsidP="001A7048">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00654A">
              <w:rPr>
                <w:rFonts w:ascii="Calibri" w:eastAsia="Calibri" w:hAnsi="Calibri"/>
              </w:rPr>
              <w:t>Yes, keeping to the left of oncoming bicycles</w:t>
            </w:r>
          </w:p>
        </w:tc>
        <w:tc>
          <w:tcPr>
            <w:tcW w:w="2548" w:type="dxa"/>
            <w:shd w:val="clear" w:color="auto" w:fill="FFFFFF" w:themeFill="background1"/>
          </w:tcPr>
          <w:p w:rsidR="001A7048" w:rsidRPr="0000654A" w:rsidRDefault="001A7048" w:rsidP="001A7048">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00654A">
              <w:rPr>
                <w:rFonts w:ascii="Calibri" w:eastAsia="Calibri" w:hAnsi="Calibri"/>
              </w:rPr>
              <w:t>Yes, on bicycle side only, keeping to the left of oncoming bicycles</w:t>
            </w:r>
          </w:p>
        </w:tc>
      </w:tr>
      <w:tr w:rsidR="001A7048" w:rsidRPr="0000654A" w:rsidTr="001A7048">
        <w:trPr>
          <w:trHeight w:val="964"/>
        </w:trPr>
        <w:tc>
          <w:tcPr>
            <w:cnfStyle w:val="001000000000" w:firstRow="0" w:lastRow="0" w:firstColumn="1" w:lastColumn="0" w:oddVBand="0" w:evenVBand="0" w:oddHBand="0" w:evenHBand="0" w:firstRowFirstColumn="0" w:firstRowLastColumn="0" w:lastRowFirstColumn="0" w:lastRowLastColumn="0"/>
            <w:tcW w:w="3403" w:type="dxa"/>
            <w:shd w:val="clear" w:color="auto" w:fill="D9D9D9" w:themeFill="background1" w:themeFillShade="D9"/>
          </w:tcPr>
          <w:p w:rsidR="001A7048" w:rsidRPr="0000654A" w:rsidRDefault="001A7048" w:rsidP="001A7048">
            <w:pPr>
              <w:rPr>
                <w:rFonts w:ascii="Calibri" w:eastAsia="Calibri" w:hAnsi="Calibri"/>
              </w:rPr>
            </w:pPr>
            <w:r>
              <w:rPr>
                <w:rFonts w:ascii="Calibri" w:eastAsia="Calibri" w:hAnsi="Calibri"/>
              </w:rPr>
              <w:t>E-</w:t>
            </w:r>
            <w:r w:rsidRPr="0000654A">
              <w:rPr>
                <w:rFonts w:ascii="Calibri" w:eastAsia="Calibri" w:hAnsi="Calibri"/>
              </w:rPr>
              <w:t>scooter (internal combustion engine or electric motor)</w:t>
            </w:r>
          </w:p>
        </w:tc>
        <w:tc>
          <w:tcPr>
            <w:tcW w:w="3118" w:type="dxa"/>
            <w:shd w:val="clear" w:color="auto" w:fill="D9D9D9" w:themeFill="background1" w:themeFillShade="D9"/>
          </w:tcPr>
          <w:p w:rsidR="001A7048" w:rsidRPr="0000654A" w:rsidRDefault="001A7048" w:rsidP="001A7048">
            <w:pPr>
              <w:cnfStyle w:val="000000000000" w:firstRow="0" w:lastRow="0" w:firstColumn="0" w:lastColumn="0" w:oddVBand="0" w:evenVBand="0" w:oddHBand="0" w:evenHBand="0" w:firstRowFirstColumn="0" w:firstRowLastColumn="0" w:lastRowFirstColumn="0" w:lastRowLastColumn="0"/>
              <w:rPr>
                <w:rFonts w:ascii="Calibri" w:eastAsia="Calibri" w:hAnsi="Calibri"/>
              </w:rPr>
            </w:pPr>
            <w:r w:rsidRPr="0000654A">
              <w:rPr>
                <w:rFonts w:ascii="Calibri" w:eastAsia="Calibri" w:hAnsi="Calibri"/>
              </w:rPr>
              <w:t>No</w:t>
            </w:r>
          </w:p>
        </w:tc>
        <w:tc>
          <w:tcPr>
            <w:tcW w:w="3544" w:type="dxa"/>
            <w:shd w:val="clear" w:color="auto" w:fill="D9D9D9" w:themeFill="background1" w:themeFillShade="D9"/>
          </w:tcPr>
          <w:p w:rsidR="001A7048" w:rsidRPr="0000654A" w:rsidRDefault="001A7048" w:rsidP="001A7048">
            <w:pPr>
              <w:cnfStyle w:val="000000000000" w:firstRow="0" w:lastRow="0" w:firstColumn="0" w:lastColumn="0" w:oddVBand="0" w:evenVBand="0" w:oddHBand="0" w:evenHBand="0" w:firstRowFirstColumn="0" w:firstRowLastColumn="0" w:lastRowFirstColumn="0" w:lastRowLastColumn="0"/>
              <w:rPr>
                <w:rFonts w:ascii="Calibri" w:eastAsia="Calibri" w:hAnsi="Calibri"/>
              </w:rPr>
            </w:pPr>
            <w:r w:rsidRPr="0000654A">
              <w:rPr>
                <w:rFonts w:ascii="Calibri" w:eastAsia="Calibri" w:hAnsi="Calibri"/>
              </w:rPr>
              <w:t>No</w:t>
            </w:r>
          </w:p>
        </w:tc>
        <w:tc>
          <w:tcPr>
            <w:tcW w:w="3544" w:type="dxa"/>
            <w:shd w:val="clear" w:color="auto" w:fill="D9D9D9" w:themeFill="background1" w:themeFillShade="D9"/>
          </w:tcPr>
          <w:p w:rsidR="001A7048" w:rsidRPr="0000654A" w:rsidRDefault="001A7048" w:rsidP="001A7048">
            <w:pPr>
              <w:cnfStyle w:val="000000000000" w:firstRow="0" w:lastRow="0" w:firstColumn="0" w:lastColumn="0" w:oddVBand="0" w:evenVBand="0" w:oddHBand="0" w:evenHBand="0" w:firstRowFirstColumn="0" w:firstRowLastColumn="0" w:lastRowFirstColumn="0" w:lastRowLastColumn="0"/>
              <w:rPr>
                <w:rFonts w:ascii="Calibri" w:eastAsia="Calibri" w:hAnsi="Calibri"/>
              </w:rPr>
            </w:pPr>
            <w:r w:rsidRPr="0000654A">
              <w:rPr>
                <w:rFonts w:ascii="Calibri" w:eastAsia="Calibri" w:hAnsi="Calibri"/>
              </w:rPr>
              <w:t>No</w:t>
            </w:r>
          </w:p>
        </w:tc>
        <w:tc>
          <w:tcPr>
            <w:tcW w:w="2693" w:type="dxa"/>
            <w:shd w:val="clear" w:color="auto" w:fill="D9D9D9" w:themeFill="background1" w:themeFillShade="D9"/>
          </w:tcPr>
          <w:p w:rsidR="001A7048" w:rsidRPr="0000654A" w:rsidRDefault="001A7048" w:rsidP="001A7048">
            <w:pPr>
              <w:cnfStyle w:val="000000000000" w:firstRow="0" w:lastRow="0" w:firstColumn="0" w:lastColumn="0" w:oddVBand="0" w:evenVBand="0" w:oddHBand="0" w:evenHBand="0" w:firstRowFirstColumn="0" w:firstRowLastColumn="0" w:lastRowFirstColumn="0" w:lastRowLastColumn="0"/>
              <w:rPr>
                <w:rFonts w:ascii="Calibri" w:eastAsia="Calibri" w:hAnsi="Calibri"/>
              </w:rPr>
            </w:pPr>
            <w:r w:rsidRPr="0000654A">
              <w:rPr>
                <w:rFonts w:ascii="Calibri" w:eastAsia="Calibri" w:hAnsi="Calibri"/>
              </w:rPr>
              <w:t>No</w:t>
            </w:r>
          </w:p>
        </w:tc>
        <w:tc>
          <w:tcPr>
            <w:tcW w:w="2555" w:type="dxa"/>
            <w:shd w:val="clear" w:color="auto" w:fill="D9D9D9" w:themeFill="background1" w:themeFillShade="D9"/>
          </w:tcPr>
          <w:p w:rsidR="001A7048" w:rsidRPr="0000654A" w:rsidRDefault="001A7048" w:rsidP="001A7048">
            <w:pPr>
              <w:cnfStyle w:val="000000000000" w:firstRow="0" w:lastRow="0" w:firstColumn="0" w:lastColumn="0" w:oddVBand="0" w:evenVBand="0" w:oddHBand="0" w:evenHBand="0" w:firstRowFirstColumn="0" w:firstRowLastColumn="0" w:lastRowFirstColumn="0" w:lastRowLastColumn="0"/>
              <w:rPr>
                <w:rFonts w:ascii="Calibri" w:eastAsia="Calibri" w:hAnsi="Calibri"/>
              </w:rPr>
            </w:pPr>
            <w:r w:rsidRPr="0000654A">
              <w:rPr>
                <w:rFonts w:ascii="Calibri" w:eastAsia="Calibri" w:hAnsi="Calibri"/>
              </w:rPr>
              <w:t>No</w:t>
            </w:r>
          </w:p>
        </w:tc>
        <w:tc>
          <w:tcPr>
            <w:tcW w:w="1417" w:type="dxa"/>
            <w:shd w:val="clear" w:color="auto" w:fill="D9D9D9" w:themeFill="background1" w:themeFillShade="D9"/>
          </w:tcPr>
          <w:p w:rsidR="001A7048" w:rsidRPr="0000654A" w:rsidRDefault="001A7048" w:rsidP="001A7048">
            <w:pPr>
              <w:cnfStyle w:val="000000000000" w:firstRow="0" w:lastRow="0" w:firstColumn="0" w:lastColumn="0" w:oddVBand="0" w:evenVBand="0" w:oddHBand="0" w:evenHBand="0" w:firstRowFirstColumn="0" w:firstRowLastColumn="0" w:lastRowFirstColumn="0" w:lastRowLastColumn="0"/>
              <w:rPr>
                <w:rFonts w:ascii="Calibri" w:eastAsia="Calibri" w:hAnsi="Calibri"/>
              </w:rPr>
            </w:pPr>
            <w:r w:rsidRPr="0000654A">
              <w:rPr>
                <w:rFonts w:ascii="Calibri" w:eastAsia="Calibri" w:hAnsi="Calibri"/>
              </w:rPr>
              <w:t>No</w:t>
            </w:r>
          </w:p>
        </w:tc>
        <w:tc>
          <w:tcPr>
            <w:tcW w:w="2548" w:type="dxa"/>
            <w:shd w:val="clear" w:color="auto" w:fill="D9D9D9" w:themeFill="background1" w:themeFillShade="D9"/>
          </w:tcPr>
          <w:p w:rsidR="001A7048" w:rsidRPr="0000654A" w:rsidRDefault="001A7048" w:rsidP="001A7048">
            <w:pPr>
              <w:cnfStyle w:val="000000000000" w:firstRow="0" w:lastRow="0" w:firstColumn="0" w:lastColumn="0" w:oddVBand="0" w:evenVBand="0" w:oddHBand="0" w:evenHBand="0" w:firstRowFirstColumn="0" w:firstRowLastColumn="0" w:lastRowFirstColumn="0" w:lastRowLastColumn="0"/>
              <w:rPr>
                <w:rFonts w:ascii="Calibri" w:eastAsia="Calibri" w:hAnsi="Calibri"/>
              </w:rPr>
            </w:pPr>
            <w:r w:rsidRPr="0000654A">
              <w:rPr>
                <w:rFonts w:ascii="Calibri" w:eastAsia="Calibri" w:hAnsi="Calibri"/>
              </w:rPr>
              <w:t>No</w:t>
            </w:r>
          </w:p>
        </w:tc>
      </w:tr>
    </w:tbl>
    <w:p w:rsidR="000A5AFE" w:rsidRDefault="00F61492" w:rsidP="00B63D1B">
      <w:pPr>
        <w:pStyle w:val="Heading2"/>
        <w:rPr>
          <w:b w:val="0"/>
          <w:sz w:val="18"/>
          <w:szCs w:val="18"/>
          <w:u w:val="single"/>
        </w:rPr>
      </w:pPr>
      <w:r w:rsidRPr="009562A9">
        <w:t>APPENDIX C – CURRENT FRAMEWORK FOR ROAD/ROAD RELATED AREA USE IN THE ACT</w:t>
      </w:r>
      <w:bookmarkEnd w:id="13"/>
    </w:p>
    <w:p w:rsidR="000A5AFE" w:rsidRDefault="00F61492" w:rsidP="000A5AFE">
      <w:pPr>
        <w:spacing w:after="0" w:line="240" w:lineRule="auto"/>
        <w:rPr>
          <w:sz w:val="18"/>
          <w:szCs w:val="18"/>
        </w:rPr>
      </w:pPr>
      <w:r w:rsidRPr="000A5AFE">
        <w:rPr>
          <w:b/>
          <w:sz w:val="18"/>
          <w:szCs w:val="18"/>
          <w:u w:val="single"/>
        </w:rPr>
        <w:t>Note 1:</w:t>
      </w:r>
      <w:r w:rsidRPr="000A5AFE">
        <w:rPr>
          <w:sz w:val="18"/>
          <w:szCs w:val="18"/>
        </w:rPr>
        <w:t xml:space="preserve"> While the above briefly indicates where a person may or may not travel, there are significant numbers of rules prescribing behaviour while on roads and road related areas. These rules are </w:t>
      </w:r>
      <w:proofErr w:type="gramStart"/>
      <w:r w:rsidRPr="000A5AFE">
        <w:rPr>
          <w:sz w:val="18"/>
          <w:szCs w:val="18"/>
        </w:rPr>
        <w:t>comprehensive</w:t>
      </w:r>
      <w:proofErr w:type="gramEnd"/>
      <w:r w:rsidRPr="000A5AFE">
        <w:rPr>
          <w:sz w:val="18"/>
          <w:szCs w:val="18"/>
        </w:rPr>
        <w:t xml:space="preserve"> and the above brief description is not meant to indicate that other rules do not apply in all or certain circumstances.</w:t>
      </w:r>
      <w:r w:rsidR="000A5AFE">
        <w:rPr>
          <w:sz w:val="18"/>
          <w:szCs w:val="18"/>
        </w:rPr>
        <w:t xml:space="preserve"> </w:t>
      </w:r>
    </w:p>
    <w:p w:rsidR="000A5AFE" w:rsidRPr="000A5AFE" w:rsidRDefault="000A5AFE" w:rsidP="000A5AFE">
      <w:pPr>
        <w:spacing w:after="0" w:line="240" w:lineRule="auto"/>
        <w:rPr>
          <w:sz w:val="18"/>
          <w:szCs w:val="18"/>
        </w:rPr>
      </w:pPr>
      <w:r w:rsidRPr="000A5AFE">
        <w:rPr>
          <w:b/>
          <w:sz w:val="18"/>
          <w:szCs w:val="18"/>
          <w:u w:val="single"/>
        </w:rPr>
        <w:t>Note 2:</w:t>
      </w:r>
      <w:r w:rsidRPr="000A5AFE">
        <w:rPr>
          <w:sz w:val="18"/>
          <w:szCs w:val="18"/>
        </w:rPr>
        <w:t xml:space="preserve"> Any of the above devices that has a motor or motors (internal combustion, electric, fuel cell etc) attached, other than a motorised wheelchair, motorised mobility devices, personal mobility devices and bicycles, are considered to be a motor vehicle of one type or another and are not permitted to be used on roads or road related areas in the ACT where the road transport legislation applies unless registered and covered by an appropriate third-party insurance policy and the driver holds the appropriate licence class to use the vehicle.  Registration of vehicles that do not meet the requirements for registration will not be granted.  The use of such vehicles attracts significant penalties, including civil significant penalties if the user injures another person.</w:t>
      </w:r>
    </w:p>
    <w:p w:rsidR="000A5AFE" w:rsidRDefault="000A5AFE" w:rsidP="00F61492">
      <w:pPr>
        <w:spacing w:after="0" w:line="240" w:lineRule="auto"/>
        <w:rPr>
          <w:sz w:val="20"/>
          <w:szCs w:val="20"/>
        </w:rPr>
      </w:pPr>
    </w:p>
    <w:p w:rsidR="00F61492" w:rsidRPr="0077259B" w:rsidRDefault="00F61492" w:rsidP="00F61492">
      <w:pPr>
        <w:spacing w:after="0" w:line="240" w:lineRule="auto"/>
        <w:rPr>
          <w:sz w:val="20"/>
          <w:szCs w:val="20"/>
        </w:rPr>
      </w:pPr>
    </w:p>
    <w:sectPr w:rsidR="00F61492" w:rsidRPr="0077259B" w:rsidSect="00E246DC">
      <w:pgSz w:w="23811" w:h="16838" w:orient="landscape" w:code="8"/>
      <w:pgMar w:top="426" w:right="1253" w:bottom="142" w:left="170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2F93" w:rsidRDefault="00B02F93" w:rsidP="00665B9F">
      <w:pPr>
        <w:spacing w:after="0" w:line="240" w:lineRule="auto"/>
      </w:pPr>
      <w:r>
        <w:separator/>
      </w:r>
    </w:p>
  </w:endnote>
  <w:endnote w:type="continuationSeparator" w:id="0">
    <w:p w:rsidR="00B02F93" w:rsidRDefault="00B02F93" w:rsidP="00665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Montserrat Light">
    <w:panose1 w:val="00000400000000000000"/>
    <w:charset w:val="00"/>
    <w:family w:val="auto"/>
    <w:pitch w:val="variable"/>
    <w:sig w:usb0="2000020F" w:usb1="00000003" w:usb2="00000000" w:usb3="00000000" w:csb0="00000197"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AAC" w:rsidRPr="000A6B63" w:rsidRDefault="00246AAC" w:rsidP="00731AE2">
    <w:pPr>
      <w:pStyle w:val="Intro"/>
      <w:tabs>
        <w:tab w:val="right" w:pos="8789"/>
        <w:tab w:val="right" w:pos="9070"/>
      </w:tabs>
    </w:pPr>
    <w:r>
      <w:rPr>
        <w:noProof/>
        <w:sz w:val="18"/>
        <w:szCs w:val="18"/>
      </w:rPr>
      <mc:AlternateContent>
        <mc:Choice Requires="wps">
          <w:drawing>
            <wp:inline distT="0" distB="0" distL="0" distR="0">
              <wp:extent cx="7560945" cy="0"/>
              <wp:effectExtent l="0" t="0" r="0" b="0"/>
              <wp:docPr id="15" name="AutoShap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9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1B08C913" id="_x0000_t32" coordsize="21600,21600" o:spt="32" o:oned="t" path="m,l21600,21600e" filled="f">
              <v:path arrowok="t" fillok="f" o:connecttype="none"/>
              <o:lock v:ext="edit" shapetype="t"/>
            </v:shapetype>
            <v:shape id="AutoShape 6" o:spid="_x0000_s1026" type="#_x0000_t32" style="width:595.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oPgZwIAAPsEAAAOAAAAZHJzL2Uyb0RvYy54bWysVF1vmzAUfZ+0/2DxToCEEIJKqgSSvXRd&#10;pXY/wLFNsAY2sp2QaNp/37UJ6brtYZuGhPHH9fE95x5zd39uG3RiSnMpci+ahB5igkjKxSH3Pr/s&#10;/NRD2mBBcSMFy70L09796v27u77L2FTWsqFMIQAROuu73KuN6bIg0KRmLdYT2TEBi5VULTYwVIeA&#10;KtwDetsE0zBMgl4q2ilJmNYwWw6L3srhVxUj5lNVaWZQk3uQm3Gtcu3etsHqDmcHhbuak2sa+B+y&#10;aDEXcOgNqsQGo6Piv0C1nCipZWUmRLaBrCpOmOMAbKLwJzbPNe6Y4wLi6O4mk/5/sOTx9KQQp1C7&#10;uYcEbqFG66OR7miUOE7sbB60seygN7D6WkTprFzsEn8TL1M/nm1m/jJON360mKab+XS9TrbxN7ub&#10;MpLBKxU2/MRGiWHmzzhcq23VWQSvOB46YahoZOsXuLzGr8s06DudOWrWCK5biCdlKZCzeO4eJPmi&#10;kZBFjcWBOa4vlw6oD4BvttiB7kCkff9RUojBII/T5Vyp1kJCFdHZWepys5RVisDkYp6EyxikJeMa&#10;pDtu7JQ2H5hske3knjYK80NtCikEGFeqyB2DT8Bp4DlusKcKueNN4/zbCNTn3nI+nbsNWjac2kUb&#10;ptVhXzRq0Ct0z1W0N2FKHgV1YDXDdHvtG8yboQ9ZN8Li/c4My3C5Tbdp7MfTZOvHYVn6610R+8ku&#10;WszLWVkUZeTMEMVZzSllwmY3eiGK/9oKYXC7cDcZAvwGffTD+H31hS3mYIu9pJcnZaW1RYYb5oKv&#10;fwN7hX8cu6jXf9bqOwAAAP//AwBQSwMEFAAGAAgAAAAhAFTduPLZAAAAAwEAAA8AAABkcnMvZG93&#10;bnJldi54bWxMj8FqwzAQRO+F/IPYQi+lkRxo2jiWQwj00GOTQK8ba2s7tVbGkmM3X1+5l/QyMMwy&#10;8zbbjLYRF+p87VhDMlcgiAtnai41HA9vT68gfEA22DgmDT/kYZPP7jJMjRv4gy77UIpYwj5FDVUI&#10;bSqlLyqy6OeuJY7Zl+sshmi7UpoOh1huG7lQaikt1hwXKmxpV1Hxve+tBvL9c6K2K1se36/D4+fi&#10;eh7ag9YP9+N2DSLQGG7HMOFHdMgj08n1bLxoNMRHwp9OWbJSLyBOk5d5Jv+z578AAAD//wMAUEsB&#10;Ai0AFAAGAAgAAAAhALaDOJL+AAAA4QEAABMAAAAAAAAAAAAAAAAAAAAAAFtDb250ZW50X1R5cGVz&#10;XS54bWxQSwECLQAUAAYACAAAACEAOP0h/9YAAACUAQAACwAAAAAAAAAAAAAAAAAvAQAAX3JlbHMv&#10;LnJlbHNQSwECLQAUAAYACAAAACEAvVqD4GcCAAD7BAAADgAAAAAAAAAAAAAAAAAuAgAAZHJzL2Uy&#10;b0RvYy54bWxQSwECLQAUAAYACAAAACEAVN248tkAAAADAQAADwAAAAAAAAAAAAAAAADBBAAAZHJz&#10;L2Rvd25yZXYueG1sUEsFBgAAAAAEAAQA8wAAAMcFAAAAAA==&#10;">
              <w10:anchorlock/>
            </v:shape>
          </w:pict>
        </mc:Fallback>
      </mc:AlternateContent>
    </w:r>
    <w:r>
      <w:tab/>
    </w:r>
    <w:r w:rsidRPr="00B02277">
      <w:rPr>
        <w:sz w:val="20"/>
        <w:szCs w:val="20"/>
      </w:rPr>
      <w:fldChar w:fldCharType="begin"/>
    </w:r>
    <w:r w:rsidRPr="00B02277">
      <w:rPr>
        <w:sz w:val="20"/>
        <w:szCs w:val="20"/>
      </w:rPr>
      <w:instrText xml:space="preserve"> PAGE   \* MERGEFORMAT </w:instrText>
    </w:r>
    <w:r w:rsidRPr="00B02277">
      <w:rPr>
        <w:sz w:val="20"/>
        <w:szCs w:val="20"/>
      </w:rPr>
      <w:fldChar w:fldCharType="separate"/>
    </w:r>
    <w:r w:rsidR="00EF63A6">
      <w:rPr>
        <w:noProof/>
        <w:sz w:val="20"/>
        <w:szCs w:val="20"/>
      </w:rPr>
      <w:t>1</w:t>
    </w:r>
    <w:r w:rsidRPr="00B02277">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2F93" w:rsidRDefault="00B02F93" w:rsidP="00665B9F">
      <w:pPr>
        <w:spacing w:after="0" w:line="240" w:lineRule="auto"/>
      </w:pPr>
      <w:r>
        <w:separator/>
      </w:r>
    </w:p>
  </w:footnote>
  <w:footnote w:type="continuationSeparator" w:id="0">
    <w:p w:rsidR="00B02F93" w:rsidRDefault="00B02F93" w:rsidP="00665B9F">
      <w:pPr>
        <w:spacing w:after="0" w:line="240" w:lineRule="auto"/>
      </w:pPr>
      <w:r>
        <w:continuationSeparator/>
      </w:r>
    </w:p>
  </w:footnote>
  <w:footnote w:id="1">
    <w:p w:rsidR="00810A6F" w:rsidRPr="006733C0" w:rsidRDefault="00810A6F" w:rsidP="00810A6F">
      <w:pPr>
        <w:pStyle w:val="FootnoteText"/>
        <w:rPr>
          <w:sz w:val="18"/>
          <w:szCs w:val="18"/>
        </w:rPr>
      </w:pPr>
      <w:r>
        <w:rPr>
          <w:rStyle w:val="FootnoteReference"/>
        </w:rPr>
        <w:footnoteRef/>
      </w:r>
      <w:r>
        <w:t xml:space="preserve"> </w:t>
      </w:r>
      <w:r w:rsidRPr="006733C0">
        <w:rPr>
          <w:sz w:val="18"/>
          <w:szCs w:val="18"/>
        </w:rPr>
        <w:t xml:space="preserve">National Transport Commission, ‘Barriers to the safe us of innovative vehicles and mobility devices’, page 22, January 2019, viewed on 25 March 2019, https://www.ntc.gov.au/Media/Reports/(67C382BE-5673-11A6-8B64-86816071EC58).pdf </w:t>
      </w:r>
    </w:p>
  </w:footnote>
  <w:footnote w:id="2">
    <w:p w:rsidR="00810A6F" w:rsidRPr="006733C0" w:rsidRDefault="00810A6F" w:rsidP="00810A6F">
      <w:pPr>
        <w:pStyle w:val="FootnoteText"/>
        <w:rPr>
          <w:sz w:val="18"/>
          <w:szCs w:val="18"/>
        </w:rPr>
      </w:pPr>
      <w:r w:rsidRPr="006733C0">
        <w:rPr>
          <w:rStyle w:val="FootnoteReference"/>
          <w:sz w:val="18"/>
          <w:szCs w:val="18"/>
        </w:rPr>
        <w:footnoteRef/>
      </w:r>
      <w:r w:rsidRPr="006733C0">
        <w:rPr>
          <w:sz w:val="18"/>
          <w:szCs w:val="18"/>
        </w:rPr>
        <w:t xml:space="preserve"> </w:t>
      </w:r>
      <w:bookmarkStart w:id="7" w:name="_Hlk9244783"/>
      <w:r w:rsidRPr="006733C0">
        <w:rPr>
          <w:sz w:val="18"/>
          <w:szCs w:val="18"/>
        </w:rPr>
        <w:t>New Zealand Herald, ‘Brakes go on e-scooters: Speed limit imposed on parts of Auckland’, 14 May 2019, viewed on 15 May 2019, https://www.nzherald.co.nz/nz/news/article.cfm?c_id=1&amp;objectid=12230826</w:t>
      </w:r>
      <w:bookmarkEnd w:id="7"/>
    </w:p>
  </w:footnote>
  <w:footnote w:id="3">
    <w:p w:rsidR="00486D56" w:rsidRDefault="00486D56" w:rsidP="00486D56">
      <w:pPr>
        <w:pStyle w:val="FootnoteText"/>
      </w:pPr>
      <w:r>
        <w:rPr>
          <w:rStyle w:val="FootnoteReference"/>
        </w:rPr>
        <w:footnoteRef/>
      </w:r>
      <w:r>
        <w:t xml:space="preserve"> Portland Bureau of Transportation, ‘2018 E-Scooter Findings Report’, January 2019, viewed on 13 May 2019, </w:t>
      </w:r>
      <w:r w:rsidRPr="00375DE9">
        <w:t>https://www.portlandoregon.gov/transportation/78431</w:t>
      </w:r>
      <w:r>
        <w:t xml:space="preserve"> </w:t>
      </w:r>
    </w:p>
  </w:footnote>
  <w:footnote w:id="4">
    <w:p w:rsidR="00486D56" w:rsidRDefault="00486D56" w:rsidP="00486D56">
      <w:pPr>
        <w:pStyle w:val="FootnoteText"/>
      </w:pPr>
      <w:r>
        <w:rPr>
          <w:rStyle w:val="FootnoteReference"/>
        </w:rPr>
        <w:footnoteRef/>
      </w:r>
      <w:r>
        <w:t xml:space="preserve"> Jamieson Trauma Institute, ‘Update injury data related to use of Lime Scooters’, February 2019</w:t>
      </w:r>
    </w:p>
  </w:footnote>
  <w:footnote w:id="5">
    <w:p w:rsidR="00486D56" w:rsidRPr="00B75140" w:rsidRDefault="00486D56" w:rsidP="00486D56">
      <w:pPr>
        <w:pStyle w:val="FootnoteText"/>
      </w:pPr>
      <w:r>
        <w:rPr>
          <w:rStyle w:val="FootnoteReference"/>
        </w:rPr>
        <w:footnoteRef/>
      </w:r>
      <w:r>
        <w:t xml:space="preserve"> </w:t>
      </w:r>
      <w:r>
        <w:t xml:space="preserve">Tarak K. Trivedi, MD, MS; Charles Liu, MD; Anna Liza M. Antonio, DrPH; Natasha Wheaton, MD; Vanessa Kreger, MD, MPH; Anna Yap, MD; David Schriger, MD, MPH; Joann G/ Elmorem MD, MPh, ‘Injuries Associated </w:t>
      </w:r>
      <w:r>
        <w:t xml:space="preserve">With Standing Electric Scooter Use’, </w:t>
      </w:r>
      <w:r>
        <w:rPr>
          <w:i/>
        </w:rPr>
        <w:t xml:space="preserve">JAMA Network Open, </w:t>
      </w:r>
      <w:r>
        <w:t>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AAC" w:rsidRPr="006046FF" w:rsidRDefault="00246AAC" w:rsidP="002009BA">
    <w:pPr>
      <w:pStyle w:val="Intro"/>
      <w:rPr>
        <w:b/>
        <w:caps/>
        <w:color w:val="000000" w:themeColor="text1"/>
      </w:rPr>
    </w:pPr>
    <w:r w:rsidRPr="006046FF">
      <w:rPr>
        <w:b/>
        <w:caps/>
        <w:noProof/>
        <w:color w:val="000000" w:themeColor="text1"/>
      </w:rPr>
      <w:drawing>
        <wp:anchor distT="0" distB="0" distL="114300" distR="114300" simplePos="0" relativeHeight="251658752" behindDoc="1" locked="0" layoutInCell="1" allowOverlap="1">
          <wp:simplePos x="0" y="0"/>
          <wp:positionH relativeFrom="page">
            <wp:posOffset>534035</wp:posOffset>
          </wp:positionH>
          <wp:positionV relativeFrom="page">
            <wp:posOffset>-584200</wp:posOffset>
          </wp:positionV>
          <wp:extent cx="7632000" cy="903600"/>
          <wp:effectExtent l="38100" t="0" r="7620" b="640080"/>
          <wp:wrapNone/>
          <wp:docPr id="11" name="Picture 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s ACT-header.jpg"/>
                  <pic:cNvPicPr/>
                </pic:nvPicPr>
                <pic:blipFill>
                  <a:blip r:embed="rId1"/>
                  <a:stretch>
                    <a:fillRect/>
                  </a:stretch>
                </pic:blipFill>
                <pic:spPr>
                  <a:xfrm rot="600000">
                    <a:off x="0" y="0"/>
                    <a:ext cx="7632000" cy="903600"/>
                  </a:xfrm>
                  <a:prstGeom prst="rect">
                    <a:avLst/>
                  </a:prstGeom>
                </pic:spPr>
              </pic:pic>
            </a:graphicData>
          </a:graphic>
          <wp14:sizeRelH relativeFrom="margin">
            <wp14:pctWidth>0</wp14:pctWidth>
          </wp14:sizeRelH>
          <wp14:sizeRelV relativeFrom="margin">
            <wp14:pctHeight>0</wp14:pctHeight>
          </wp14:sizeRelV>
        </wp:anchor>
      </w:drawing>
    </w:r>
    <w:r>
      <w:rPr>
        <w:b/>
        <w:caps/>
        <w:color w:val="000000" w:themeColor="text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42203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0B647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6BACF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F6639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64849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1831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449A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D8466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203C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B6373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DF41D9"/>
    <w:multiLevelType w:val="hybridMultilevel"/>
    <w:tmpl w:val="C540C7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C217E84"/>
    <w:multiLevelType w:val="hybridMultilevel"/>
    <w:tmpl w:val="BD9CA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A2E0595"/>
    <w:multiLevelType w:val="hybridMultilevel"/>
    <w:tmpl w:val="A92472E2"/>
    <w:lvl w:ilvl="0" w:tplc="0C09000F">
      <w:start w:val="1"/>
      <w:numFmt w:val="decimal"/>
      <w:lvlText w:val="%1."/>
      <w:lvlJc w:val="left"/>
      <w:pPr>
        <w:ind w:left="360" w:hanging="360"/>
      </w:pPr>
      <w:rPr>
        <w:rFonts w:hint="default"/>
        <w:b w:val="0"/>
        <w:i w:val="0"/>
        <w:sz w:val="21"/>
      </w:r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3" w15:restartNumberingAfterBreak="0">
    <w:nsid w:val="1A404661"/>
    <w:multiLevelType w:val="hybridMultilevel"/>
    <w:tmpl w:val="1B0CEADA"/>
    <w:lvl w:ilvl="0" w:tplc="A1605422">
      <w:start w:val="1"/>
      <w:numFmt w:val="decimal"/>
      <w:lvlText w:val="%1."/>
      <w:lvlJc w:val="left"/>
      <w:pPr>
        <w:ind w:left="360" w:hanging="360"/>
      </w:pPr>
      <w:rPr>
        <w:rFonts w:hint="default"/>
      </w:r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4" w15:restartNumberingAfterBreak="0">
    <w:nsid w:val="1D3706EF"/>
    <w:multiLevelType w:val="hybridMultilevel"/>
    <w:tmpl w:val="7EA4D8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76A38C9"/>
    <w:multiLevelType w:val="hybridMultilevel"/>
    <w:tmpl w:val="6D2455A2"/>
    <w:lvl w:ilvl="0" w:tplc="A90EFF1A">
      <w:start w:val="1"/>
      <w:numFmt w:val="decimal"/>
      <w:pStyle w:val="Noteslist"/>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3A6A3476"/>
    <w:multiLevelType w:val="hybridMultilevel"/>
    <w:tmpl w:val="39967906"/>
    <w:lvl w:ilvl="0" w:tplc="089ED4B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BBD0390"/>
    <w:multiLevelType w:val="hybridMultilevel"/>
    <w:tmpl w:val="C5A26AB4"/>
    <w:lvl w:ilvl="0" w:tplc="1C96EE66">
      <w:start w:val="1"/>
      <w:numFmt w:val="decimal"/>
      <w:lvlText w:val="%1."/>
      <w:lvlJc w:val="left"/>
      <w:pPr>
        <w:ind w:left="360" w:hanging="360"/>
      </w:pPr>
      <w:rPr>
        <w:rFonts w:ascii="Calibri" w:hAnsi="Calibri" w:hint="default"/>
        <w:b w:val="0"/>
        <w:i w:val="0"/>
        <w:sz w:val="21"/>
      </w:r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8" w15:restartNumberingAfterBreak="0">
    <w:nsid w:val="3E644C39"/>
    <w:multiLevelType w:val="hybridMultilevel"/>
    <w:tmpl w:val="C6AEA7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01534F1"/>
    <w:multiLevelType w:val="hybridMultilevel"/>
    <w:tmpl w:val="C5500502"/>
    <w:lvl w:ilvl="0" w:tplc="017AE876">
      <w:start w:val="1"/>
      <w:numFmt w:val="decimal"/>
      <w:lvlText w:val="%1."/>
      <w:lvlJc w:val="left"/>
      <w:pPr>
        <w:ind w:left="360" w:hanging="360"/>
      </w:pPr>
      <w:rPr>
        <w:rFonts w:ascii="Calibri" w:hAnsi="Calibri" w:hint="default"/>
        <w:b w:val="0"/>
        <w:i w:val="0"/>
        <w:sz w:val="21"/>
      </w:r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0" w15:restartNumberingAfterBreak="0">
    <w:nsid w:val="465A212B"/>
    <w:multiLevelType w:val="hybridMultilevel"/>
    <w:tmpl w:val="09D6AB0C"/>
    <w:lvl w:ilvl="0" w:tplc="6F3CF378">
      <w:start w:val="1"/>
      <w:numFmt w:val="bullet"/>
      <w:pStyle w:val="Bullet3"/>
      <w:lvlText w:val="o"/>
      <w:lvlJc w:val="left"/>
      <w:pPr>
        <w:ind w:left="1077" w:hanging="360"/>
      </w:pPr>
      <w:rPr>
        <w:rFonts w:ascii="Courier New" w:hAnsi="Courier New" w:cs="Courier New"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1" w15:restartNumberingAfterBreak="0">
    <w:nsid w:val="46CB14BC"/>
    <w:multiLevelType w:val="hybridMultilevel"/>
    <w:tmpl w:val="45F892B2"/>
    <w:lvl w:ilvl="0" w:tplc="0C09000F">
      <w:start w:val="1"/>
      <w:numFmt w:val="decimal"/>
      <w:lvlText w:val="%1."/>
      <w:lvlJc w:val="left"/>
      <w:pPr>
        <w:ind w:left="1060" w:hanging="360"/>
      </w:pPr>
    </w:lvl>
    <w:lvl w:ilvl="1" w:tplc="0C090019" w:tentative="1">
      <w:start w:val="1"/>
      <w:numFmt w:val="lowerLetter"/>
      <w:lvlText w:val="%2."/>
      <w:lvlJc w:val="left"/>
      <w:pPr>
        <w:ind w:left="1780" w:hanging="360"/>
      </w:pPr>
    </w:lvl>
    <w:lvl w:ilvl="2" w:tplc="0C09001B" w:tentative="1">
      <w:start w:val="1"/>
      <w:numFmt w:val="lowerRoman"/>
      <w:lvlText w:val="%3."/>
      <w:lvlJc w:val="right"/>
      <w:pPr>
        <w:ind w:left="2500" w:hanging="180"/>
      </w:pPr>
    </w:lvl>
    <w:lvl w:ilvl="3" w:tplc="0C09000F" w:tentative="1">
      <w:start w:val="1"/>
      <w:numFmt w:val="decimal"/>
      <w:lvlText w:val="%4."/>
      <w:lvlJc w:val="left"/>
      <w:pPr>
        <w:ind w:left="3220" w:hanging="360"/>
      </w:pPr>
    </w:lvl>
    <w:lvl w:ilvl="4" w:tplc="0C090019" w:tentative="1">
      <w:start w:val="1"/>
      <w:numFmt w:val="lowerLetter"/>
      <w:lvlText w:val="%5."/>
      <w:lvlJc w:val="left"/>
      <w:pPr>
        <w:ind w:left="3940" w:hanging="360"/>
      </w:pPr>
    </w:lvl>
    <w:lvl w:ilvl="5" w:tplc="0C09001B" w:tentative="1">
      <w:start w:val="1"/>
      <w:numFmt w:val="lowerRoman"/>
      <w:lvlText w:val="%6."/>
      <w:lvlJc w:val="right"/>
      <w:pPr>
        <w:ind w:left="4660" w:hanging="180"/>
      </w:pPr>
    </w:lvl>
    <w:lvl w:ilvl="6" w:tplc="0C09000F" w:tentative="1">
      <w:start w:val="1"/>
      <w:numFmt w:val="decimal"/>
      <w:lvlText w:val="%7."/>
      <w:lvlJc w:val="left"/>
      <w:pPr>
        <w:ind w:left="5380" w:hanging="360"/>
      </w:pPr>
    </w:lvl>
    <w:lvl w:ilvl="7" w:tplc="0C090019" w:tentative="1">
      <w:start w:val="1"/>
      <w:numFmt w:val="lowerLetter"/>
      <w:lvlText w:val="%8."/>
      <w:lvlJc w:val="left"/>
      <w:pPr>
        <w:ind w:left="6100" w:hanging="360"/>
      </w:pPr>
    </w:lvl>
    <w:lvl w:ilvl="8" w:tplc="0C09001B" w:tentative="1">
      <w:start w:val="1"/>
      <w:numFmt w:val="lowerRoman"/>
      <w:lvlText w:val="%9."/>
      <w:lvlJc w:val="right"/>
      <w:pPr>
        <w:ind w:left="6820" w:hanging="180"/>
      </w:pPr>
    </w:lvl>
  </w:abstractNum>
  <w:abstractNum w:abstractNumId="22" w15:restartNumberingAfterBreak="0">
    <w:nsid w:val="4E834595"/>
    <w:multiLevelType w:val="hybridMultilevel"/>
    <w:tmpl w:val="3C9233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2222C32"/>
    <w:multiLevelType w:val="hybridMultilevel"/>
    <w:tmpl w:val="64FA4880"/>
    <w:lvl w:ilvl="0" w:tplc="AD52B0E2">
      <w:start w:val="1"/>
      <w:numFmt w:val="decimal"/>
      <w:lvlText w:val="%1."/>
      <w:lvlJc w:val="left"/>
      <w:pPr>
        <w:ind w:left="36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4" w15:restartNumberingAfterBreak="0">
    <w:nsid w:val="531A54FB"/>
    <w:multiLevelType w:val="hybridMultilevel"/>
    <w:tmpl w:val="EFEE4814"/>
    <w:lvl w:ilvl="0" w:tplc="29061554">
      <w:start w:val="1"/>
      <w:numFmt w:val="decimal"/>
      <w:pStyle w:val="bullet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68F771F"/>
    <w:multiLevelType w:val="multilevel"/>
    <w:tmpl w:val="341A4B9E"/>
    <w:lvl w:ilvl="0">
      <w:start w:val="1"/>
      <w:numFmt w:val="bullet"/>
      <w:pStyle w:val="Bullet2"/>
      <w:lvlText w:val=""/>
      <w:lvlJc w:val="left"/>
      <w:pPr>
        <w:ind w:left="714" w:hanging="357"/>
      </w:pPr>
      <w:rPr>
        <w:rFonts w:ascii="Symbol" w:hAnsi="Symbol" w:hint="default"/>
      </w:rPr>
    </w:lvl>
    <w:lvl w:ilvl="1">
      <w:start w:val="1"/>
      <w:numFmt w:val="bullet"/>
      <w:lvlText w:val="o"/>
      <w:lvlJc w:val="left"/>
      <w:pPr>
        <w:ind w:left="1224" w:hanging="357"/>
      </w:pPr>
      <w:rPr>
        <w:rFonts w:ascii="Courier New" w:hAnsi="Courier New" w:hint="default"/>
      </w:rPr>
    </w:lvl>
    <w:lvl w:ilvl="2">
      <w:start w:val="1"/>
      <w:numFmt w:val="bullet"/>
      <w:lvlText w:val=""/>
      <w:lvlJc w:val="left"/>
      <w:pPr>
        <w:ind w:left="1734" w:hanging="357"/>
      </w:pPr>
      <w:rPr>
        <w:rFonts w:ascii="Wingdings" w:hAnsi="Wingdings" w:hint="default"/>
      </w:rPr>
    </w:lvl>
    <w:lvl w:ilvl="3">
      <w:start w:val="1"/>
      <w:numFmt w:val="bullet"/>
      <w:lvlText w:val=""/>
      <w:lvlJc w:val="left"/>
      <w:pPr>
        <w:ind w:left="2244" w:hanging="357"/>
      </w:pPr>
      <w:rPr>
        <w:rFonts w:ascii="Symbol" w:hAnsi="Symbol" w:hint="default"/>
      </w:rPr>
    </w:lvl>
    <w:lvl w:ilvl="4">
      <w:start w:val="1"/>
      <w:numFmt w:val="bullet"/>
      <w:lvlText w:val="o"/>
      <w:lvlJc w:val="left"/>
      <w:pPr>
        <w:ind w:left="2754" w:hanging="357"/>
      </w:pPr>
      <w:rPr>
        <w:rFonts w:ascii="Courier New" w:hAnsi="Courier New" w:cs="Courier New" w:hint="default"/>
      </w:rPr>
    </w:lvl>
    <w:lvl w:ilvl="5">
      <w:start w:val="1"/>
      <w:numFmt w:val="bullet"/>
      <w:lvlText w:val=""/>
      <w:lvlJc w:val="left"/>
      <w:pPr>
        <w:ind w:left="3264" w:hanging="357"/>
      </w:pPr>
      <w:rPr>
        <w:rFonts w:ascii="Wingdings" w:hAnsi="Wingdings" w:hint="default"/>
      </w:rPr>
    </w:lvl>
    <w:lvl w:ilvl="6">
      <w:start w:val="1"/>
      <w:numFmt w:val="bullet"/>
      <w:lvlText w:val=""/>
      <w:lvlJc w:val="left"/>
      <w:pPr>
        <w:ind w:left="3774" w:hanging="357"/>
      </w:pPr>
      <w:rPr>
        <w:rFonts w:ascii="Symbol" w:hAnsi="Symbol" w:hint="default"/>
      </w:rPr>
    </w:lvl>
    <w:lvl w:ilvl="7">
      <w:start w:val="1"/>
      <w:numFmt w:val="bullet"/>
      <w:lvlText w:val="o"/>
      <w:lvlJc w:val="left"/>
      <w:pPr>
        <w:ind w:left="4284" w:hanging="357"/>
      </w:pPr>
      <w:rPr>
        <w:rFonts w:ascii="Courier New" w:hAnsi="Courier New" w:cs="Courier New" w:hint="default"/>
      </w:rPr>
    </w:lvl>
    <w:lvl w:ilvl="8">
      <w:start w:val="1"/>
      <w:numFmt w:val="bullet"/>
      <w:lvlText w:val=""/>
      <w:lvlJc w:val="left"/>
      <w:pPr>
        <w:ind w:left="4794" w:hanging="357"/>
      </w:pPr>
      <w:rPr>
        <w:rFonts w:ascii="Wingdings" w:hAnsi="Wingdings" w:hint="default"/>
      </w:rPr>
    </w:lvl>
  </w:abstractNum>
  <w:abstractNum w:abstractNumId="26" w15:restartNumberingAfterBreak="0">
    <w:nsid w:val="58E231C6"/>
    <w:multiLevelType w:val="hybridMultilevel"/>
    <w:tmpl w:val="8A403C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DE15445"/>
    <w:multiLevelType w:val="hybridMultilevel"/>
    <w:tmpl w:val="6EC63490"/>
    <w:lvl w:ilvl="0" w:tplc="B76C4ABE">
      <w:start w:val="1"/>
      <w:numFmt w:val="decimal"/>
      <w:lvlText w:val="%1."/>
      <w:lvlJc w:val="left"/>
      <w:pPr>
        <w:ind w:left="360" w:hanging="360"/>
      </w:pPr>
      <w:rPr>
        <w:rFonts w:hint="default"/>
      </w:r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8" w15:restartNumberingAfterBreak="0">
    <w:nsid w:val="679D420E"/>
    <w:multiLevelType w:val="hybridMultilevel"/>
    <w:tmpl w:val="695EDD6C"/>
    <w:lvl w:ilvl="0" w:tplc="1F80BF74">
      <w:start w:val="1"/>
      <w:numFmt w:val="bullet"/>
      <w:pStyle w:val="Bullet1"/>
      <w:lvlText w:val=""/>
      <w:lvlJc w:val="left"/>
      <w:pPr>
        <w:ind w:left="360" w:hanging="360"/>
      </w:pPr>
      <w:rPr>
        <w:rFonts w:ascii="Symbol" w:hAnsi="Symbol" w:hint="default"/>
        <w:sz w:val="24"/>
      </w:rPr>
    </w:lvl>
    <w:lvl w:ilvl="1" w:tplc="0C090019">
      <w:start w:val="1"/>
      <w:numFmt w:val="bullet"/>
      <w:lvlText w:val="o"/>
      <w:lvlJc w:val="left"/>
      <w:pPr>
        <w:tabs>
          <w:tab w:val="num" w:pos="1800"/>
        </w:tabs>
        <w:ind w:left="1800" w:hanging="360"/>
      </w:pPr>
      <w:rPr>
        <w:rFonts w:ascii="Courier New" w:hAnsi="Courier New" w:hint="default"/>
      </w:rPr>
    </w:lvl>
    <w:lvl w:ilvl="2" w:tplc="0C09001B">
      <w:start w:val="1"/>
      <w:numFmt w:val="bullet"/>
      <w:lvlText w:val=""/>
      <w:lvlJc w:val="left"/>
      <w:pPr>
        <w:tabs>
          <w:tab w:val="num" w:pos="2520"/>
        </w:tabs>
        <w:ind w:left="2520" w:hanging="360"/>
      </w:pPr>
      <w:rPr>
        <w:rFonts w:ascii="Wingdings" w:hAnsi="Wingdings" w:hint="default"/>
      </w:rPr>
    </w:lvl>
    <w:lvl w:ilvl="3" w:tplc="0C09000F">
      <w:start w:val="1"/>
      <w:numFmt w:val="bullet"/>
      <w:lvlText w:val=""/>
      <w:lvlJc w:val="left"/>
      <w:pPr>
        <w:tabs>
          <w:tab w:val="num" w:pos="3240"/>
        </w:tabs>
        <w:ind w:left="3240" w:hanging="360"/>
      </w:pPr>
      <w:rPr>
        <w:rFonts w:ascii="Symbol" w:hAnsi="Symbol" w:hint="default"/>
      </w:rPr>
    </w:lvl>
    <w:lvl w:ilvl="4" w:tplc="0C090019">
      <w:start w:val="1"/>
      <w:numFmt w:val="bullet"/>
      <w:lvlText w:val="o"/>
      <w:lvlJc w:val="left"/>
      <w:pPr>
        <w:tabs>
          <w:tab w:val="num" w:pos="3960"/>
        </w:tabs>
        <w:ind w:left="3960" w:hanging="360"/>
      </w:pPr>
      <w:rPr>
        <w:rFonts w:ascii="Courier New" w:hAnsi="Courier New" w:hint="default"/>
      </w:rPr>
    </w:lvl>
    <w:lvl w:ilvl="5" w:tplc="0C09001B">
      <w:start w:val="1"/>
      <w:numFmt w:val="bullet"/>
      <w:lvlText w:val=""/>
      <w:lvlJc w:val="left"/>
      <w:pPr>
        <w:tabs>
          <w:tab w:val="num" w:pos="4680"/>
        </w:tabs>
        <w:ind w:left="4680" w:hanging="360"/>
      </w:pPr>
      <w:rPr>
        <w:rFonts w:ascii="Wingdings" w:hAnsi="Wingdings" w:hint="default"/>
      </w:rPr>
    </w:lvl>
    <w:lvl w:ilvl="6" w:tplc="0C09000F">
      <w:start w:val="1"/>
      <w:numFmt w:val="bullet"/>
      <w:lvlText w:val=""/>
      <w:lvlJc w:val="left"/>
      <w:pPr>
        <w:tabs>
          <w:tab w:val="num" w:pos="5400"/>
        </w:tabs>
        <w:ind w:left="5400" w:hanging="360"/>
      </w:pPr>
      <w:rPr>
        <w:rFonts w:ascii="Symbol" w:hAnsi="Symbol" w:hint="default"/>
      </w:rPr>
    </w:lvl>
    <w:lvl w:ilvl="7" w:tplc="0C090019">
      <w:start w:val="1"/>
      <w:numFmt w:val="bullet"/>
      <w:lvlText w:val="o"/>
      <w:lvlJc w:val="left"/>
      <w:pPr>
        <w:tabs>
          <w:tab w:val="num" w:pos="6120"/>
        </w:tabs>
        <w:ind w:left="6120" w:hanging="360"/>
      </w:pPr>
      <w:rPr>
        <w:rFonts w:ascii="Courier New" w:hAnsi="Courier New" w:hint="default"/>
      </w:rPr>
    </w:lvl>
    <w:lvl w:ilvl="8" w:tplc="0C09001B">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94A020E"/>
    <w:multiLevelType w:val="hybridMultilevel"/>
    <w:tmpl w:val="54907E14"/>
    <w:lvl w:ilvl="0" w:tplc="730031BC">
      <w:numFmt w:val="bullet"/>
      <w:lvlText w:val="•"/>
      <w:lvlJc w:val="left"/>
      <w:pPr>
        <w:ind w:left="930" w:hanging="57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E6E46F0"/>
    <w:multiLevelType w:val="hybridMultilevel"/>
    <w:tmpl w:val="4C62C744"/>
    <w:lvl w:ilvl="0" w:tplc="35C2D6D6">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1" w15:restartNumberingAfterBreak="0">
    <w:nsid w:val="78A773BE"/>
    <w:multiLevelType w:val="hybridMultilevel"/>
    <w:tmpl w:val="086EBC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28"/>
  </w:num>
  <w:num w:numId="4">
    <w:abstractNumId w:val="25"/>
  </w:num>
  <w:num w:numId="5">
    <w:abstractNumId w:val="20"/>
  </w:num>
  <w:num w:numId="6">
    <w:abstractNumId w:val="15"/>
  </w:num>
  <w:num w:numId="7">
    <w:abstractNumId w:val="31"/>
  </w:num>
  <w:num w:numId="8">
    <w:abstractNumId w:val="18"/>
  </w:num>
  <w:num w:numId="9">
    <w:abstractNumId w:val="11"/>
  </w:num>
  <w:num w:numId="10">
    <w:abstractNumId w:val="21"/>
  </w:num>
  <w:num w:numId="11">
    <w:abstractNumId w:val="16"/>
  </w:num>
  <w:num w:numId="12">
    <w:abstractNumId w:val="27"/>
  </w:num>
  <w:num w:numId="13">
    <w:abstractNumId w:val="13"/>
  </w:num>
  <w:num w:numId="14">
    <w:abstractNumId w:val="17"/>
  </w:num>
  <w:num w:numId="15">
    <w:abstractNumId w:val="19"/>
  </w:num>
  <w:num w:numId="16">
    <w:abstractNumId w:val="12"/>
  </w:num>
  <w:num w:numId="17">
    <w:abstractNumId w:val="14"/>
  </w:num>
  <w:num w:numId="18">
    <w:abstractNumId w:val="24"/>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0"/>
  </w:num>
  <w:num w:numId="30">
    <w:abstractNumId w:val="22"/>
  </w:num>
  <w:num w:numId="31">
    <w:abstractNumId w:val="26"/>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drawingGridHorizontalSpacing w:val="105"/>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A08"/>
    <w:rsid w:val="000016B9"/>
    <w:rsid w:val="0000477A"/>
    <w:rsid w:val="000068D5"/>
    <w:rsid w:val="00030790"/>
    <w:rsid w:val="00030CC1"/>
    <w:rsid w:val="00034546"/>
    <w:rsid w:val="00036B92"/>
    <w:rsid w:val="000419C1"/>
    <w:rsid w:val="00043B50"/>
    <w:rsid w:val="000446A5"/>
    <w:rsid w:val="0005196D"/>
    <w:rsid w:val="000650AF"/>
    <w:rsid w:val="00065CEA"/>
    <w:rsid w:val="00070067"/>
    <w:rsid w:val="0007453E"/>
    <w:rsid w:val="00076803"/>
    <w:rsid w:val="0008091D"/>
    <w:rsid w:val="00090A83"/>
    <w:rsid w:val="000A2FFC"/>
    <w:rsid w:val="000A5AFE"/>
    <w:rsid w:val="000A6B63"/>
    <w:rsid w:val="000B13CB"/>
    <w:rsid w:val="000C3F1E"/>
    <w:rsid w:val="000C6C34"/>
    <w:rsid w:val="000F5CCD"/>
    <w:rsid w:val="000F5D86"/>
    <w:rsid w:val="0011798B"/>
    <w:rsid w:val="0015010B"/>
    <w:rsid w:val="00152EB7"/>
    <w:rsid w:val="0016080C"/>
    <w:rsid w:val="001623DE"/>
    <w:rsid w:val="00176A1C"/>
    <w:rsid w:val="001912A2"/>
    <w:rsid w:val="001966FA"/>
    <w:rsid w:val="00197666"/>
    <w:rsid w:val="001A0139"/>
    <w:rsid w:val="001A0956"/>
    <w:rsid w:val="001A7048"/>
    <w:rsid w:val="001B1865"/>
    <w:rsid w:val="001C1FF2"/>
    <w:rsid w:val="001E7690"/>
    <w:rsid w:val="001E76BA"/>
    <w:rsid w:val="002009BA"/>
    <w:rsid w:val="00203525"/>
    <w:rsid w:val="00214A8E"/>
    <w:rsid w:val="00215465"/>
    <w:rsid w:val="002462E5"/>
    <w:rsid w:val="00246AAC"/>
    <w:rsid w:val="002479CE"/>
    <w:rsid w:val="002846D8"/>
    <w:rsid w:val="0029668D"/>
    <w:rsid w:val="002A0832"/>
    <w:rsid w:val="002A093C"/>
    <w:rsid w:val="002A5458"/>
    <w:rsid w:val="002B7344"/>
    <w:rsid w:val="002C6B74"/>
    <w:rsid w:val="002D33BC"/>
    <w:rsid w:val="002D6623"/>
    <w:rsid w:val="002E7655"/>
    <w:rsid w:val="002F097F"/>
    <w:rsid w:val="002F3300"/>
    <w:rsid w:val="003010B0"/>
    <w:rsid w:val="00302C68"/>
    <w:rsid w:val="003238CE"/>
    <w:rsid w:val="003439ED"/>
    <w:rsid w:val="00354F6D"/>
    <w:rsid w:val="003633F5"/>
    <w:rsid w:val="00376A58"/>
    <w:rsid w:val="003A641C"/>
    <w:rsid w:val="003B13F4"/>
    <w:rsid w:val="003C2618"/>
    <w:rsid w:val="003D4DBC"/>
    <w:rsid w:val="00411A3D"/>
    <w:rsid w:val="004439BD"/>
    <w:rsid w:val="004502A1"/>
    <w:rsid w:val="00452B15"/>
    <w:rsid w:val="004563B4"/>
    <w:rsid w:val="00462EA4"/>
    <w:rsid w:val="0047491B"/>
    <w:rsid w:val="00481CE3"/>
    <w:rsid w:val="00482E0B"/>
    <w:rsid w:val="00486D56"/>
    <w:rsid w:val="00496C0F"/>
    <w:rsid w:val="00496CD4"/>
    <w:rsid w:val="004B4981"/>
    <w:rsid w:val="004C10AE"/>
    <w:rsid w:val="004C1925"/>
    <w:rsid w:val="004E69B5"/>
    <w:rsid w:val="004F131E"/>
    <w:rsid w:val="004F3D98"/>
    <w:rsid w:val="004F5B70"/>
    <w:rsid w:val="004F74DA"/>
    <w:rsid w:val="005014D9"/>
    <w:rsid w:val="00503E7E"/>
    <w:rsid w:val="005115E8"/>
    <w:rsid w:val="00512E77"/>
    <w:rsid w:val="0053763A"/>
    <w:rsid w:val="005638F1"/>
    <w:rsid w:val="005654E8"/>
    <w:rsid w:val="00576D35"/>
    <w:rsid w:val="00577AA3"/>
    <w:rsid w:val="0058377A"/>
    <w:rsid w:val="00586AC8"/>
    <w:rsid w:val="005A60DB"/>
    <w:rsid w:val="005A7A08"/>
    <w:rsid w:val="005B369E"/>
    <w:rsid w:val="005C54B5"/>
    <w:rsid w:val="005C72CC"/>
    <w:rsid w:val="005E5305"/>
    <w:rsid w:val="006046FF"/>
    <w:rsid w:val="00622565"/>
    <w:rsid w:val="0063036E"/>
    <w:rsid w:val="00632F54"/>
    <w:rsid w:val="00633AF4"/>
    <w:rsid w:val="00635C80"/>
    <w:rsid w:val="006515F5"/>
    <w:rsid w:val="006610FF"/>
    <w:rsid w:val="00665B9F"/>
    <w:rsid w:val="006731DA"/>
    <w:rsid w:val="00680C6F"/>
    <w:rsid w:val="00685229"/>
    <w:rsid w:val="006875BB"/>
    <w:rsid w:val="0069624A"/>
    <w:rsid w:val="006A2843"/>
    <w:rsid w:val="006A6360"/>
    <w:rsid w:val="006C085A"/>
    <w:rsid w:val="006C1037"/>
    <w:rsid w:val="006D2273"/>
    <w:rsid w:val="006D5CDC"/>
    <w:rsid w:val="006F7929"/>
    <w:rsid w:val="00705BA9"/>
    <w:rsid w:val="0073089A"/>
    <w:rsid w:val="00731AE2"/>
    <w:rsid w:val="00752EAD"/>
    <w:rsid w:val="0076392F"/>
    <w:rsid w:val="007903B1"/>
    <w:rsid w:val="0079069F"/>
    <w:rsid w:val="007A6A50"/>
    <w:rsid w:val="007A7246"/>
    <w:rsid w:val="007D1FEC"/>
    <w:rsid w:val="007D26DC"/>
    <w:rsid w:val="007D5985"/>
    <w:rsid w:val="007E76A2"/>
    <w:rsid w:val="007F65AB"/>
    <w:rsid w:val="00810221"/>
    <w:rsid w:val="00810457"/>
    <w:rsid w:val="00810A6F"/>
    <w:rsid w:val="00815AAF"/>
    <w:rsid w:val="008266EE"/>
    <w:rsid w:val="00826FDC"/>
    <w:rsid w:val="00832B4A"/>
    <w:rsid w:val="008459DC"/>
    <w:rsid w:val="008545F3"/>
    <w:rsid w:val="0086024E"/>
    <w:rsid w:val="00860B3E"/>
    <w:rsid w:val="00875C35"/>
    <w:rsid w:val="00886A94"/>
    <w:rsid w:val="0089332C"/>
    <w:rsid w:val="008A2D11"/>
    <w:rsid w:val="008A593B"/>
    <w:rsid w:val="008D2D94"/>
    <w:rsid w:val="008D37D2"/>
    <w:rsid w:val="008E6747"/>
    <w:rsid w:val="00901C66"/>
    <w:rsid w:val="00906DEF"/>
    <w:rsid w:val="0091147D"/>
    <w:rsid w:val="0092592D"/>
    <w:rsid w:val="00936F16"/>
    <w:rsid w:val="00937B2B"/>
    <w:rsid w:val="00941A30"/>
    <w:rsid w:val="00947539"/>
    <w:rsid w:val="0096313F"/>
    <w:rsid w:val="00966ABA"/>
    <w:rsid w:val="00975520"/>
    <w:rsid w:val="009972DF"/>
    <w:rsid w:val="009B7419"/>
    <w:rsid w:val="009C0369"/>
    <w:rsid w:val="009E391E"/>
    <w:rsid w:val="009E4EC4"/>
    <w:rsid w:val="00A53F9C"/>
    <w:rsid w:val="00A541B9"/>
    <w:rsid w:val="00A56436"/>
    <w:rsid w:val="00A71462"/>
    <w:rsid w:val="00A7771C"/>
    <w:rsid w:val="00A80C2F"/>
    <w:rsid w:val="00AA618D"/>
    <w:rsid w:val="00AA6E5F"/>
    <w:rsid w:val="00AB3779"/>
    <w:rsid w:val="00AB6DED"/>
    <w:rsid w:val="00AB7D32"/>
    <w:rsid w:val="00AC5820"/>
    <w:rsid w:val="00AD606C"/>
    <w:rsid w:val="00AE2693"/>
    <w:rsid w:val="00AE3905"/>
    <w:rsid w:val="00AE3E57"/>
    <w:rsid w:val="00AE507F"/>
    <w:rsid w:val="00AE6BD7"/>
    <w:rsid w:val="00AF112C"/>
    <w:rsid w:val="00AF4E7F"/>
    <w:rsid w:val="00B02277"/>
    <w:rsid w:val="00B02F93"/>
    <w:rsid w:val="00B23196"/>
    <w:rsid w:val="00B40CCC"/>
    <w:rsid w:val="00B51C5D"/>
    <w:rsid w:val="00B525C2"/>
    <w:rsid w:val="00B52648"/>
    <w:rsid w:val="00B63D1B"/>
    <w:rsid w:val="00B6508B"/>
    <w:rsid w:val="00B70B52"/>
    <w:rsid w:val="00B71D00"/>
    <w:rsid w:val="00B925C3"/>
    <w:rsid w:val="00BB3989"/>
    <w:rsid w:val="00BC21E9"/>
    <w:rsid w:val="00BC6211"/>
    <w:rsid w:val="00C140C2"/>
    <w:rsid w:val="00C17AE1"/>
    <w:rsid w:val="00C30FA2"/>
    <w:rsid w:val="00C348AF"/>
    <w:rsid w:val="00C34A60"/>
    <w:rsid w:val="00C34F4D"/>
    <w:rsid w:val="00C50CF3"/>
    <w:rsid w:val="00C610DB"/>
    <w:rsid w:val="00C777B3"/>
    <w:rsid w:val="00C82173"/>
    <w:rsid w:val="00C837F2"/>
    <w:rsid w:val="00C85938"/>
    <w:rsid w:val="00C973B7"/>
    <w:rsid w:val="00CB5B48"/>
    <w:rsid w:val="00CB7CEE"/>
    <w:rsid w:val="00CE5298"/>
    <w:rsid w:val="00CF5A26"/>
    <w:rsid w:val="00D05E52"/>
    <w:rsid w:val="00D06D75"/>
    <w:rsid w:val="00D2026C"/>
    <w:rsid w:val="00D249CA"/>
    <w:rsid w:val="00D24F1A"/>
    <w:rsid w:val="00D51B7A"/>
    <w:rsid w:val="00D5471F"/>
    <w:rsid w:val="00D63564"/>
    <w:rsid w:val="00D72E45"/>
    <w:rsid w:val="00D760F0"/>
    <w:rsid w:val="00DB04F9"/>
    <w:rsid w:val="00DB064A"/>
    <w:rsid w:val="00DB76EC"/>
    <w:rsid w:val="00DD1627"/>
    <w:rsid w:val="00DD35A4"/>
    <w:rsid w:val="00DD6496"/>
    <w:rsid w:val="00DD7FA7"/>
    <w:rsid w:val="00E00F2B"/>
    <w:rsid w:val="00E020B6"/>
    <w:rsid w:val="00E03C85"/>
    <w:rsid w:val="00E12EF1"/>
    <w:rsid w:val="00E20794"/>
    <w:rsid w:val="00E246DC"/>
    <w:rsid w:val="00E25F01"/>
    <w:rsid w:val="00E27E63"/>
    <w:rsid w:val="00E30105"/>
    <w:rsid w:val="00E43F8B"/>
    <w:rsid w:val="00E561E7"/>
    <w:rsid w:val="00E666BB"/>
    <w:rsid w:val="00E670FD"/>
    <w:rsid w:val="00E73B61"/>
    <w:rsid w:val="00E753AA"/>
    <w:rsid w:val="00E817B2"/>
    <w:rsid w:val="00E850F8"/>
    <w:rsid w:val="00E93F07"/>
    <w:rsid w:val="00EC7585"/>
    <w:rsid w:val="00EF63A6"/>
    <w:rsid w:val="00F04053"/>
    <w:rsid w:val="00F05E53"/>
    <w:rsid w:val="00F11E01"/>
    <w:rsid w:val="00F141C9"/>
    <w:rsid w:val="00F15362"/>
    <w:rsid w:val="00F23424"/>
    <w:rsid w:val="00F43E6B"/>
    <w:rsid w:val="00F47ECA"/>
    <w:rsid w:val="00F5066C"/>
    <w:rsid w:val="00F53D3C"/>
    <w:rsid w:val="00F61492"/>
    <w:rsid w:val="00F65D04"/>
    <w:rsid w:val="00F826ED"/>
    <w:rsid w:val="00F875BD"/>
    <w:rsid w:val="00FB1226"/>
    <w:rsid w:val="00FB3938"/>
    <w:rsid w:val="00FC70CA"/>
    <w:rsid w:val="00FE0459"/>
    <w:rsid w:val="00FE631C"/>
    <w:rsid w:val="00FF0A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900F3392-BE27-4166-BCA9-0BC32609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3E6B"/>
    <w:pPr>
      <w:spacing w:line="250" w:lineRule="exact"/>
    </w:pPr>
    <w:rPr>
      <w:rFonts w:cs="Times New Roman"/>
      <w:sz w:val="21"/>
      <w:szCs w:val="21"/>
      <w:lang w:eastAsia="en-AU"/>
    </w:rPr>
  </w:style>
  <w:style w:type="paragraph" w:styleId="Heading1">
    <w:name w:val="heading 1"/>
    <w:next w:val="Heading2"/>
    <w:link w:val="Heading1Char"/>
    <w:uiPriority w:val="9"/>
    <w:qFormat/>
    <w:rsid w:val="005115E8"/>
    <w:pPr>
      <w:keepNext/>
      <w:suppressAutoHyphens/>
      <w:spacing w:before="360" w:after="120" w:line="440" w:lineRule="exact"/>
      <w:outlineLvl w:val="0"/>
    </w:pPr>
    <w:rPr>
      <w:rFonts w:eastAsiaTheme="majorEastAsia" w:cstheme="majorBidi"/>
      <w:bCs/>
      <w:caps/>
      <w:color w:val="482D8C" w:themeColor="background2"/>
      <w:spacing w:val="-20"/>
      <w:kern w:val="36"/>
      <w:sz w:val="44"/>
      <w:szCs w:val="48"/>
      <w:lang w:eastAsia="en-AU"/>
    </w:rPr>
  </w:style>
  <w:style w:type="paragraph" w:styleId="Heading2">
    <w:name w:val="heading 2"/>
    <w:basedOn w:val="Normal"/>
    <w:next w:val="Heading3"/>
    <w:link w:val="Heading2Char"/>
    <w:uiPriority w:val="9"/>
    <w:unhideWhenUsed/>
    <w:qFormat/>
    <w:rsid w:val="00E666BB"/>
    <w:pPr>
      <w:keepNext/>
      <w:suppressAutoHyphens/>
      <w:spacing w:before="240" w:after="60" w:line="300" w:lineRule="exact"/>
      <w:outlineLvl w:val="1"/>
    </w:pPr>
    <w:rPr>
      <w:b/>
      <w:color w:val="AB4399"/>
      <w:sz w:val="38"/>
      <w:szCs w:val="36"/>
    </w:rPr>
  </w:style>
  <w:style w:type="paragraph" w:styleId="Heading3">
    <w:name w:val="heading 3"/>
    <w:basedOn w:val="Normal"/>
    <w:next w:val="Normal"/>
    <w:link w:val="Heading3Char"/>
    <w:uiPriority w:val="9"/>
    <w:unhideWhenUsed/>
    <w:qFormat/>
    <w:rsid w:val="005115E8"/>
    <w:pPr>
      <w:keepNext/>
      <w:suppressAutoHyphens/>
      <w:spacing w:before="200" w:after="60" w:line="240" w:lineRule="exact"/>
      <w:outlineLvl w:val="2"/>
    </w:pPr>
    <w:rPr>
      <w:b/>
      <w:sz w:val="32"/>
      <w:szCs w:val="28"/>
    </w:rPr>
  </w:style>
  <w:style w:type="paragraph" w:styleId="Heading4">
    <w:name w:val="heading 4"/>
    <w:basedOn w:val="Normal"/>
    <w:link w:val="Heading4Char"/>
    <w:uiPriority w:val="9"/>
    <w:unhideWhenUsed/>
    <w:qFormat/>
    <w:rsid w:val="005115E8"/>
    <w:pPr>
      <w:keepNext/>
      <w:spacing w:before="200" w:after="60" w:line="240" w:lineRule="exact"/>
      <w:outlineLvl w:val="3"/>
    </w:pPr>
    <w:rPr>
      <w:b/>
      <w:bCs/>
      <w:color w:val="595959" w:themeColor="text1" w:themeTint="A6"/>
      <w:sz w:val="28"/>
      <w:szCs w:val="28"/>
    </w:rPr>
  </w:style>
  <w:style w:type="paragraph" w:styleId="Heading5">
    <w:name w:val="heading 5"/>
    <w:basedOn w:val="Normal"/>
    <w:next w:val="Normal"/>
    <w:link w:val="Heading5Char"/>
    <w:uiPriority w:val="9"/>
    <w:unhideWhenUsed/>
    <w:qFormat/>
    <w:rsid w:val="00731AE2"/>
    <w:pPr>
      <w:keepNext/>
      <w:keepLines/>
      <w:spacing w:before="40" w:after="0"/>
      <w:outlineLvl w:val="4"/>
    </w:pPr>
    <w:rPr>
      <w:rFonts w:asciiTheme="majorHAnsi" w:eastAsiaTheme="majorEastAsia" w:hAnsiTheme="majorHAnsi" w:cstheme="majorBidi"/>
      <w:color w:val="25252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5E8"/>
    <w:rPr>
      <w:rFonts w:eastAsiaTheme="majorEastAsia" w:cstheme="majorBidi"/>
      <w:bCs/>
      <w:caps/>
      <w:color w:val="482D8C" w:themeColor="background2"/>
      <w:spacing w:val="-20"/>
      <w:kern w:val="36"/>
      <w:sz w:val="44"/>
      <w:szCs w:val="48"/>
      <w:lang w:eastAsia="en-AU"/>
    </w:rPr>
  </w:style>
  <w:style w:type="character" w:customStyle="1" w:styleId="Heading2Char">
    <w:name w:val="Heading 2 Char"/>
    <w:basedOn w:val="DefaultParagraphFont"/>
    <w:link w:val="Heading2"/>
    <w:uiPriority w:val="9"/>
    <w:rsid w:val="00E666BB"/>
    <w:rPr>
      <w:rFonts w:cs="Times New Roman"/>
      <w:b/>
      <w:color w:val="AB4399"/>
      <w:sz w:val="38"/>
      <w:szCs w:val="36"/>
      <w:lang w:eastAsia="en-AU"/>
    </w:rPr>
  </w:style>
  <w:style w:type="character" w:customStyle="1" w:styleId="Heading3Char">
    <w:name w:val="Heading 3 Char"/>
    <w:basedOn w:val="DefaultParagraphFont"/>
    <w:link w:val="Heading3"/>
    <w:uiPriority w:val="9"/>
    <w:rsid w:val="005115E8"/>
    <w:rPr>
      <w:rFonts w:cs="Times New Roman"/>
      <w:b/>
      <w:sz w:val="32"/>
      <w:szCs w:val="28"/>
      <w:lang w:eastAsia="en-AU"/>
    </w:rPr>
  </w:style>
  <w:style w:type="character" w:customStyle="1" w:styleId="Heading4Char">
    <w:name w:val="Heading 4 Char"/>
    <w:basedOn w:val="DefaultParagraphFont"/>
    <w:link w:val="Heading4"/>
    <w:uiPriority w:val="9"/>
    <w:rsid w:val="005115E8"/>
    <w:rPr>
      <w:rFonts w:cs="Times New Roman"/>
      <w:b/>
      <w:bCs/>
      <w:color w:val="595959" w:themeColor="text1" w:themeTint="A6"/>
      <w:sz w:val="28"/>
      <w:szCs w:val="28"/>
      <w:lang w:eastAsia="en-AU"/>
    </w:rPr>
  </w:style>
  <w:style w:type="character" w:styleId="Hyperlink">
    <w:name w:val="Hyperlink"/>
    <w:basedOn w:val="DefaultParagraphFont"/>
    <w:uiPriority w:val="99"/>
    <w:unhideWhenUsed/>
    <w:rsid w:val="00F43E6B"/>
    <w:rPr>
      <w:color w:val="482D8C" w:themeColor="background2"/>
      <w:u w:val="single"/>
    </w:rPr>
  </w:style>
  <w:style w:type="paragraph" w:styleId="TOC1">
    <w:name w:val="toc 1"/>
    <w:basedOn w:val="Normal"/>
    <w:autoRedefine/>
    <w:uiPriority w:val="39"/>
    <w:unhideWhenUsed/>
    <w:rsid w:val="005115E8"/>
    <w:pPr>
      <w:keepNext/>
      <w:tabs>
        <w:tab w:val="right" w:leader="dot" w:pos="9060"/>
      </w:tabs>
      <w:spacing w:before="360" w:after="120" w:line="440" w:lineRule="exact"/>
    </w:pPr>
    <w:rPr>
      <w:b/>
      <w:caps/>
      <w:noProof/>
      <w:color w:val="482D8C" w:themeColor="background2"/>
      <w:sz w:val="32"/>
      <w:szCs w:val="40"/>
    </w:rPr>
  </w:style>
  <w:style w:type="paragraph" w:styleId="TOC2">
    <w:name w:val="toc 2"/>
    <w:basedOn w:val="Normal"/>
    <w:autoRedefine/>
    <w:uiPriority w:val="39"/>
    <w:unhideWhenUsed/>
    <w:rsid w:val="00731AE2"/>
    <w:pPr>
      <w:keepNext/>
      <w:tabs>
        <w:tab w:val="right" w:leader="dot" w:pos="9060"/>
      </w:tabs>
      <w:spacing w:before="200" w:after="120" w:line="320" w:lineRule="exact"/>
      <w:ind w:left="210"/>
    </w:pPr>
    <w:rPr>
      <w:noProof/>
      <w:color w:val="AB4399"/>
      <w:sz w:val="28"/>
      <w:szCs w:val="32"/>
    </w:rPr>
  </w:style>
  <w:style w:type="paragraph" w:styleId="TOC3">
    <w:name w:val="toc 3"/>
    <w:basedOn w:val="Normal"/>
    <w:autoRedefine/>
    <w:uiPriority w:val="39"/>
    <w:unhideWhenUsed/>
    <w:rsid w:val="005115E8"/>
    <w:pPr>
      <w:keepNext/>
      <w:spacing w:before="200" w:after="120" w:line="240" w:lineRule="exact"/>
      <w:ind w:left="420"/>
    </w:pPr>
    <w:rPr>
      <w:sz w:val="24"/>
      <w:szCs w:val="24"/>
    </w:rPr>
  </w:style>
  <w:style w:type="paragraph" w:styleId="Title">
    <w:name w:val="Title"/>
    <w:basedOn w:val="Normal"/>
    <w:link w:val="TitleChar"/>
    <w:uiPriority w:val="10"/>
    <w:qFormat/>
    <w:rsid w:val="00E666BB"/>
    <w:pPr>
      <w:spacing w:after="120" w:line="680" w:lineRule="exact"/>
    </w:pPr>
    <w:rPr>
      <w:caps/>
      <w:color w:val="AB4399"/>
      <w:w w:val="110"/>
      <w:sz w:val="72"/>
      <w:szCs w:val="72"/>
    </w:rPr>
  </w:style>
  <w:style w:type="character" w:customStyle="1" w:styleId="TitleChar">
    <w:name w:val="Title Char"/>
    <w:basedOn w:val="DefaultParagraphFont"/>
    <w:link w:val="Title"/>
    <w:uiPriority w:val="10"/>
    <w:rsid w:val="00E666BB"/>
    <w:rPr>
      <w:rFonts w:cs="Times New Roman"/>
      <w:caps/>
      <w:color w:val="AB4399"/>
      <w:w w:val="110"/>
      <w:sz w:val="72"/>
      <w:szCs w:val="72"/>
      <w:lang w:eastAsia="en-AU"/>
    </w:rPr>
  </w:style>
  <w:style w:type="paragraph" w:styleId="Subtitle">
    <w:name w:val="Subtitle"/>
    <w:basedOn w:val="Normal"/>
    <w:link w:val="SubtitleChar"/>
    <w:uiPriority w:val="11"/>
    <w:qFormat/>
    <w:rsid w:val="000446A5"/>
    <w:pPr>
      <w:spacing w:line="360" w:lineRule="exact"/>
    </w:pPr>
    <w:rPr>
      <w:b/>
      <w:color w:val="262626"/>
      <w:sz w:val="48"/>
      <w:szCs w:val="40"/>
    </w:rPr>
  </w:style>
  <w:style w:type="character" w:customStyle="1" w:styleId="SubtitleChar">
    <w:name w:val="Subtitle Char"/>
    <w:basedOn w:val="DefaultParagraphFont"/>
    <w:link w:val="Subtitle"/>
    <w:uiPriority w:val="11"/>
    <w:rsid w:val="000446A5"/>
    <w:rPr>
      <w:rFonts w:cs="Times New Roman"/>
      <w:b/>
      <w:color w:val="262626"/>
      <w:sz w:val="48"/>
      <w:szCs w:val="40"/>
      <w:lang w:eastAsia="en-AU"/>
    </w:rPr>
  </w:style>
  <w:style w:type="paragraph" w:styleId="TOCHeading">
    <w:name w:val="TOC Heading"/>
    <w:basedOn w:val="Normal"/>
    <w:uiPriority w:val="39"/>
    <w:semiHidden/>
    <w:unhideWhenUsed/>
    <w:qFormat/>
    <w:rsid w:val="00AE6BD7"/>
    <w:pPr>
      <w:keepNext/>
      <w:spacing w:before="480" w:after="120" w:line="276" w:lineRule="auto"/>
    </w:pPr>
    <w:rPr>
      <w:rFonts w:ascii="Cambria" w:hAnsi="Cambria"/>
      <w:b/>
      <w:bCs/>
      <w:color w:val="365F91"/>
      <w:sz w:val="28"/>
      <w:szCs w:val="28"/>
    </w:rPr>
  </w:style>
  <w:style w:type="paragraph" w:customStyle="1" w:styleId="Intro">
    <w:name w:val="Intro"/>
    <w:basedOn w:val="Normal"/>
    <w:rsid w:val="005115E8"/>
    <w:pPr>
      <w:spacing w:line="300" w:lineRule="exact"/>
    </w:pPr>
    <w:rPr>
      <w:color w:val="482D8C" w:themeColor="background2"/>
      <w:w w:val="110"/>
      <w:sz w:val="25"/>
      <w:szCs w:val="24"/>
    </w:rPr>
  </w:style>
  <w:style w:type="paragraph" w:styleId="TOC4">
    <w:name w:val="toc 4"/>
    <w:basedOn w:val="Normal"/>
    <w:next w:val="Normal"/>
    <w:autoRedefine/>
    <w:uiPriority w:val="39"/>
    <w:unhideWhenUsed/>
    <w:rsid w:val="00D5471F"/>
    <w:pPr>
      <w:spacing w:after="100"/>
      <w:ind w:left="630"/>
    </w:pPr>
    <w:rPr>
      <w:color w:val="482D8C" w:themeColor="background2"/>
    </w:rPr>
  </w:style>
  <w:style w:type="paragraph" w:customStyle="1" w:styleId="bulletnumbers">
    <w:name w:val="bullet numbers"/>
    <w:basedOn w:val="Normal"/>
    <w:qFormat/>
    <w:rsid w:val="000C6C34"/>
    <w:pPr>
      <w:numPr>
        <w:numId w:val="18"/>
      </w:numPr>
      <w:spacing w:after="120"/>
      <w:ind w:left="357" w:hanging="357"/>
    </w:pPr>
  </w:style>
  <w:style w:type="paragraph" w:styleId="Header">
    <w:name w:val="header"/>
    <w:basedOn w:val="Normal"/>
    <w:link w:val="HeaderChar"/>
    <w:uiPriority w:val="99"/>
    <w:unhideWhenUsed/>
    <w:rsid w:val="00665B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B9F"/>
    <w:rPr>
      <w:rFonts w:ascii="Source Sans Pro" w:hAnsi="Source Sans Pro" w:cs="Times New Roman"/>
      <w:sz w:val="21"/>
      <w:szCs w:val="21"/>
      <w:lang w:eastAsia="en-AU"/>
    </w:rPr>
  </w:style>
  <w:style w:type="paragraph" w:styleId="Footer">
    <w:name w:val="footer"/>
    <w:basedOn w:val="Normal"/>
    <w:link w:val="FooterChar"/>
    <w:uiPriority w:val="99"/>
    <w:unhideWhenUsed/>
    <w:rsid w:val="00665B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B9F"/>
    <w:rPr>
      <w:rFonts w:ascii="Source Sans Pro" w:hAnsi="Source Sans Pro" w:cs="Times New Roman"/>
      <w:sz w:val="21"/>
      <w:szCs w:val="21"/>
      <w:lang w:eastAsia="en-AU"/>
    </w:rPr>
  </w:style>
  <w:style w:type="paragraph" w:customStyle="1" w:styleId="Tablebody">
    <w:name w:val="Table body"/>
    <w:basedOn w:val="BodyText"/>
    <w:uiPriority w:val="1"/>
    <w:qFormat/>
    <w:rsid w:val="00632F54"/>
    <w:pPr>
      <w:widowControl w:val="0"/>
      <w:spacing w:before="120"/>
    </w:pPr>
    <w:rPr>
      <w:rFonts w:eastAsia="Montserrat Light" w:cstheme="minorBidi"/>
      <w:color w:val="262626" w:themeColor="text1" w:themeTint="D9"/>
      <w:szCs w:val="22"/>
      <w:lang w:val="en-US" w:eastAsia="en-US"/>
    </w:rPr>
  </w:style>
  <w:style w:type="paragraph" w:styleId="TOAHeading">
    <w:name w:val="toa heading"/>
    <w:basedOn w:val="Normal"/>
    <w:next w:val="Normal"/>
    <w:uiPriority w:val="99"/>
    <w:semiHidden/>
    <w:unhideWhenUsed/>
    <w:rsid w:val="00632F54"/>
    <w:pPr>
      <w:spacing w:before="120"/>
    </w:pPr>
    <w:rPr>
      <w:rFonts w:asciiTheme="majorHAnsi" w:eastAsiaTheme="majorEastAsia" w:hAnsiTheme="majorHAnsi" w:cstheme="majorBidi"/>
      <w:b/>
      <w:bCs/>
      <w:sz w:val="24"/>
      <w:szCs w:val="24"/>
    </w:rPr>
  </w:style>
  <w:style w:type="table" w:styleId="TableGrid">
    <w:name w:val="Table Grid"/>
    <w:basedOn w:val="TableNormal"/>
    <w:uiPriority w:val="39"/>
    <w:rsid w:val="00632F54"/>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Tablebody"/>
    <w:uiPriority w:val="1"/>
    <w:qFormat/>
    <w:rsid w:val="000446A5"/>
    <w:rPr>
      <w:color w:val="FFFFFF" w:themeColor="background1"/>
      <w:szCs w:val="24"/>
    </w:rPr>
  </w:style>
  <w:style w:type="paragraph" w:styleId="BodyText">
    <w:name w:val="Body Text"/>
    <w:basedOn w:val="Normal"/>
    <w:link w:val="BodyTextChar"/>
    <w:uiPriority w:val="99"/>
    <w:semiHidden/>
    <w:unhideWhenUsed/>
    <w:rsid w:val="00632F54"/>
    <w:pPr>
      <w:spacing w:after="120"/>
    </w:pPr>
  </w:style>
  <w:style w:type="character" w:customStyle="1" w:styleId="BodyTextChar">
    <w:name w:val="Body Text Char"/>
    <w:basedOn w:val="DefaultParagraphFont"/>
    <w:link w:val="BodyText"/>
    <w:uiPriority w:val="99"/>
    <w:semiHidden/>
    <w:rsid w:val="00632F54"/>
    <w:rPr>
      <w:rFonts w:ascii="Source Sans Pro" w:hAnsi="Source Sans Pro" w:cs="Times New Roman"/>
      <w:sz w:val="21"/>
      <w:szCs w:val="21"/>
      <w:lang w:eastAsia="en-AU"/>
    </w:rPr>
  </w:style>
  <w:style w:type="paragraph" w:customStyle="1" w:styleId="Bullet1">
    <w:name w:val="Bullet 1"/>
    <w:basedOn w:val="Normal"/>
    <w:link w:val="Bullet1Char"/>
    <w:qFormat/>
    <w:rsid w:val="00F53D3C"/>
    <w:pPr>
      <w:numPr>
        <w:numId w:val="3"/>
      </w:numPr>
      <w:spacing w:after="60" w:line="240" w:lineRule="auto"/>
      <w:ind w:left="357" w:hanging="357"/>
    </w:pPr>
    <w:rPr>
      <w:rFonts w:eastAsia="Times New Roman"/>
      <w:sz w:val="22"/>
      <w:szCs w:val="20"/>
      <w:lang w:eastAsia="en-US"/>
    </w:rPr>
  </w:style>
  <w:style w:type="character" w:customStyle="1" w:styleId="Bullet1Char">
    <w:name w:val="Bullet 1 Char"/>
    <w:basedOn w:val="DefaultParagraphFont"/>
    <w:link w:val="Bullet1"/>
    <w:rsid w:val="00F53D3C"/>
    <w:rPr>
      <w:rFonts w:eastAsia="Times New Roman" w:cs="Times New Roman"/>
      <w:szCs w:val="20"/>
    </w:rPr>
  </w:style>
  <w:style w:type="paragraph" w:customStyle="1" w:styleId="Bullet2">
    <w:name w:val="Bullet 2"/>
    <w:basedOn w:val="Bullet1"/>
    <w:link w:val="Bullet2Char"/>
    <w:qFormat/>
    <w:rsid w:val="002A5458"/>
    <w:pPr>
      <w:numPr>
        <w:numId w:val="4"/>
      </w:numPr>
      <w:ind w:left="630" w:hanging="273"/>
    </w:pPr>
  </w:style>
  <w:style w:type="character" w:customStyle="1" w:styleId="Bullet2Char">
    <w:name w:val="Bullet 2 Char"/>
    <w:basedOn w:val="Bullet1Char"/>
    <w:link w:val="Bullet2"/>
    <w:rsid w:val="002A5458"/>
    <w:rPr>
      <w:rFonts w:eastAsia="Times New Roman" w:cs="Times New Roman"/>
      <w:szCs w:val="20"/>
    </w:rPr>
  </w:style>
  <w:style w:type="paragraph" w:customStyle="1" w:styleId="Bullet3">
    <w:name w:val="Bullet 3"/>
    <w:basedOn w:val="Bullet2"/>
    <w:qFormat/>
    <w:rsid w:val="002A5458"/>
    <w:pPr>
      <w:numPr>
        <w:numId w:val="5"/>
      </w:numPr>
      <w:tabs>
        <w:tab w:val="num" w:pos="360"/>
      </w:tabs>
      <w:ind w:left="993" w:hanging="276"/>
    </w:pPr>
  </w:style>
  <w:style w:type="paragraph" w:customStyle="1" w:styleId="Note">
    <w:name w:val="Note"/>
    <w:basedOn w:val="Normal"/>
    <w:link w:val="NoteChar"/>
    <w:qFormat/>
    <w:rsid w:val="00AE3905"/>
    <w:pPr>
      <w:keepNext/>
      <w:spacing w:before="120"/>
    </w:pPr>
    <w:rPr>
      <w:rFonts w:eastAsia="Times New Roman"/>
      <w:sz w:val="18"/>
      <w:szCs w:val="16"/>
      <w:lang w:eastAsia="en-US"/>
    </w:rPr>
  </w:style>
  <w:style w:type="character" w:customStyle="1" w:styleId="NoteChar">
    <w:name w:val="Note Char"/>
    <w:link w:val="Note"/>
    <w:rsid w:val="00752EAD"/>
    <w:rPr>
      <w:rFonts w:eastAsia="Times New Roman" w:cs="Times New Roman"/>
      <w:sz w:val="18"/>
      <w:szCs w:val="16"/>
    </w:rPr>
  </w:style>
  <w:style w:type="paragraph" w:customStyle="1" w:styleId="Tablefigures">
    <w:name w:val="Table figures"/>
    <w:basedOn w:val="Tabletext"/>
    <w:link w:val="TablefiguresChar"/>
    <w:autoRedefine/>
    <w:qFormat/>
    <w:rsid w:val="0086024E"/>
    <w:pPr>
      <w:jc w:val="right"/>
    </w:pPr>
    <w:rPr>
      <w:bCs w:val="0"/>
    </w:rPr>
  </w:style>
  <w:style w:type="paragraph" w:customStyle="1" w:styleId="Tabletext">
    <w:name w:val="Table text"/>
    <w:basedOn w:val="Normal"/>
    <w:link w:val="TabletextChar"/>
    <w:autoRedefine/>
    <w:qFormat/>
    <w:rsid w:val="000419C1"/>
    <w:pPr>
      <w:spacing w:after="0" w:line="240" w:lineRule="auto"/>
      <w:ind w:left="227" w:hanging="227"/>
    </w:pPr>
    <w:rPr>
      <w:rFonts w:eastAsia="Times New Roman"/>
      <w:bCs/>
      <w:szCs w:val="20"/>
    </w:rPr>
  </w:style>
  <w:style w:type="character" w:customStyle="1" w:styleId="TablefiguresChar">
    <w:name w:val="Table figures Char"/>
    <w:basedOn w:val="DefaultParagraphFont"/>
    <w:link w:val="Tablefigures"/>
    <w:rsid w:val="0086024E"/>
    <w:rPr>
      <w:rFonts w:eastAsia="Times New Roman" w:cs="Times New Roman"/>
      <w:sz w:val="20"/>
      <w:szCs w:val="20"/>
      <w:lang w:eastAsia="en-AU"/>
    </w:rPr>
  </w:style>
  <w:style w:type="character" w:customStyle="1" w:styleId="TabletextChar">
    <w:name w:val="Table text Char"/>
    <w:basedOn w:val="DefaultParagraphFont"/>
    <w:link w:val="Tabletext"/>
    <w:rsid w:val="000419C1"/>
    <w:rPr>
      <w:rFonts w:eastAsia="Times New Roman" w:cs="Times New Roman"/>
      <w:bCs/>
      <w:sz w:val="21"/>
      <w:szCs w:val="20"/>
      <w:lang w:eastAsia="en-AU"/>
    </w:rPr>
  </w:style>
  <w:style w:type="paragraph" w:customStyle="1" w:styleId="Noteslist">
    <w:name w:val="Notes list"/>
    <w:basedOn w:val="Normal"/>
    <w:link w:val="NoteslistChar"/>
    <w:qFormat/>
    <w:rsid w:val="0086024E"/>
    <w:pPr>
      <w:numPr>
        <w:numId w:val="6"/>
      </w:numPr>
      <w:spacing w:after="0" w:line="240" w:lineRule="auto"/>
    </w:pPr>
    <w:rPr>
      <w:rFonts w:eastAsia="Times New Roman"/>
      <w:sz w:val="18"/>
      <w:szCs w:val="24"/>
      <w:lang w:eastAsia="en-US"/>
    </w:rPr>
  </w:style>
  <w:style w:type="character" w:customStyle="1" w:styleId="NoteslistChar">
    <w:name w:val="Notes list Char"/>
    <w:basedOn w:val="DefaultParagraphFont"/>
    <w:link w:val="Noteslist"/>
    <w:rsid w:val="0086024E"/>
    <w:rPr>
      <w:rFonts w:eastAsia="Times New Roman" w:cs="Times New Roman"/>
      <w:sz w:val="18"/>
      <w:szCs w:val="24"/>
    </w:rPr>
  </w:style>
  <w:style w:type="paragraph" w:customStyle="1" w:styleId="TableFiguresheading">
    <w:name w:val="Table Figures_heading"/>
    <w:basedOn w:val="Normal"/>
    <w:link w:val="TableFiguresheadingChar"/>
    <w:qFormat/>
    <w:rsid w:val="007E76A2"/>
    <w:pPr>
      <w:spacing w:after="0" w:line="240" w:lineRule="auto"/>
      <w:jc w:val="right"/>
    </w:pPr>
    <w:rPr>
      <w:rFonts w:eastAsia="Times New Roman"/>
      <w:b/>
      <w:sz w:val="20"/>
      <w:szCs w:val="20"/>
      <w:lang w:eastAsia="en-US"/>
    </w:rPr>
  </w:style>
  <w:style w:type="character" w:customStyle="1" w:styleId="TableFiguresheadingChar">
    <w:name w:val="Table Figures_heading Char"/>
    <w:basedOn w:val="DefaultParagraphFont"/>
    <w:link w:val="TableFiguresheading"/>
    <w:rsid w:val="007E76A2"/>
    <w:rPr>
      <w:rFonts w:eastAsia="Times New Roman" w:cs="Times New Roman"/>
      <w:b/>
      <w:sz w:val="20"/>
      <w:szCs w:val="20"/>
    </w:rPr>
  </w:style>
  <w:style w:type="paragraph" w:customStyle="1" w:styleId="Tabletextbold">
    <w:name w:val="Table text bold"/>
    <w:basedOn w:val="Tabletext"/>
    <w:qFormat/>
    <w:rsid w:val="007D5985"/>
    <w:rPr>
      <w:b/>
    </w:rPr>
  </w:style>
  <w:style w:type="paragraph" w:customStyle="1" w:styleId="TableTextbolditalics">
    <w:name w:val="Table Text bold italics"/>
    <w:basedOn w:val="Tabletext"/>
    <w:qFormat/>
    <w:rsid w:val="007D5985"/>
    <w:rPr>
      <w:b/>
      <w:i/>
    </w:rPr>
  </w:style>
  <w:style w:type="paragraph" w:customStyle="1" w:styleId="TableFiguresbold">
    <w:name w:val="Table Figures bold"/>
    <w:basedOn w:val="Tablefigures"/>
    <w:qFormat/>
    <w:rsid w:val="007D5985"/>
    <w:rPr>
      <w:b/>
    </w:rPr>
  </w:style>
  <w:style w:type="paragraph" w:customStyle="1" w:styleId="TableCaption">
    <w:name w:val="Table Caption"/>
    <w:basedOn w:val="Caption"/>
    <w:rsid w:val="0086024E"/>
    <w:pPr>
      <w:keepNext/>
      <w:spacing w:before="240" w:after="120"/>
    </w:pPr>
    <w:rPr>
      <w:rFonts w:eastAsia="Times New Roman"/>
      <w:color w:val="482D8C"/>
      <w:sz w:val="22"/>
      <w:lang w:eastAsia="en-US"/>
    </w:rPr>
  </w:style>
  <w:style w:type="table" w:customStyle="1" w:styleId="ARTableText">
    <w:name w:val="AR_Table_Text"/>
    <w:basedOn w:val="TableNormal"/>
    <w:uiPriority w:val="99"/>
    <w:qFormat/>
    <w:rsid w:val="000419C1"/>
    <w:pPr>
      <w:spacing w:after="0" w:line="240" w:lineRule="auto"/>
    </w:pPr>
    <w:rPr>
      <w:rFonts w:asciiTheme="majorHAnsi" w:eastAsia="Times New Roman" w:hAnsiTheme="majorHAnsi" w:cs="Times New Roman"/>
      <w:b/>
      <w:sz w:val="21"/>
      <w:szCs w:val="20"/>
      <w:lang w:eastAsia="en-AU"/>
    </w:rPr>
    <w:tblPr>
      <w:tblStyleRowBandSize w:val="1"/>
      <w:tblCellMar>
        <w:top w:w="57" w:type="dxa"/>
        <w:bottom w:w="57" w:type="dxa"/>
      </w:tblCellMar>
    </w:tblPr>
    <w:tcPr>
      <w:shd w:val="clear" w:color="auto" w:fill="E0E0E0"/>
      <w:vAlign w:val="center"/>
    </w:tcPr>
    <w:tblStylePr w:type="firstRow">
      <w:pPr>
        <w:jc w:val="center"/>
      </w:pPr>
      <w:rPr>
        <w:rFonts w:asciiTheme="minorHAnsi" w:hAnsiTheme="minorHAnsi"/>
        <w:b/>
        <w:sz w:val="20"/>
      </w:rPr>
      <w:tblPr/>
      <w:tcPr>
        <w:tcBorders>
          <w:top w:val="single" w:sz="4" w:space="0" w:color="000000"/>
          <w:left w:val="nil"/>
          <w:bottom w:val="single" w:sz="18" w:space="0" w:color="auto"/>
          <w:right w:val="nil"/>
        </w:tcBorders>
        <w:shd w:val="clear" w:color="auto" w:fill="auto"/>
      </w:tcPr>
    </w:tblStylePr>
    <w:tblStylePr w:type="lastRow">
      <w:rPr>
        <w:rFonts w:asciiTheme="minorHAnsi" w:hAnsiTheme="minorHAnsi"/>
        <w:sz w:val="20"/>
      </w:rPr>
      <w:tblPr/>
      <w:tcPr>
        <w:tcBorders>
          <w:bottom w:val="dotted" w:sz="6" w:space="0" w:color="auto"/>
        </w:tcBorders>
        <w:shd w:val="clear" w:color="auto" w:fill="ECECEC"/>
      </w:tcPr>
    </w:tblStylePr>
    <w:tblStylePr w:type="firstCol">
      <w:pPr>
        <w:jc w:val="left"/>
      </w:pPr>
      <w:rPr>
        <w:rFonts w:asciiTheme="minorHAnsi" w:hAnsiTheme="minorHAnsi"/>
        <w:sz w:val="20"/>
      </w:rPr>
      <w:tblPr/>
      <w:tcPr>
        <w:vAlign w:val="center"/>
      </w:tcPr>
    </w:tblStylePr>
    <w:tblStylePr w:type="band1Horz">
      <w:pPr>
        <w:jc w:val="left"/>
      </w:pPr>
      <w:rPr>
        <w:rFonts w:asciiTheme="minorHAnsi" w:hAnsiTheme="minorHAnsi"/>
        <w:sz w:val="18"/>
      </w:rPr>
      <w:tblPr/>
      <w:tcPr>
        <w:tcBorders>
          <w:bottom w:val="dotted" w:sz="6" w:space="0" w:color="auto"/>
        </w:tcBorders>
        <w:shd w:val="clear" w:color="auto" w:fill="auto"/>
      </w:tcPr>
    </w:tblStylePr>
    <w:tblStylePr w:type="band2Horz">
      <w:rPr>
        <w:rFonts w:asciiTheme="minorHAnsi" w:hAnsiTheme="minorHAnsi"/>
        <w:sz w:val="18"/>
      </w:rPr>
      <w:tblPr/>
      <w:tcPr>
        <w:tcBorders>
          <w:bottom w:val="dotted" w:sz="6" w:space="0" w:color="auto"/>
        </w:tcBorders>
        <w:shd w:val="clear" w:color="auto" w:fill="auto"/>
      </w:tcPr>
    </w:tblStylePr>
  </w:style>
  <w:style w:type="paragraph" w:customStyle="1" w:styleId="Tableheading">
    <w:name w:val="Table heading"/>
    <w:qFormat/>
    <w:rsid w:val="00C85938"/>
    <w:pPr>
      <w:spacing w:after="0"/>
    </w:pPr>
    <w:rPr>
      <w:rFonts w:eastAsia="Times New Roman" w:cs="Times New Roman"/>
      <w:sz w:val="21"/>
      <w:szCs w:val="21"/>
      <w:lang w:eastAsia="en-AU"/>
    </w:rPr>
  </w:style>
  <w:style w:type="table" w:customStyle="1" w:styleId="ARTableFigures">
    <w:name w:val="AR_Table_Figures"/>
    <w:basedOn w:val="ARTableText"/>
    <w:uiPriority w:val="99"/>
    <w:qFormat/>
    <w:rsid w:val="007D5985"/>
    <w:pPr>
      <w:jc w:val="right"/>
    </w:pPr>
    <w:tblPr/>
    <w:tcPr>
      <w:shd w:val="clear" w:color="auto" w:fill="E0E0E0"/>
    </w:tcPr>
    <w:tblStylePr w:type="firstRow">
      <w:pPr>
        <w:jc w:val="right"/>
      </w:pPr>
      <w:rPr>
        <w:rFonts w:asciiTheme="minorHAnsi" w:hAnsiTheme="minorHAnsi"/>
        <w:b/>
        <w:sz w:val="20"/>
      </w:rPr>
      <w:tblPr/>
      <w:tcPr>
        <w:tcBorders>
          <w:top w:val="single" w:sz="4" w:space="0" w:color="000000"/>
          <w:left w:val="nil"/>
          <w:bottom w:val="single" w:sz="18" w:space="0" w:color="auto"/>
          <w:right w:val="nil"/>
        </w:tcBorders>
        <w:shd w:val="clear" w:color="auto" w:fill="auto"/>
      </w:tcPr>
    </w:tblStylePr>
    <w:tblStylePr w:type="lastRow">
      <w:rPr>
        <w:rFonts w:asciiTheme="minorHAnsi" w:hAnsiTheme="minorHAnsi"/>
        <w:sz w:val="20"/>
      </w:rPr>
      <w:tblPr/>
      <w:tcPr>
        <w:tcBorders>
          <w:bottom w:val="dotted" w:sz="6" w:space="0" w:color="auto"/>
        </w:tcBorders>
        <w:shd w:val="clear" w:color="auto" w:fill="D9D9D9" w:themeFill="background1" w:themeFillShade="D9"/>
      </w:tcPr>
    </w:tblStylePr>
    <w:tblStylePr w:type="firstCol">
      <w:pPr>
        <w:jc w:val="left"/>
      </w:pPr>
      <w:rPr>
        <w:rFonts w:asciiTheme="minorHAnsi" w:hAnsiTheme="minorHAnsi"/>
        <w:sz w:val="20"/>
      </w:rPr>
      <w:tblPr/>
      <w:tcPr>
        <w:vAlign w:val="center"/>
      </w:tcPr>
    </w:tblStylePr>
    <w:tblStylePr w:type="band1Horz">
      <w:pPr>
        <w:jc w:val="right"/>
      </w:pPr>
      <w:rPr>
        <w:rFonts w:asciiTheme="minorHAnsi" w:hAnsiTheme="minorHAnsi"/>
        <w:sz w:val="18"/>
      </w:rPr>
      <w:tblPr/>
      <w:tcPr>
        <w:tcBorders>
          <w:bottom w:val="dotted" w:sz="6" w:space="0" w:color="auto"/>
        </w:tcBorders>
        <w:shd w:val="clear" w:color="auto" w:fill="auto"/>
        <w:vAlign w:val="center"/>
      </w:tcPr>
    </w:tblStylePr>
    <w:tblStylePr w:type="band2Horz">
      <w:pPr>
        <w:jc w:val="right"/>
      </w:pPr>
      <w:rPr>
        <w:rFonts w:asciiTheme="minorHAnsi" w:hAnsiTheme="minorHAnsi"/>
        <w:sz w:val="18"/>
      </w:rPr>
      <w:tblPr/>
      <w:tcPr>
        <w:tcBorders>
          <w:bottom w:val="dotted" w:sz="6" w:space="0" w:color="auto"/>
        </w:tcBorders>
        <w:shd w:val="clear" w:color="auto" w:fill="auto"/>
        <w:vAlign w:val="center"/>
      </w:tcPr>
    </w:tblStylePr>
  </w:style>
  <w:style w:type="table" w:customStyle="1" w:styleId="LightShading1">
    <w:name w:val="Light Shading1"/>
    <w:basedOn w:val="TableNormal"/>
    <w:uiPriority w:val="60"/>
    <w:rsid w:val="007903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teHeading">
    <w:name w:val="Note Heading"/>
    <w:basedOn w:val="Normal"/>
    <w:next w:val="Normal"/>
    <w:link w:val="NoteHeadingChar"/>
    <w:uiPriority w:val="99"/>
    <w:semiHidden/>
    <w:unhideWhenUsed/>
    <w:rsid w:val="007D5985"/>
    <w:pPr>
      <w:spacing w:after="0" w:line="240" w:lineRule="auto"/>
    </w:pPr>
  </w:style>
  <w:style w:type="character" w:customStyle="1" w:styleId="NoteHeadingChar">
    <w:name w:val="Note Heading Char"/>
    <w:basedOn w:val="DefaultParagraphFont"/>
    <w:link w:val="NoteHeading"/>
    <w:uiPriority w:val="99"/>
    <w:semiHidden/>
    <w:rsid w:val="007D5985"/>
    <w:rPr>
      <w:rFonts w:cs="Times New Roman"/>
      <w:sz w:val="21"/>
      <w:szCs w:val="21"/>
      <w:lang w:eastAsia="en-AU"/>
    </w:rPr>
  </w:style>
  <w:style w:type="paragraph" w:styleId="Caption">
    <w:name w:val="caption"/>
    <w:basedOn w:val="Normal"/>
    <w:next w:val="Normal"/>
    <w:uiPriority w:val="35"/>
    <w:unhideWhenUsed/>
    <w:qFormat/>
    <w:rsid w:val="005E5305"/>
    <w:pPr>
      <w:spacing w:before="200" w:line="220" w:lineRule="exact"/>
    </w:pPr>
    <w:rPr>
      <w:bCs/>
      <w:i/>
      <w:color w:val="323232" w:themeColor="accent1"/>
      <w:sz w:val="18"/>
      <w:szCs w:val="18"/>
    </w:rPr>
  </w:style>
  <w:style w:type="table" w:styleId="LightShading-Accent2">
    <w:name w:val="Light Shading Accent 2"/>
    <w:basedOn w:val="TableNormal"/>
    <w:uiPriority w:val="60"/>
    <w:rsid w:val="001912A2"/>
    <w:pPr>
      <w:spacing w:after="0" w:line="240" w:lineRule="auto"/>
    </w:pPr>
    <w:rPr>
      <w:color w:val="6D6F63" w:themeColor="accent2" w:themeShade="BF"/>
    </w:rPr>
    <w:tblPr>
      <w:tblStyleRowBandSize w:val="1"/>
      <w:tblStyleColBandSize w:val="1"/>
      <w:tblBorders>
        <w:top w:val="single" w:sz="8" w:space="0" w:color="929487" w:themeColor="accent2"/>
        <w:bottom w:val="single" w:sz="8" w:space="0" w:color="929487" w:themeColor="accent2"/>
      </w:tblBorders>
      <w:tblCellMar>
        <w:top w:w="113" w:type="dxa"/>
        <w:bottom w:w="113" w:type="dxa"/>
      </w:tblCellMar>
    </w:tblPr>
    <w:tcPr>
      <w:vAlign w:val="center"/>
    </w:tcPr>
    <w:tblStylePr w:type="firstRow">
      <w:pPr>
        <w:spacing w:before="0" w:after="0" w:line="240" w:lineRule="auto"/>
      </w:pPr>
      <w:rPr>
        <w:b/>
        <w:bCs/>
      </w:rPr>
      <w:tblPr/>
      <w:tcPr>
        <w:tcBorders>
          <w:top w:val="single" w:sz="8" w:space="0" w:color="929487" w:themeColor="accent2"/>
          <w:left w:val="nil"/>
          <w:bottom w:val="single" w:sz="8" w:space="0" w:color="929487" w:themeColor="accent2"/>
          <w:right w:val="nil"/>
          <w:insideH w:val="nil"/>
          <w:insideV w:val="nil"/>
        </w:tcBorders>
      </w:tcPr>
    </w:tblStylePr>
    <w:tblStylePr w:type="lastRow">
      <w:pPr>
        <w:spacing w:before="0" w:after="0" w:line="240" w:lineRule="auto"/>
      </w:pPr>
      <w:rPr>
        <w:b/>
        <w:bCs/>
      </w:rPr>
      <w:tblPr/>
      <w:tcPr>
        <w:tcBorders>
          <w:top w:val="single" w:sz="8" w:space="0" w:color="929487" w:themeColor="accent2"/>
          <w:left w:val="nil"/>
          <w:bottom w:val="single" w:sz="8" w:space="0" w:color="92948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4E1" w:themeFill="accent2" w:themeFillTint="3F"/>
      </w:tcPr>
    </w:tblStylePr>
    <w:tblStylePr w:type="band1Horz">
      <w:tblPr/>
      <w:tcPr>
        <w:tcBorders>
          <w:left w:val="nil"/>
          <w:right w:val="nil"/>
          <w:insideH w:val="nil"/>
          <w:insideV w:val="nil"/>
        </w:tcBorders>
        <w:shd w:val="clear" w:color="auto" w:fill="E3E4E1" w:themeFill="accent2" w:themeFillTint="3F"/>
      </w:tcPr>
    </w:tblStylePr>
  </w:style>
  <w:style w:type="table" w:styleId="LightList-Accent2">
    <w:name w:val="Light List Accent 2"/>
    <w:basedOn w:val="TableNormal"/>
    <w:uiPriority w:val="61"/>
    <w:rsid w:val="009B7419"/>
    <w:pPr>
      <w:spacing w:after="0" w:line="240" w:lineRule="auto"/>
    </w:pPr>
    <w:tblPr>
      <w:tblStyleRowBandSize w:val="1"/>
      <w:tblStyleColBandSize w:val="1"/>
      <w:tblBorders>
        <w:top w:val="single" w:sz="8" w:space="0" w:color="929487" w:themeColor="accent2"/>
        <w:left w:val="single" w:sz="8" w:space="0" w:color="929487" w:themeColor="accent2"/>
        <w:bottom w:val="single" w:sz="8" w:space="0" w:color="929487" w:themeColor="accent2"/>
        <w:right w:val="single" w:sz="8" w:space="0" w:color="929487" w:themeColor="accent2"/>
      </w:tblBorders>
    </w:tblPr>
    <w:tblStylePr w:type="firstRow">
      <w:pPr>
        <w:spacing w:before="0" w:after="0" w:line="240" w:lineRule="auto"/>
      </w:pPr>
      <w:rPr>
        <w:b/>
        <w:bCs/>
        <w:color w:val="FFFFFF" w:themeColor="background1"/>
      </w:rPr>
      <w:tblPr/>
      <w:tcPr>
        <w:shd w:val="clear" w:color="auto" w:fill="929487" w:themeFill="accent2"/>
      </w:tcPr>
    </w:tblStylePr>
    <w:tblStylePr w:type="lastRow">
      <w:pPr>
        <w:spacing w:before="0" w:after="0" w:line="240" w:lineRule="auto"/>
      </w:pPr>
      <w:rPr>
        <w:b/>
        <w:bCs/>
      </w:rPr>
      <w:tblPr/>
      <w:tcPr>
        <w:tcBorders>
          <w:top w:val="double" w:sz="6" w:space="0" w:color="929487" w:themeColor="accent2"/>
          <w:left w:val="single" w:sz="8" w:space="0" w:color="929487" w:themeColor="accent2"/>
          <w:bottom w:val="single" w:sz="8" w:space="0" w:color="929487" w:themeColor="accent2"/>
          <w:right w:val="single" w:sz="8" w:space="0" w:color="929487" w:themeColor="accent2"/>
        </w:tcBorders>
      </w:tcPr>
    </w:tblStylePr>
    <w:tblStylePr w:type="firstCol">
      <w:rPr>
        <w:b/>
        <w:bCs/>
      </w:rPr>
    </w:tblStylePr>
    <w:tblStylePr w:type="lastCol">
      <w:rPr>
        <w:b/>
        <w:bCs/>
      </w:rPr>
    </w:tblStylePr>
    <w:tblStylePr w:type="band1Vert">
      <w:tblPr/>
      <w:tcPr>
        <w:tcBorders>
          <w:top w:val="single" w:sz="8" w:space="0" w:color="929487" w:themeColor="accent2"/>
          <w:left w:val="single" w:sz="8" w:space="0" w:color="929487" w:themeColor="accent2"/>
          <w:bottom w:val="single" w:sz="8" w:space="0" w:color="929487" w:themeColor="accent2"/>
          <w:right w:val="single" w:sz="8" w:space="0" w:color="929487" w:themeColor="accent2"/>
        </w:tcBorders>
      </w:tcPr>
    </w:tblStylePr>
    <w:tblStylePr w:type="band1Horz">
      <w:tblPr/>
      <w:tcPr>
        <w:tcBorders>
          <w:top w:val="single" w:sz="8" w:space="0" w:color="929487" w:themeColor="accent2"/>
          <w:left w:val="single" w:sz="8" w:space="0" w:color="929487" w:themeColor="accent2"/>
          <w:bottom w:val="single" w:sz="8" w:space="0" w:color="929487" w:themeColor="accent2"/>
          <w:right w:val="single" w:sz="8" w:space="0" w:color="929487" w:themeColor="accent2"/>
        </w:tcBorders>
      </w:tcPr>
    </w:tblStylePr>
  </w:style>
  <w:style w:type="table" w:styleId="MediumShading1-Accent2">
    <w:name w:val="Medium Shading 1 Accent 2"/>
    <w:basedOn w:val="TableNormal"/>
    <w:uiPriority w:val="63"/>
    <w:rsid w:val="009B7419"/>
    <w:pPr>
      <w:spacing w:after="0" w:line="240" w:lineRule="auto"/>
    </w:pPr>
    <w:tblPr>
      <w:tblStyleRowBandSize w:val="1"/>
      <w:tblStyleColBandSize w:val="1"/>
      <w:tblBorders>
        <w:insideH w:val="single" w:sz="8" w:space="0" w:color="929487" w:themeColor="accent2"/>
      </w:tblBorders>
    </w:tblPr>
    <w:tblStylePr w:type="firstRow">
      <w:pPr>
        <w:spacing w:before="0" w:after="0" w:line="240" w:lineRule="auto"/>
      </w:pPr>
      <w:rPr>
        <w:b/>
        <w:bCs/>
        <w:color w:val="FFFFFF" w:themeColor="background1"/>
      </w:rPr>
      <w:tblPr/>
      <w:tcPr>
        <w:tcBorders>
          <w:top w:val="single" w:sz="8" w:space="0" w:color="ADAEA4" w:themeColor="accent2" w:themeTint="BF"/>
          <w:left w:val="single" w:sz="8" w:space="0" w:color="ADAEA4" w:themeColor="accent2" w:themeTint="BF"/>
          <w:bottom w:val="single" w:sz="8" w:space="0" w:color="ADAEA4" w:themeColor="accent2" w:themeTint="BF"/>
          <w:right w:val="single" w:sz="8" w:space="0" w:color="ADAEA4" w:themeColor="accent2" w:themeTint="BF"/>
          <w:insideH w:val="nil"/>
          <w:insideV w:val="nil"/>
        </w:tcBorders>
        <w:shd w:val="clear" w:color="auto" w:fill="929487" w:themeFill="accent2"/>
      </w:tcPr>
    </w:tblStylePr>
    <w:tblStylePr w:type="lastRow">
      <w:pPr>
        <w:spacing w:before="0" w:after="0" w:line="240" w:lineRule="auto"/>
      </w:pPr>
      <w:rPr>
        <w:b/>
        <w:bCs/>
      </w:rPr>
      <w:tblPr/>
      <w:tcPr>
        <w:tcBorders>
          <w:top w:val="double" w:sz="6" w:space="0" w:color="ADAEA4" w:themeColor="accent2" w:themeTint="BF"/>
          <w:left w:val="single" w:sz="8" w:space="0" w:color="ADAEA4" w:themeColor="accent2" w:themeTint="BF"/>
          <w:bottom w:val="single" w:sz="8" w:space="0" w:color="ADAEA4" w:themeColor="accent2" w:themeTint="BF"/>
          <w:right w:val="single" w:sz="8" w:space="0" w:color="ADAEA4" w:themeColor="accent2" w:themeTint="BF"/>
          <w:insideH w:val="nil"/>
          <w:insideV w:val="nil"/>
        </w:tcBorders>
      </w:tcPr>
    </w:tblStylePr>
    <w:tblStylePr w:type="firstCol">
      <w:rPr>
        <w:b/>
        <w:bCs/>
      </w:rPr>
    </w:tblStylePr>
    <w:tblStylePr w:type="lastCol">
      <w:rPr>
        <w:b/>
        <w:bCs/>
      </w:rPr>
    </w:tblStylePr>
    <w:tblStylePr w:type="band1Vert">
      <w:tblPr/>
      <w:tcPr>
        <w:shd w:val="clear" w:color="auto" w:fill="E3E4E1" w:themeFill="accent2" w:themeFillTint="3F"/>
      </w:tcPr>
    </w:tblStylePr>
    <w:tblStylePr w:type="band1Horz">
      <w:tblPr/>
      <w:tcPr>
        <w:tcBorders>
          <w:insideH w:val="nil"/>
          <w:insideV w:val="nil"/>
        </w:tcBorders>
        <w:shd w:val="clear" w:color="auto" w:fill="E3E4E1" w:themeFill="accent2"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450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2A1"/>
    <w:rPr>
      <w:rFonts w:ascii="Tahoma" w:hAnsi="Tahoma" w:cs="Tahoma"/>
      <w:sz w:val="16"/>
      <w:szCs w:val="16"/>
      <w:lang w:eastAsia="en-AU"/>
    </w:rPr>
  </w:style>
  <w:style w:type="character" w:styleId="Strong">
    <w:name w:val="Strong"/>
    <w:basedOn w:val="DefaultParagraphFont"/>
    <w:uiPriority w:val="22"/>
    <w:qFormat/>
    <w:rsid w:val="00C85938"/>
    <w:rPr>
      <w:b/>
      <w:bCs/>
    </w:rPr>
  </w:style>
  <w:style w:type="paragraph" w:styleId="NoSpacing">
    <w:name w:val="No Spacing"/>
    <w:link w:val="NoSpacingChar"/>
    <w:uiPriority w:val="1"/>
    <w:qFormat/>
    <w:rsid w:val="00F875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75BD"/>
    <w:rPr>
      <w:rFonts w:eastAsiaTheme="minorEastAsia"/>
      <w:lang w:val="en-US"/>
    </w:rPr>
  </w:style>
  <w:style w:type="paragraph" w:styleId="ListParagraph">
    <w:name w:val="List Paragraph"/>
    <w:basedOn w:val="Normal"/>
    <w:uiPriority w:val="34"/>
    <w:qFormat/>
    <w:rsid w:val="00AA6E5F"/>
    <w:pPr>
      <w:ind w:left="720"/>
      <w:contextualSpacing/>
    </w:pPr>
  </w:style>
  <w:style w:type="paragraph" w:customStyle="1" w:styleId="Tableheadbold">
    <w:name w:val="Table head bold"/>
    <w:basedOn w:val="Normal"/>
    <w:next w:val="Tablebody"/>
    <w:qFormat/>
    <w:rsid w:val="004B4981"/>
    <w:pPr>
      <w:spacing w:after="0"/>
    </w:pPr>
    <w:rPr>
      <w:rFonts w:asciiTheme="majorHAnsi" w:eastAsia="Times New Roman" w:hAnsiTheme="majorHAnsi"/>
      <w:b/>
    </w:rPr>
  </w:style>
  <w:style w:type="paragraph" w:customStyle="1" w:styleId="Tableheadblack">
    <w:name w:val="Table head black"/>
    <w:basedOn w:val="Tablehead"/>
    <w:qFormat/>
    <w:rsid w:val="00B70B52"/>
    <w:rPr>
      <w:rFonts w:cstheme="majorHAnsi"/>
      <w:b/>
      <w:color w:val="auto"/>
      <w:szCs w:val="21"/>
    </w:rPr>
  </w:style>
  <w:style w:type="paragraph" w:customStyle="1" w:styleId="Tableheadtext">
    <w:name w:val="Table head text"/>
    <w:basedOn w:val="Note"/>
    <w:qFormat/>
    <w:rsid w:val="00452B15"/>
    <w:pPr>
      <w:spacing w:after="0" w:line="240" w:lineRule="auto"/>
    </w:pPr>
    <w:rPr>
      <w:rFonts w:asciiTheme="majorHAnsi" w:hAnsiTheme="majorHAnsi" w:cstheme="majorHAnsi"/>
      <w:sz w:val="21"/>
      <w:szCs w:val="21"/>
    </w:rPr>
  </w:style>
  <w:style w:type="table" w:styleId="ColorfulList-Accent3">
    <w:name w:val="Colorful List Accent 3"/>
    <w:aliases w:val="Colorful List - ACT Gov"/>
    <w:basedOn w:val="TableNormal"/>
    <w:uiPriority w:val="72"/>
    <w:rsid w:val="00214A8E"/>
    <w:pPr>
      <w:spacing w:after="0" w:line="240" w:lineRule="auto"/>
    </w:pPr>
    <w:rPr>
      <w:color w:val="000000" w:themeColor="text1"/>
    </w:rPr>
    <w:tblPr>
      <w:tblStyleRowBandSize w:val="1"/>
      <w:tblStyleColBandSize w:val="1"/>
    </w:tblPr>
    <w:tcPr>
      <w:shd w:val="clear" w:color="auto" w:fill="FFFFFF" w:themeFill="background1"/>
    </w:tcPr>
    <w:tblStylePr w:type="firstRow">
      <w:rPr>
        <w:b/>
        <w:bCs/>
        <w:color w:val="FFFFFF" w:themeColor="background1"/>
      </w:rPr>
      <w:tblPr/>
      <w:tcPr>
        <w:tcBorders>
          <w:bottom w:val="single" w:sz="12" w:space="0" w:color="FFFFFF" w:themeColor="background1"/>
        </w:tcBorders>
        <w:shd w:val="clear" w:color="auto" w:fill="282674" w:themeFill="accent4" w:themeFillShade="CC"/>
      </w:tcPr>
    </w:tblStylePr>
    <w:tblStylePr w:type="lastRow">
      <w:rPr>
        <w:b/>
        <w:bCs/>
        <w:color w:val="28267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CEE6" w:themeFill="accent3" w:themeFillTint="3F"/>
      </w:tcPr>
    </w:tblStylePr>
    <w:tblStylePr w:type="band1Horz">
      <w:tblPr/>
      <w:tcPr>
        <w:shd w:val="clear" w:color="auto" w:fill="EFD7EB" w:themeFill="accent3" w:themeFillTint="33"/>
      </w:tcPr>
    </w:tblStylePr>
  </w:style>
  <w:style w:type="table" w:styleId="ColorfulList-Accent5">
    <w:name w:val="Colorful List Accent 5"/>
    <w:basedOn w:val="TableNormal"/>
    <w:uiPriority w:val="72"/>
    <w:rsid w:val="00E753AA"/>
    <w:pPr>
      <w:spacing w:after="0" w:line="240" w:lineRule="auto"/>
    </w:pPr>
    <w:rPr>
      <w:color w:val="000000" w:themeColor="text1"/>
    </w:rPr>
    <w:tblPr>
      <w:tblStyleRowBandSize w:val="1"/>
      <w:tblBorders>
        <w:insideV w:val="single" w:sz="4" w:space="0" w:color="FFFFFF" w:themeColor="background1"/>
      </w:tblBorders>
      <w:tblCellMar>
        <w:top w:w="113" w:type="dxa"/>
        <w:bottom w:w="113" w:type="dxa"/>
      </w:tblCellMar>
    </w:tblPr>
    <w:tcPr>
      <w:shd w:val="clear" w:color="auto" w:fill="E9E9E6" w:themeFill="accent2" w:themeFillTint="33"/>
      <w:vAlign w:val="center"/>
    </w:tcPr>
    <w:tblStylePr w:type="firstRow">
      <w:pPr>
        <w:jc w:val="left"/>
      </w:pPr>
      <w:rPr>
        <w:rFonts w:asciiTheme="majorHAnsi" w:hAnsiTheme="majorHAnsi"/>
        <w:b w:val="0"/>
        <w:bCs/>
        <w:color w:val="FFFFFF" w:themeColor="background1"/>
        <w:sz w:val="21"/>
      </w:rPr>
      <w:tblPr/>
      <w:tcPr>
        <w:shd w:val="clear" w:color="auto" w:fill="482D8C" w:themeFill="background2"/>
      </w:tcPr>
    </w:tblStylePr>
    <w:tblStylePr w:type="lastRow">
      <w:rPr>
        <w:b/>
        <w:bCs/>
        <w:color w:val="00AEEF" w:themeColor="text2"/>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Horz">
      <w:tblPr/>
      <w:tcPr>
        <w:shd w:val="clear" w:color="auto" w:fill="FFFFFF" w:themeFill="background1"/>
      </w:tcPr>
    </w:tblStylePr>
  </w:style>
  <w:style w:type="table" w:styleId="ColorfulList-Accent6">
    <w:name w:val="Colorful List Accent 6"/>
    <w:basedOn w:val="TableNormal"/>
    <w:uiPriority w:val="72"/>
    <w:rsid w:val="001E7690"/>
    <w:pPr>
      <w:spacing w:after="0" w:line="240" w:lineRule="auto"/>
    </w:pPr>
    <w:rPr>
      <w:color w:val="000000" w:themeColor="text1"/>
    </w:rPr>
    <w:tblPr>
      <w:tblStyleRowBandSize w:val="1"/>
      <w:tblStyleColBandSize w:val="1"/>
    </w:tblPr>
    <w:tcPr>
      <w:shd w:val="clear" w:color="auto" w:fill="DDFFFC" w:themeFill="accent6" w:themeFillTint="19"/>
    </w:tcPr>
    <w:tblStylePr w:type="firstRow">
      <w:rPr>
        <w:b/>
        <w:bCs/>
        <w:color w:val="FFFFFF" w:themeColor="background1"/>
      </w:rPr>
      <w:tblPr/>
      <w:tcPr>
        <w:tcBorders>
          <w:bottom w:val="single" w:sz="12" w:space="0" w:color="FFFFFF" w:themeColor="background1"/>
        </w:tcBorders>
        <w:shd w:val="clear" w:color="auto" w:fill="D2510B" w:themeFill="accent5" w:themeFillShade="CC"/>
      </w:tcPr>
    </w:tblStylePr>
    <w:tblStylePr w:type="lastRow">
      <w:rPr>
        <w:b/>
        <w:bCs/>
        <w:color w:val="D2510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8" w:themeFill="accent6" w:themeFillTint="3F"/>
      </w:tcPr>
    </w:tblStylePr>
    <w:tblStylePr w:type="band1Horz">
      <w:tblPr/>
      <w:tcPr>
        <w:shd w:val="clear" w:color="auto" w:fill="BAFFF9" w:themeFill="accent6" w:themeFillTint="33"/>
      </w:tcPr>
    </w:tblStylePr>
  </w:style>
  <w:style w:type="table" w:customStyle="1" w:styleId="ACTGovblue">
    <w:name w:val="ACT Gov blue"/>
    <w:basedOn w:val="TableNormal"/>
    <w:uiPriority w:val="99"/>
    <w:qFormat/>
    <w:rsid w:val="001E7690"/>
    <w:pPr>
      <w:spacing w:after="0" w:line="240" w:lineRule="auto"/>
    </w:pPr>
    <w:tblPr/>
  </w:style>
  <w:style w:type="paragraph" w:customStyle="1" w:styleId="Introreverse">
    <w:name w:val="Intro reverse"/>
    <w:basedOn w:val="Intro"/>
    <w:qFormat/>
    <w:rsid w:val="0058377A"/>
    <w:rPr>
      <w:b/>
      <w:noProof/>
      <w:color w:val="FFFFFF" w:themeColor="background1"/>
      <w:sz w:val="28"/>
      <w:szCs w:val="28"/>
    </w:rPr>
  </w:style>
  <w:style w:type="paragraph" w:customStyle="1" w:styleId="Heading1reverse">
    <w:name w:val="Heading 1 reverse"/>
    <w:basedOn w:val="Heading1"/>
    <w:qFormat/>
    <w:rsid w:val="000B13CB"/>
    <w:rPr>
      <w:color w:val="FFFFFF" w:themeColor="background1"/>
    </w:rPr>
  </w:style>
  <w:style w:type="paragraph" w:customStyle="1" w:styleId="Heading3reverse">
    <w:name w:val="Heading 3 reverse"/>
    <w:basedOn w:val="Heading3"/>
    <w:qFormat/>
    <w:rsid w:val="00A56436"/>
    <w:rPr>
      <w:color w:val="FFFFFF" w:themeColor="background1"/>
    </w:rPr>
  </w:style>
  <w:style w:type="paragraph" w:customStyle="1" w:styleId="bodytextreverse">
    <w:name w:val="body text reverse"/>
    <w:basedOn w:val="Normal"/>
    <w:qFormat/>
    <w:rsid w:val="004C1925"/>
    <w:pPr>
      <w:spacing w:line="270" w:lineRule="exact"/>
    </w:pPr>
    <w:rPr>
      <w:rFonts w:ascii="Arial" w:hAnsi="Arial"/>
      <w:noProof/>
      <w:color w:val="FFFFFF" w:themeColor="background1"/>
      <w:kern w:val="22"/>
      <w:sz w:val="22"/>
    </w:rPr>
  </w:style>
  <w:style w:type="paragraph" w:styleId="EnvelopeReturn">
    <w:name w:val="envelope return"/>
    <w:basedOn w:val="Normal"/>
    <w:uiPriority w:val="99"/>
    <w:unhideWhenUsed/>
    <w:rsid w:val="005E5305"/>
    <w:pPr>
      <w:spacing w:after="0" w:line="240" w:lineRule="auto"/>
    </w:pPr>
    <w:rPr>
      <w:rFonts w:asciiTheme="majorHAnsi" w:eastAsiaTheme="majorEastAsia" w:hAnsiTheme="majorHAnsi" w:cstheme="majorBidi"/>
      <w:sz w:val="20"/>
      <w:szCs w:val="20"/>
    </w:rPr>
  </w:style>
  <w:style w:type="paragraph" w:styleId="ListBullet">
    <w:name w:val="List Bullet"/>
    <w:basedOn w:val="Normal"/>
    <w:uiPriority w:val="99"/>
    <w:unhideWhenUsed/>
    <w:rsid w:val="0089332C"/>
    <w:pPr>
      <w:numPr>
        <w:numId w:val="19"/>
      </w:numPr>
      <w:contextualSpacing/>
    </w:pPr>
  </w:style>
  <w:style w:type="character" w:styleId="Emphasis">
    <w:name w:val="Emphasis"/>
    <w:basedOn w:val="DefaultParagraphFont"/>
    <w:uiPriority w:val="20"/>
    <w:qFormat/>
    <w:rsid w:val="002A093C"/>
    <w:rPr>
      <w:i/>
      <w:iCs/>
    </w:rPr>
  </w:style>
  <w:style w:type="character" w:styleId="IntenseEmphasis">
    <w:name w:val="Intense Emphasis"/>
    <w:basedOn w:val="DefaultParagraphFont"/>
    <w:uiPriority w:val="21"/>
    <w:qFormat/>
    <w:rsid w:val="00F47ECA"/>
    <w:rPr>
      <w:b/>
      <w:bCs/>
      <w:i/>
      <w:iCs/>
      <w:color w:val="323232" w:themeColor="accent1"/>
    </w:rPr>
  </w:style>
  <w:style w:type="character" w:customStyle="1" w:styleId="Heading5Char">
    <w:name w:val="Heading 5 Char"/>
    <w:basedOn w:val="DefaultParagraphFont"/>
    <w:link w:val="Heading5"/>
    <w:uiPriority w:val="9"/>
    <w:rsid w:val="00731AE2"/>
    <w:rPr>
      <w:rFonts w:asciiTheme="majorHAnsi" w:eastAsiaTheme="majorEastAsia" w:hAnsiTheme="majorHAnsi" w:cstheme="majorBidi"/>
      <w:color w:val="252525" w:themeColor="accent1" w:themeShade="BF"/>
      <w:sz w:val="21"/>
      <w:szCs w:val="21"/>
      <w:lang w:eastAsia="en-AU"/>
    </w:rPr>
  </w:style>
  <w:style w:type="paragraph" w:styleId="FootnoteText">
    <w:name w:val="footnote text"/>
    <w:basedOn w:val="Normal"/>
    <w:link w:val="FootnoteTextChar"/>
    <w:uiPriority w:val="99"/>
    <w:semiHidden/>
    <w:unhideWhenUsed/>
    <w:rsid w:val="00810A6F"/>
    <w:pPr>
      <w:spacing w:after="0" w:line="240" w:lineRule="auto"/>
    </w:pPr>
    <w:rPr>
      <w:rFonts w:cstheme="minorBidi"/>
      <w:sz w:val="20"/>
      <w:szCs w:val="20"/>
      <w:lang w:eastAsia="en-US"/>
    </w:rPr>
  </w:style>
  <w:style w:type="character" w:customStyle="1" w:styleId="FootnoteTextChar">
    <w:name w:val="Footnote Text Char"/>
    <w:basedOn w:val="DefaultParagraphFont"/>
    <w:link w:val="FootnoteText"/>
    <w:uiPriority w:val="99"/>
    <w:semiHidden/>
    <w:rsid w:val="00810A6F"/>
    <w:rPr>
      <w:sz w:val="20"/>
      <w:szCs w:val="20"/>
    </w:rPr>
  </w:style>
  <w:style w:type="character" w:styleId="FootnoteReference">
    <w:name w:val="footnote reference"/>
    <w:basedOn w:val="DefaultParagraphFont"/>
    <w:uiPriority w:val="99"/>
    <w:semiHidden/>
    <w:unhideWhenUsed/>
    <w:rsid w:val="00810A6F"/>
    <w:rPr>
      <w:vertAlign w:val="superscript"/>
    </w:rPr>
  </w:style>
  <w:style w:type="table" w:styleId="ListTable1Light-Accent5">
    <w:name w:val="List Table 1 Light Accent 5"/>
    <w:basedOn w:val="TableNormal"/>
    <w:uiPriority w:val="46"/>
    <w:rsid w:val="00E246DC"/>
    <w:pPr>
      <w:spacing w:after="0" w:line="240" w:lineRule="auto"/>
    </w:pPr>
    <w:tblPr>
      <w:tblStyleRowBandSize w:val="1"/>
      <w:tblStyleColBandSize w:val="1"/>
    </w:tblPr>
    <w:tblStylePr w:type="firstRow">
      <w:rPr>
        <w:b/>
        <w:bCs/>
      </w:rPr>
      <w:tblPr/>
      <w:tcPr>
        <w:tcBorders>
          <w:bottom w:val="single" w:sz="4" w:space="0" w:color="F7A67A" w:themeColor="accent5" w:themeTint="99"/>
        </w:tcBorders>
      </w:tcPr>
    </w:tblStylePr>
    <w:tblStylePr w:type="lastRow">
      <w:rPr>
        <w:b/>
        <w:bCs/>
      </w:rPr>
      <w:tblPr/>
      <w:tcPr>
        <w:tcBorders>
          <w:top w:val="single" w:sz="4" w:space="0" w:color="F7A67A" w:themeColor="accent5" w:themeTint="99"/>
        </w:tcBorders>
      </w:tcPr>
    </w:tblStylePr>
    <w:tblStylePr w:type="firstCol">
      <w:rPr>
        <w:b/>
        <w:bCs/>
      </w:rPr>
    </w:tblStylePr>
    <w:tblStylePr w:type="lastCol">
      <w:rPr>
        <w:b/>
        <w:bCs/>
      </w:rPr>
    </w:tblStylePr>
    <w:tblStylePr w:type="band1Vert">
      <w:tblPr/>
      <w:tcPr>
        <w:shd w:val="clear" w:color="auto" w:fill="FCE1D2" w:themeFill="accent5" w:themeFillTint="33"/>
      </w:tcPr>
    </w:tblStylePr>
    <w:tblStylePr w:type="band1Horz">
      <w:tblPr/>
      <w:tcPr>
        <w:shd w:val="clear" w:color="auto" w:fill="FCE1D2"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9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ly%20van%20Aalst\AppData\Local\Packages\Microsoft.MicrosoftEdge_8wekyb3d8bbwe\TempState\Downloads\Publication-template-purple.dotx" TargetMode="External"/></Relationships>
</file>

<file path=word/theme/theme1.xml><?xml version="1.0" encoding="utf-8"?>
<a:theme xmlns:a="http://schemas.openxmlformats.org/drawingml/2006/main" name="Arts ACT">
  <a:themeElements>
    <a:clrScheme name="ACT gov blue violet">
      <a:dk1>
        <a:sysClr val="windowText" lastClr="000000"/>
      </a:dk1>
      <a:lt1>
        <a:sysClr val="window" lastClr="FFFFFF"/>
      </a:lt1>
      <a:dk2>
        <a:srgbClr val="00AEEF"/>
      </a:dk2>
      <a:lt2>
        <a:srgbClr val="482D8C"/>
      </a:lt2>
      <a:accent1>
        <a:srgbClr val="323232"/>
      </a:accent1>
      <a:accent2>
        <a:srgbClr val="929487"/>
      </a:accent2>
      <a:accent3>
        <a:srgbClr val="AB4399"/>
      </a:accent3>
      <a:accent4>
        <a:srgbClr val="333092"/>
      </a:accent4>
      <a:accent5>
        <a:srgbClr val="F36C23"/>
      </a:accent5>
      <a:accent6>
        <a:srgbClr val="00A99D"/>
      </a:accent6>
      <a:hlink>
        <a:srgbClr val="333092"/>
      </a:hlink>
      <a:folHlink>
        <a:srgbClr val="7F7F7F"/>
      </a:folHlink>
    </a:clrScheme>
    <a:fontScheme name="Arial-Calibri">
      <a:majorFont>
        <a:latin typeface="Aria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B4A920-7F81-46E1-953D-E350C4A79E86}">
  <ds:schemaRefs>
    <ds:schemaRef ds:uri="http://schemas.microsoft.com/sharepoint/v3/contenttype/forms"/>
  </ds:schemaRefs>
</ds:datastoreItem>
</file>

<file path=customXml/itemProps2.xml><?xml version="1.0" encoding="utf-8"?>
<ds:datastoreItem xmlns:ds="http://schemas.openxmlformats.org/officeDocument/2006/customXml" ds:itemID="{8C2DAFE5-D8DC-434B-9047-DC88348C12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768B9F4-ACED-42E7-9C6F-59C95F7D1CC4}">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88AE3ED1-F31F-4426-9818-7E593F1B5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Publication-template-purple</Template>
  <TotalTime>0</TotalTime>
  <Pages>11</Pages>
  <Words>3651</Words>
  <Characters>20811</Characters>
  <Application>Microsoft Office Word</Application>
  <DocSecurity>4</DocSecurity>
  <Lines>173</Lines>
  <Paragraphs>48</Paragraphs>
  <ScaleCrop>false</ScaleCrop>
  <HeadingPairs>
    <vt:vector size="2" baseType="variant">
      <vt:variant>
        <vt:lpstr>Title</vt:lpstr>
      </vt:variant>
      <vt:variant>
        <vt:i4>1</vt:i4>
      </vt:variant>
    </vt:vector>
  </HeadingPairs>
  <TitlesOfParts>
    <vt:vector size="1" baseType="lpstr">
      <vt:lpstr>ACT Government Publication template purple</vt:lpstr>
    </vt:vector>
  </TitlesOfParts>
  <Company>ACT Government</Company>
  <LinksUpToDate>false</LinksUpToDate>
  <CharactersWithSpaces>24414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 Government Publication template purple</dc:title>
  <dc:subject>Publication template purple</dc:subject>
  <dc:creator>Van Aalst, Sally</dc:creator>
  <cp:lastModifiedBy>Van Aalst, Sally</cp:lastModifiedBy>
  <cp:revision>2</cp:revision>
  <cp:lastPrinted>2016-09-21T00:45:00Z</cp:lastPrinted>
  <dcterms:created xsi:type="dcterms:W3CDTF">2019-07-16T04:31:00Z</dcterms:created>
  <dcterms:modified xsi:type="dcterms:W3CDTF">2019-07-16T04:31:00Z</dcterms:modified>
</cp:coreProperties>
</file>