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80" w:after="320"/>
      </w:pPr>
      <w:r>
        <w:rPr>
          <w:rFonts w:ascii="Calibri" w:hAnsi="Calibri" w:eastAsia="Calibri"/>
          <w:b/>
          <w:color w:val="202124"/>
          <w:sz w:val="48"/>
        </w:rPr>
        <w:t>CompactInVacuum Polarimeter</w:t>
      </w:r>
    </w:p>
    <w:p>
      <w:pPr>
        <w:pStyle w:val="Subtitle"/>
      </w:pPr>
      <w:r>
        <w:rPr>
          <w:rFonts w:ascii="Calibri" w:hAnsi="Calibri" w:eastAsia="Calibri"/>
          <w:color w:val="5F6368"/>
          <w:sz w:val="28"/>
        </w:rPr>
        <w:t>SiPM Detector, Vacuum Chamber, and China Procurement Engineering Report</w:t>
      </w:r>
    </w:p>
    <w:p/>
    <w:tbl>
      <w:tblPr>
        <w:tblStyle w:val="TableGrid"/>
        <w:tblW w:type="dxa" w:w="9360"/>
        <w:jc w:val="center"/>
        <w:tblLayout w:type="fixed"/>
        <w:tblLook w:firstColumn="1" w:firstRow="1" w:lastColumn="0" w:lastRow="0" w:noHBand="0" w:noVBand="1" w:val="04A0"/>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300"/>
        <w:gridCol w:w="7060"/>
      </w:tblGrid>
      <w:tr>
        <w:trPr>
          <w:cantSplit/>
        </w:trPr>
        <w:tc>
          <w:tcPr>
            <w:tcW w:type="dxa" w:w="2300"/>
            <w:shd w:fill="F2F4F7" w:val="clear"/>
            <w:tcMar>
              <w:top w:w="80" w:type="dxa"/>
              <w:start w:w="120" w:type="dxa"/>
              <w:bottom w:w="80" w:type="dxa"/>
              <w:end w:w="120" w:type="dxa"/>
            </w:tcMar>
            <w:vAlign w:val="center"/>
          </w:tcPr>
          <w:p>
            <w:pPr>
              <w:pStyle w:val="TableText"/>
            </w:pPr>
            <w:r>
              <w:rPr>
                <w:rFonts w:ascii="Calibri" w:hAnsi="Calibri" w:eastAsia="Calibri"/>
                <w:b/>
                <w:sz w:val="19"/>
              </w:rPr>
              <w:t>Status</w:t>
            </w:r>
          </w:p>
        </w:tc>
        <w:tc>
          <w:tcPr>
            <w:tcW w:type="dxa" w:w="7060"/>
            <w:tcMar>
              <w:top w:w="80" w:type="dxa"/>
              <w:start w:w="120" w:type="dxa"/>
              <w:bottom w:w="80" w:type="dxa"/>
              <w:end w:w="120" w:type="dxa"/>
            </w:tcMar>
            <w:vAlign w:val="center"/>
          </w:tcPr>
          <w:p>
            <w:pPr>
              <w:pStyle w:val="TableText"/>
            </w:pPr>
            <w:r>
              <w:rPr>
                <w:rFonts w:ascii="Calibri" w:hAnsi="Calibri" w:eastAsia="Calibri"/>
                <w:sz w:val="19"/>
              </w:rPr>
              <w:t>Preliminary Design Review / Procurement Planning</w:t>
            </w:r>
          </w:p>
        </w:tc>
      </w:tr>
      <w:tr>
        <w:trPr>
          <w:cantSplit/>
        </w:trPr>
        <w:tc>
          <w:tcPr>
            <w:tcW w:type="dxa" w:w="2300"/>
            <w:shd w:fill="F2F4F7" w:val="clear"/>
            <w:tcMar>
              <w:top w:w="80" w:type="dxa"/>
              <w:start w:w="120" w:type="dxa"/>
              <w:bottom w:w="80" w:type="dxa"/>
              <w:end w:w="120" w:type="dxa"/>
            </w:tcMar>
            <w:vAlign w:val="center"/>
          </w:tcPr>
          <w:p>
            <w:pPr>
              <w:pStyle w:val="TableText"/>
            </w:pPr>
            <w:r>
              <w:rPr>
                <w:rFonts w:ascii="Calibri" w:hAnsi="Calibri" w:eastAsia="Calibri"/>
                <w:b/>
                <w:sz w:val="19"/>
              </w:rPr>
              <w:t>Issue date</w:t>
            </w:r>
          </w:p>
        </w:tc>
        <w:tc>
          <w:tcPr>
            <w:tcW w:type="dxa" w:w="7060"/>
            <w:tcMar>
              <w:top w:w="80" w:type="dxa"/>
              <w:start w:w="120" w:type="dxa"/>
              <w:bottom w:w="80" w:type="dxa"/>
              <w:end w:w="120" w:type="dxa"/>
            </w:tcMar>
            <w:vAlign w:val="center"/>
          </w:tcPr>
          <w:p>
            <w:pPr>
              <w:pStyle w:val="TableText"/>
            </w:pPr>
            <w:r>
              <w:rPr>
                <w:rFonts w:ascii="Calibri" w:hAnsi="Calibri" w:eastAsia="Calibri"/>
                <w:sz w:val="19"/>
              </w:rPr>
              <w:t>26 July 2026</w:t>
            </w:r>
          </w:p>
        </w:tc>
      </w:tr>
      <w:tr>
        <w:trPr>
          <w:cantSplit/>
        </w:trPr>
        <w:tc>
          <w:tcPr>
            <w:tcW w:type="dxa" w:w="2300"/>
            <w:shd w:fill="F2F4F7" w:val="clear"/>
            <w:tcMar>
              <w:top w:w="80" w:type="dxa"/>
              <w:start w:w="120" w:type="dxa"/>
              <w:bottom w:w="80" w:type="dxa"/>
              <w:end w:w="120" w:type="dxa"/>
            </w:tcMar>
            <w:vAlign w:val="center"/>
          </w:tcPr>
          <w:p>
            <w:pPr>
              <w:pStyle w:val="TableText"/>
            </w:pPr>
            <w:r>
              <w:rPr>
                <w:rFonts w:ascii="Calibri" w:hAnsi="Calibri" w:eastAsia="Calibri"/>
                <w:b/>
                <w:sz w:val="19"/>
              </w:rPr>
              <w:t>CAD reference</w:t>
            </w:r>
          </w:p>
        </w:tc>
        <w:tc>
          <w:tcPr>
            <w:tcW w:type="dxa" w:w="7060"/>
            <w:tcMar>
              <w:top w:w="80" w:type="dxa"/>
              <w:start w:w="120" w:type="dxa"/>
              <w:bottom w:w="80" w:type="dxa"/>
              <w:end w:w="120" w:type="dxa"/>
            </w:tcMar>
            <w:vAlign w:val="center"/>
          </w:tcPr>
          <w:p>
            <w:pPr>
              <w:pStyle w:val="TableText"/>
            </w:pPr>
            <w:r>
              <w:rPr>
                <w:rFonts w:ascii="Calibri" w:hAnsi="Calibri" w:eastAsia="Calibri"/>
                <w:sz w:val="19"/>
              </w:rPr>
              <w:t>polarimeter commit d1fc28f96a2018a212be7de07d94d80ad435ba9f</w:t>
            </w:r>
          </w:p>
        </w:tc>
      </w:tr>
      <w:tr>
        <w:trPr>
          <w:cantSplit/>
        </w:trPr>
        <w:tc>
          <w:tcPr>
            <w:tcW w:type="dxa" w:w="2300"/>
            <w:shd w:fill="F2F4F7" w:val="clear"/>
            <w:tcMar>
              <w:top w:w="80" w:type="dxa"/>
              <w:start w:w="120" w:type="dxa"/>
              <w:bottom w:w="80" w:type="dxa"/>
              <w:end w:w="120" w:type="dxa"/>
            </w:tcMar>
            <w:vAlign w:val="center"/>
          </w:tcPr>
          <w:p>
            <w:pPr>
              <w:pStyle w:val="TableText"/>
            </w:pPr>
            <w:r>
              <w:rPr>
                <w:rFonts w:ascii="Calibri" w:hAnsi="Calibri" w:eastAsia="Calibri"/>
                <w:b/>
                <w:sz w:val="19"/>
              </w:rPr>
              <w:t>Configuration</w:t>
            </w:r>
          </w:p>
        </w:tc>
        <w:tc>
          <w:tcPr>
            <w:tcW w:type="dxa" w:w="7060"/>
            <w:tcMar>
              <w:top w:w="80" w:type="dxa"/>
              <w:start w:w="120" w:type="dxa"/>
              <w:bottom w:w="80" w:type="dxa"/>
              <w:end w:w="120" w:type="dxa"/>
            </w:tcMar>
            <w:vAlign w:val="center"/>
          </w:tcPr>
          <w:p>
            <w:pPr>
              <w:pStyle w:val="TableText"/>
            </w:pPr>
            <w:r>
              <w:rPr>
                <w:rFonts w:ascii="Calibri" w:hAnsi="Calibri" w:eastAsia="Calibri"/>
                <w:sz w:val="19"/>
              </w:rPr>
              <w:t>compactInVacuum/config/default_compactInVacuum.yaml</w:t>
            </w:r>
          </w:p>
        </w:tc>
      </w:tr>
      <w:tr>
        <w:trPr>
          <w:cantSplit/>
        </w:trPr>
        <w:tc>
          <w:tcPr>
            <w:tcW w:type="dxa" w:w="2300"/>
            <w:shd w:fill="F2F4F7" w:val="clear"/>
            <w:tcMar>
              <w:top w:w="80" w:type="dxa"/>
              <w:start w:w="120" w:type="dxa"/>
              <w:bottom w:w="80" w:type="dxa"/>
              <w:end w:w="120" w:type="dxa"/>
            </w:tcMar>
            <w:vAlign w:val="center"/>
          </w:tcPr>
          <w:p>
            <w:pPr>
              <w:pStyle w:val="TableText"/>
            </w:pPr>
            <w:r>
              <w:rPr>
                <w:rFonts w:ascii="Calibri" w:hAnsi="Calibri" w:eastAsia="Calibri"/>
                <w:b/>
                <w:sz w:val="19"/>
              </w:rPr>
              <w:t>Procurement region</w:t>
            </w:r>
          </w:p>
        </w:tc>
        <w:tc>
          <w:tcPr>
            <w:tcW w:type="dxa" w:w="7060"/>
            <w:tcMar>
              <w:top w:w="80" w:type="dxa"/>
              <w:start w:w="120" w:type="dxa"/>
              <w:bottom w:w="80" w:type="dxa"/>
              <w:end w:w="120" w:type="dxa"/>
            </w:tcMar>
            <w:vAlign w:val="center"/>
          </w:tcPr>
          <w:p>
            <w:pPr>
              <w:pStyle w:val="TableText"/>
            </w:pPr>
            <w:r>
              <w:rPr>
                <w:rFonts w:ascii="Calibri" w:hAnsi="Calibri" w:eastAsia="Calibri"/>
                <w:sz w:val="19"/>
              </w:rPr>
              <w:t>People’s Republic of China preferred</w:t>
            </w:r>
          </w:p>
        </w:tc>
      </w:tr>
      <w:tr>
        <w:trPr>
          <w:cantSplit/>
        </w:trPr>
        <w:tc>
          <w:tcPr>
            <w:tcW w:type="dxa" w:w="2300"/>
            <w:shd w:fill="F2F4F7" w:val="clear"/>
            <w:tcMar>
              <w:top w:w="80" w:type="dxa"/>
              <w:start w:w="120" w:type="dxa"/>
              <w:bottom w:w="80" w:type="dxa"/>
              <w:end w:w="120" w:type="dxa"/>
            </w:tcMar>
            <w:vAlign w:val="center"/>
          </w:tcPr>
          <w:p>
            <w:pPr>
              <w:pStyle w:val="TableText"/>
            </w:pPr>
            <w:r>
              <w:rPr>
                <w:rFonts w:ascii="Calibri" w:hAnsi="Calibri" w:eastAsia="Calibri"/>
                <w:b/>
                <w:sz w:val="19"/>
              </w:rPr>
              <w:t>Primary integration candidate</w:t>
            </w:r>
          </w:p>
        </w:tc>
        <w:tc>
          <w:tcPr>
            <w:tcW w:type="dxa" w:w="7060"/>
            <w:tcMar>
              <w:top w:w="80" w:type="dxa"/>
              <w:start w:w="120" w:type="dxa"/>
              <w:bottom w:w="80" w:type="dxa"/>
              <w:end w:w="120" w:type="dxa"/>
            </w:tcMar>
            <w:vAlign w:val="center"/>
          </w:tcPr>
          <w:p>
            <w:pPr>
              <w:pStyle w:val="TableText"/>
            </w:pPr>
            <w:r>
              <w:rPr>
                <w:rFonts w:ascii="Calibri" w:hAnsi="Calibri" w:eastAsia="Calibri"/>
                <w:sz w:val="19"/>
              </w:rPr>
              <w:t>Shanghai PrMat Precision Instrument Technology Co., Ltd. (conditional qualification)</w:t>
            </w:r>
          </w:p>
        </w:tc>
      </w:tr>
    </w:tbl>
    <w:p/>
    <w:p>
      <w:pPr>
        <w:spacing w:before="360"/>
        <w:jc w:val="center"/>
      </w:pPr>
      <w:r>
        <w:rPr>
          <w:rFonts w:ascii="Calibri" w:hAnsi="Calibri" w:eastAsia="Calibri"/>
          <w:b/>
          <w:color w:val="A33A2B"/>
          <w:sz w:val="20"/>
        </w:rPr>
        <w:t>PRELIMINARY — NOT FOR FABRICATION OR PURCHASE ORDER RELEASE</w:t>
      </w:r>
    </w:p>
    <w:p>
      <w:pPr>
        <w:pStyle w:val="SmallNote"/>
        <w:jc w:val="center"/>
      </w:pPr>
      <w:r>
        <w:rPr>
          <w:rFonts w:ascii="Calibri" w:hAnsi="Calibri" w:eastAsia="Calibri"/>
          <w:color w:val="5F6368"/>
          <w:sz w:val="19"/>
        </w:rPr>
        <w:t>The report converts the present physics and CAD model into an engineering baseline. Open dimensions, vacuum requirements, and supplier capabilities must be closed at the stated gates.</w:t>
      </w:r>
    </w:p>
    <w:p>
      <w:r>
        <w:br w:type="page"/>
      </w:r>
    </w:p>
    <w:p>
      <w:pPr>
        <w:pStyle w:val="Heading1"/>
      </w:pPr>
      <w:r>
        <w:t>1. Executive decision</w:t>
      </w:r>
    </w:p>
    <w:tbl>
      <w:tblPr>
        <w:tblStyle w:val="TableGrid"/>
        <w:tblW w:type="dxa" w:w="9360"/>
        <w:jc w:val="center"/>
        <w:tblLayout w:type="fixed"/>
        <w:tblLook w:firstColumn="1" w:firstRow="1" w:lastColumn="0" w:lastRow="0" w:noHBand="0" w:noVBand="1" w:val="04A0"/>
        <w:tblInd w:w="120" w:type="dxa"/>
        <w:tblBorders>
          <w:top w:val="single" w:sz="6" w:space="0" w:color="E8F3EC"/>
          <w:left w:val="single" w:sz="6" w:space="0" w:color="E8F3EC"/>
          <w:bottom w:val="single" w:sz="6" w:space="0" w:color="E8F3EC"/>
          <w:right w:val="single" w:sz="6" w:space="0" w:color="E8F3EC"/>
          <w:insideH w:val="single" w:sz="6" w:space="0" w:color="E8F3EC"/>
          <w:insideV w:val="single" w:sz="6" w:space="0" w:color="E8F3EC"/>
        </w:tblBorders>
      </w:tblPr>
      <w:tblGrid>
        <w:gridCol w:w="9360"/>
      </w:tblGrid>
      <w:tr>
        <w:trPr>
          <w:cantSplit/>
        </w:trPr>
        <w:tc>
          <w:tcPr>
            <w:tcW w:type="dxa" w:w="9360"/>
            <w:tcMar>
              <w:top w:w="80" w:type="dxa"/>
              <w:start w:w="120" w:type="dxa"/>
              <w:bottom w:w="80" w:type="dxa"/>
              <w:end w:w="120" w:type="dxa"/>
            </w:tcMar>
            <w:vAlign w:val="center"/>
            <w:shd w:fill="E8F3EC" w:val="clear"/>
          </w:tcPr>
          <w:p>
            <w:pPr>
              <w:pStyle w:val="TableText"/>
              <w:spacing w:after="80"/>
            </w:pPr>
            <w:r>
              <w:rPr>
                <w:rFonts w:ascii="Calibri" w:hAnsi="Calibri" w:eastAsia="Calibri"/>
                <w:b/>
                <w:color w:val="1F4D78"/>
                <w:sz w:val="21"/>
              </w:rPr>
              <w:t>Recommended prototype baseline</w:t>
            </w:r>
          </w:p>
          <w:p>
            <w:pPr>
              <w:pStyle w:val="TableText"/>
              <w:spacing w:after="60"/>
            </w:pPr>
            <w:r>
              <w:rPr>
                <w:rFonts w:ascii="Calibri" w:hAnsi="Calibri" w:eastAsia="Calibri"/>
                <w:sz w:val="19"/>
              </w:rPr>
              <w:t>Use a fast blue plastic scintillator, not a high-light-yield inorganic crystal, for the first compact detector.</w:t>
            </w:r>
          </w:p>
          <w:p>
            <w:pPr>
              <w:pStyle w:val="TableText"/>
              <w:spacing w:after="60"/>
            </w:pPr>
            <w:r>
              <w:rPr>
                <w:rFonts w:ascii="Calibri" w:hAnsi="Calibri" w:eastAsia="Calibri"/>
                <w:sz w:val="19"/>
              </w:rPr>
              <w:t>Active element: study a 5–6 mm active-thickness band; use 5 mm as the first calculation candidate, not as a frozen optimum.</w:t>
            </w:r>
          </w:p>
          <w:p>
            <w:pPr>
              <w:pStyle w:val="TableText"/>
              <w:spacing w:after="60"/>
            </w:pPr>
            <w:r>
              <w:rPr>
                <w:rFonts w:ascii="Calibri" w:hAnsi="Calibri" w:eastAsia="Calibri"/>
                <w:sz w:val="19"/>
              </w:rPr>
              <w:t>Photosensor: NDL EQR15 11-6060D-S, 6.14 × 6.14 mm², 15 µm pitch, 167,537 microcells.</w:t>
            </w:r>
          </w:p>
          <w:p>
            <w:pPr>
              <w:pStyle w:val="TableText"/>
              <w:spacing w:after="60"/>
            </w:pPr>
            <w:r>
              <w:rPr>
                <w:rFonts w:ascii="Calibri" w:hAnsi="Calibri" w:eastAsia="Calibri"/>
                <w:sz w:val="19"/>
              </w:rPr>
              <w:t>Design the optical interface for a measured total collection efficiency of 2–5%, with channel-by-channel calibration and saturation correction.</w:t>
            </w:r>
          </w:p>
          <w:p>
            <w:pPr>
              <w:pStyle w:val="TableText"/>
              <w:spacing w:after="60"/>
            </w:pPr>
            <w:r>
              <w:rPr>
                <w:rFonts w:ascii="Calibri" w:hAnsi="Calibri" w:eastAsia="Calibri"/>
                <w:sz w:val="19"/>
              </w:rPr>
              <w:t>Keep the active front-end outside the vacuum. Use one shielded 50 Ω coaxial feedthrough per detector channel, with the SiPM bias carried through an external bias tee.</w:t>
            </w:r>
          </w:p>
        </w:tc>
      </w:tr>
    </w:tbl>
    <w:p>
      <w:pPr>
        <w:spacing w:after="0"/>
      </w:pPr>
    </w:p>
    <w:p>
      <w:pPr>
        <w:keepLines/>
      </w:pPr>
      <w:r>
        <w:rPr>
          <w:rFonts w:ascii="Calibri" w:hAnsi="Calibri" w:eastAsia="Calibri"/>
        </w:rPr>
        <w:t>The SiPM choice is technically viable for the expected elastic d–p signals if a high-microcell-count device is used and the optical collection is deliberately controlled. At the 5 mm candidate’s maximum estimated normal d–p energy deposit of 13.93 MeV, the EQR15 microcell nonlinearity is approximately 0.37% at 2% collection and 0.93% at 5% collection. The estimate is an upper bound because it starts from the electron-equivalent light yield and does not credit Birks quenching for protons, deuterons, or carbon ions.</w:t>
      </w:r>
    </w:p>
    <w:p>
      <w:pPr>
        <w:keepLines/>
      </w:pPr>
      <w:r>
        <w:rPr>
          <w:rFonts w:ascii="Calibri" w:hAnsi="Calibri" w:eastAsia="Calibri"/>
        </w:rPr>
        <w:t>The principal remaining saturation risk is not only the SiPM. At 5% collection the same event can produce approximately 0.199 nC from an EQR15. A direct 50 Ω connection, preamplifier, or digitizer may clip even while the microcells remain acceptably linear. The prototype therefore requires a low-gain charge path, a timing path, input protection, and a calibrated LED/laser linearity scan.</w:t>
      </w:r>
    </w:p>
    <w:p>
      <w:pPr>
        <w:keepLines/>
      </w:pPr>
      <w:r>
        <w:rPr>
          <w:rFonts w:ascii="Calibri" w:hAnsi="Calibri" w:eastAsia="Calibri"/>
        </w:rPr>
        <w:t>Shanghai PrMat is a reasonable candidate for chamber integration because its public material states that it develops vacuum precision components and provides custom part design and machining. No public specification for the intended rotary feedthrough or a completed vacuum chamber matching this polarimeter was located. PrMat must therefore be treated as a candidate to be qualified through an RFQ, drawings, process records, inspection, and helium leak acceptance—not as a prequalified source.</w:t>
      </w:r>
    </w:p>
    <w:tbl>
      <w:tblPr>
        <w:tblStyle w:val="TableGrid"/>
        <w:tblW w:type="dxa" w:w="9360"/>
        <w:jc w:val="center"/>
        <w:tblLayout w:type="fixed"/>
        <w:tblLook w:firstColumn="1" w:firstRow="1" w:lastColumn="0" w:lastRow="0" w:noHBand="0" w:noVBand="1" w:val="04A0"/>
        <w:tblInd w:w="120" w:type="dxa"/>
        <w:tblBorders>
          <w:top w:val="single" w:sz="6" w:space="0" w:color="FCE8E6"/>
          <w:left w:val="single" w:sz="6" w:space="0" w:color="FCE8E6"/>
          <w:bottom w:val="single" w:sz="6" w:space="0" w:color="FCE8E6"/>
          <w:right w:val="single" w:sz="6" w:space="0" w:color="FCE8E6"/>
          <w:insideH w:val="single" w:sz="6" w:space="0" w:color="FCE8E6"/>
          <w:insideV w:val="single" w:sz="6" w:space="0" w:color="FCE8E6"/>
        </w:tblBorders>
      </w:tblPr>
      <w:tblGrid>
        <w:gridCol w:w="9360"/>
      </w:tblGrid>
      <w:tr>
        <w:trPr>
          <w:cantSplit/>
        </w:trPr>
        <w:tc>
          <w:tcPr>
            <w:tcW w:type="dxa" w:w="9360"/>
            <w:tcMar>
              <w:top w:w="80" w:type="dxa"/>
              <w:start w:w="120" w:type="dxa"/>
              <w:bottom w:w="80" w:type="dxa"/>
              <w:end w:w="120" w:type="dxa"/>
            </w:tcMar>
            <w:vAlign w:val="center"/>
            <w:shd w:fill="FCE8E6" w:val="clear"/>
          </w:tcPr>
          <w:p>
            <w:pPr>
              <w:pStyle w:val="TableText"/>
              <w:spacing w:after="80"/>
            </w:pPr>
            <w:r>
              <w:rPr>
                <w:rFonts w:ascii="Calibri" w:hAnsi="Calibri" w:eastAsia="Calibri"/>
                <w:b/>
                <w:color w:val="1F4D78"/>
                <w:sz w:val="21"/>
              </w:rPr>
              <w:t>Fabrication blocker: present ICF114 beam-port model</w:t>
            </w:r>
          </w:p>
          <w:p>
            <w:pPr>
              <w:pStyle w:val="TableText"/>
              <w:spacing w:after="60"/>
            </w:pPr>
            <w:r>
              <w:rPr>
                <w:rFonts w:ascii="Calibri" w:hAnsi="Calibri" w:eastAsia="Calibri"/>
                <w:sz w:val="19"/>
              </w:rPr>
              <w:t>The current CAD configuration specifies a 63.6 mm pipe outside diameter and 63.0 mm inside diameter, leaving only 0.3 mm radial wall thickness.</w:t>
            </w:r>
          </w:p>
          <w:p>
            <w:pPr>
              <w:pStyle w:val="TableText"/>
              <w:spacing w:after="60"/>
            </w:pPr>
            <w:r>
              <w:rPr>
                <w:rFonts w:ascii="Calibri" w:hAnsi="Calibri" w:eastAsia="Calibri"/>
                <w:sz w:val="19"/>
              </w:rPr>
              <w:t>A standard ICF114 half nipple commonly provides approximately 60.2 mm clear diameter with a 63.5 mm tube outside diameter.</w:t>
            </w:r>
          </w:p>
          <w:p>
            <w:pPr>
              <w:pStyle w:val="TableText"/>
              <w:spacing w:after="60"/>
            </w:pPr>
            <w:r>
              <w:rPr>
                <w:rFonts w:ascii="Calibri" w:hAnsi="Calibri" w:eastAsia="Calibri"/>
                <w:sz w:val="19"/>
              </w:rPr>
              <w:t>ICF114 is a fixed external interface for both polarimeters. Resolve the 63 mm CAD stay-clear conflict by replacing placeholder pipe geometry with certified ICF114 flange, nipple, adapter, and bellows dimensions—not by changing the flange contract.</w:t>
            </w:r>
          </w:p>
        </w:tc>
      </w:tr>
    </w:tbl>
    <w:p>
      <w:pPr>
        <w:spacing w:after="0"/>
      </w:pPr>
    </w:p>
    <w:p>
      <w:pPr>
        <w:pStyle w:val="Heading2"/>
      </w:pPr>
      <w:r>
        <w:t>Decision summary</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000"/>
        <w:gridCol w:w="4200"/>
        <w:gridCol w:w="3160"/>
      </w:tblGrid>
      <w:tr>
        <w:trPr>
          <w:cantSplit/>
          <w:tblHeader w:val="true"/>
          <w:cantSplit/>
        </w:trPr>
        <w:tc>
          <w:tcPr>
            <w:tcW w:type="dxa" w:w="20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7"/>
              </w:rPr>
              <w:t>Item</w:t>
            </w:r>
          </w:p>
        </w:tc>
        <w:tc>
          <w:tcPr>
            <w:tcW w:type="dxa" w:w="42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7"/>
              </w:rPr>
              <w:t>Recommended decision</w:t>
            </w:r>
          </w:p>
        </w:tc>
        <w:tc>
          <w:tcPr>
            <w:tcW w:type="dxa" w:w="316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7"/>
              </w:rPr>
              <w:t>Release condition</w:t>
            </w:r>
          </w:p>
        </w:tc>
      </w:tr>
      <w:tr>
        <w:trPr>
          <w:cantSplit/>
        </w:trPr>
        <w:tc>
          <w:tcPr>
            <w:tcW w:type="dxa" w:w="2000"/>
            <w:tcMar>
              <w:top w:w="80" w:type="dxa"/>
              <w:start w:w="120" w:type="dxa"/>
              <w:bottom w:w="80" w:type="dxa"/>
              <w:end w:w="120" w:type="dxa"/>
            </w:tcMar>
            <w:vAlign w:val="center"/>
          </w:tcPr>
          <w:p>
            <w:pPr>
              <w:pStyle w:val="TableText"/>
              <w:spacing w:after="0"/>
            </w:pPr>
            <w:r>
              <w:rPr>
                <w:rFonts w:ascii="Calibri" w:hAnsi="Calibri" w:eastAsia="Calibri"/>
                <w:color w:val="202124"/>
                <w:sz w:val="17"/>
              </w:rPr>
              <w:t>Scintillator</w:t>
            </w:r>
          </w:p>
        </w:tc>
        <w:tc>
          <w:tcPr>
            <w:tcW w:type="dxa" w:w="4200"/>
            <w:tcMar>
              <w:top w:w="80" w:type="dxa"/>
              <w:start w:w="120" w:type="dxa"/>
              <w:bottom w:w="80" w:type="dxa"/>
              <w:end w:w="120" w:type="dxa"/>
            </w:tcMar>
            <w:vAlign w:val="center"/>
          </w:tcPr>
          <w:p>
            <w:pPr>
              <w:pStyle w:val="TableText"/>
              <w:spacing w:after="0"/>
            </w:pPr>
            <w:r>
              <w:rPr>
                <w:rFonts w:ascii="Calibri" w:hAnsi="Calibri" w:eastAsia="Calibri"/>
                <w:color w:val="202124"/>
                <w:sz w:val="17"/>
              </w:rPr>
              <w:t>Fast blue plastic; 5–6 mm prototype band</w:t>
            </w:r>
          </w:p>
        </w:tc>
        <w:tc>
          <w:tcPr>
            <w:tcW w:type="dxa" w:w="3160"/>
            <w:tcMar>
              <w:top w:w="80" w:type="dxa"/>
              <w:start w:w="120" w:type="dxa"/>
              <w:bottom w:w="80" w:type="dxa"/>
              <w:end w:w="120" w:type="dxa"/>
            </w:tcMar>
            <w:vAlign w:val="center"/>
          </w:tcPr>
          <w:p>
            <w:pPr>
              <w:pStyle w:val="TableText"/>
              <w:spacing w:after="0"/>
            </w:pPr>
            <w:r>
              <w:rPr>
                <w:rFonts w:ascii="Calibri" w:hAnsi="Calibri" w:eastAsia="Calibri"/>
                <w:color w:val="202124"/>
                <w:sz w:val="17"/>
              </w:rPr>
              <w:t>LISE++/Geant4 comparison plus domestic batch timing, light output, machining, and vacuum-screening data</w:t>
            </w:r>
          </w:p>
        </w:tc>
      </w:tr>
      <w:tr>
        <w:trPr>
          <w:cantSplit/>
        </w:trPr>
        <w:tc>
          <w:tcPr>
            <w:tcW w:type="dxa" w:w="2000"/>
            <w:tcMar>
              <w:top w:w="80" w:type="dxa"/>
              <w:start w:w="120" w:type="dxa"/>
              <w:bottom w:w="80" w:type="dxa"/>
              <w:end w:w="120" w:type="dxa"/>
            </w:tcMar>
            <w:vAlign w:val="center"/>
          </w:tcPr>
          <w:p>
            <w:pPr>
              <w:pStyle w:val="TableText"/>
              <w:spacing w:after="0"/>
            </w:pPr>
            <w:r>
              <w:rPr>
                <w:rFonts w:ascii="Calibri" w:hAnsi="Calibri" w:eastAsia="Calibri"/>
                <w:color w:val="202124"/>
                <w:sz w:val="17"/>
              </w:rPr>
              <w:t>SiPM</w:t>
            </w:r>
          </w:p>
        </w:tc>
        <w:tc>
          <w:tcPr>
            <w:tcW w:type="dxa" w:w="4200"/>
            <w:tcMar>
              <w:top w:w="80" w:type="dxa"/>
              <w:start w:w="120" w:type="dxa"/>
              <w:bottom w:w="80" w:type="dxa"/>
              <w:end w:w="120" w:type="dxa"/>
            </w:tcMar>
            <w:vAlign w:val="center"/>
          </w:tcPr>
          <w:p>
            <w:pPr>
              <w:pStyle w:val="TableText"/>
              <w:spacing w:after="0"/>
            </w:pPr>
            <w:r>
              <w:rPr>
                <w:rFonts w:ascii="Calibri" w:hAnsi="Calibri" w:eastAsia="Calibri"/>
                <w:color w:val="202124"/>
                <w:sz w:val="17"/>
              </w:rPr>
              <w:t>NDL EQR15 baseline; EQR20 backup; Hamamatsu reference</w:t>
            </w:r>
          </w:p>
        </w:tc>
        <w:tc>
          <w:tcPr>
            <w:tcW w:type="dxa" w:w="3160"/>
            <w:tcMar>
              <w:top w:w="80" w:type="dxa"/>
              <w:start w:w="120" w:type="dxa"/>
              <w:bottom w:w="80" w:type="dxa"/>
              <w:end w:w="120" w:type="dxa"/>
            </w:tcMar>
            <w:vAlign w:val="center"/>
          </w:tcPr>
          <w:p>
            <w:pPr>
              <w:pStyle w:val="TableText"/>
              <w:spacing w:after="0"/>
            </w:pPr>
            <w:r>
              <w:rPr>
                <w:rFonts w:ascii="Calibri" w:hAnsi="Calibri" w:eastAsia="Calibri"/>
                <w:color w:val="202124"/>
                <w:sz w:val="17"/>
              </w:rPr>
              <w:t>Bench linearity, gain, dark rate, temperature coefficient, and lot screening</w:t>
            </w:r>
          </w:p>
        </w:tc>
      </w:tr>
      <w:tr>
        <w:trPr>
          <w:cantSplit/>
        </w:trPr>
        <w:tc>
          <w:tcPr>
            <w:tcW w:type="dxa" w:w="2000"/>
            <w:tcMar>
              <w:top w:w="80" w:type="dxa"/>
              <w:start w:w="120" w:type="dxa"/>
              <w:bottom w:w="80" w:type="dxa"/>
              <w:end w:w="120" w:type="dxa"/>
            </w:tcMar>
            <w:vAlign w:val="center"/>
          </w:tcPr>
          <w:p>
            <w:pPr>
              <w:pStyle w:val="TableText"/>
              <w:spacing w:after="0"/>
            </w:pPr>
            <w:r>
              <w:rPr>
                <w:rFonts w:ascii="Calibri" w:hAnsi="Calibri" w:eastAsia="Calibri"/>
                <w:color w:val="202124"/>
                <w:sz w:val="17"/>
              </w:rPr>
              <w:t>Chamber architecture</w:t>
            </w:r>
          </w:p>
        </w:tc>
        <w:tc>
          <w:tcPr>
            <w:tcW w:type="dxa" w:w="4200"/>
            <w:tcMar>
              <w:top w:w="80" w:type="dxa"/>
              <w:start w:w="120" w:type="dxa"/>
              <w:bottom w:w="80" w:type="dxa"/>
              <w:end w:w="120" w:type="dxa"/>
            </w:tcMar>
            <w:vAlign w:val="center"/>
          </w:tcPr>
          <w:p>
            <w:pPr>
              <w:pStyle w:val="TableText"/>
              <w:spacing w:after="0"/>
            </w:pPr>
            <w:r>
              <w:rPr>
                <w:rFonts w:ascii="Calibri" w:hAnsi="Calibri" w:eastAsia="Calibri"/>
                <w:color w:val="202124"/>
                <w:sz w:val="17"/>
              </w:rPr>
              <w:t>Short cylindrical shell plus removable flat service plate / faceted detector cartridge</w:t>
            </w:r>
          </w:p>
        </w:tc>
        <w:tc>
          <w:tcPr>
            <w:tcW w:type="dxa" w:w="3160"/>
            <w:tcMar>
              <w:top w:w="80" w:type="dxa"/>
              <w:start w:w="120" w:type="dxa"/>
              <w:bottom w:w="80" w:type="dxa"/>
              <w:end w:w="120" w:type="dxa"/>
            </w:tcMar>
            <w:vAlign w:val="center"/>
          </w:tcPr>
          <w:p>
            <w:pPr>
              <w:pStyle w:val="TableText"/>
              <w:spacing w:after="0"/>
            </w:pPr>
            <w:r>
              <w:rPr>
                <w:rFonts w:ascii="Calibri" w:hAnsi="Calibri" w:eastAsia="Calibri"/>
                <w:color w:val="202124"/>
                <w:sz w:val="17"/>
              </w:rPr>
              <w:t>Port map, external-pressure FEA, handling mass, and detector access</w:t>
            </w:r>
          </w:p>
        </w:tc>
      </w:tr>
      <w:tr>
        <w:trPr>
          <w:cantSplit/>
        </w:trPr>
        <w:tc>
          <w:tcPr>
            <w:tcW w:type="dxa" w:w="2000"/>
            <w:tcMar>
              <w:top w:w="80" w:type="dxa"/>
              <w:start w:w="120" w:type="dxa"/>
              <w:bottom w:w="80" w:type="dxa"/>
              <w:end w:w="120" w:type="dxa"/>
            </w:tcMar>
            <w:vAlign w:val="center"/>
          </w:tcPr>
          <w:p>
            <w:pPr>
              <w:pStyle w:val="TableText"/>
              <w:spacing w:after="0"/>
            </w:pPr>
            <w:r>
              <w:rPr>
                <w:rFonts w:ascii="Calibri" w:hAnsi="Calibri" w:eastAsia="Calibri"/>
                <w:color w:val="202124"/>
                <w:sz w:val="17"/>
              </w:rPr>
              <w:t>ICF interfaces</w:t>
            </w:r>
          </w:p>
        </w:tc>
        <w:tc>
          <w:tcPr>
            <w:tcW w:type="dxa" w:w="4200"/>
            <w:tcMar>
              <w:top w:w="80" w:type="dxa"/>
              <w:start w:w="120" w:type="dxa"/>
              <w:bottom w:w="80" w:type="dxa"/>
              <w:end w:w="120" w:type="dxa"/>
            </w:tcMar>
            <w:vAlign w:val="center"/>
          </w:tcPr>
          <w:p>
            <w:pPr>
              <w:pStyle w:val="TableText"/>
              <w:spacing w:after="0"/>
            </w:pPr>
            <w:r>
              <w:rPr>
                <w:rFonts w:ascii="Calibri" w:hAnsi="Calibri" w:eastAsia="Calibri"/>
                <w:color w:val="202124"/>
                <w:sz w:val="17"/>
              </w:rPr>
              <w:t>afterSRC: ICF114 front/rear + top ICF70; CompactInVacuum: ICF114 front/rear</w:t>
            </w:r>
          </w:p>
        </w:tc>
        <w:tc>
          <w:tcPr>
            <w:tcW w:type="dxa" w:w="3160"/>
            <w:tcMar>
              <w:top w:w="80" w:type="dxa"/>
              <w:start w:w="120" w:type="dxa"/>
              <w:bottom w:w="80" w:type="dxa"/>
              <w:end w:w="120" w:type="dxa"/>
            </w:tcMar>
            <w:vAlign w:val="center"/>
          </w:tcPr>
          <w:p>
            <w:pPr>
              <w:pStyle w:val="TableText"/>
              <w:spacing w:after="0"/>
            </w:pPr>
            <w:r>
              <w:rPr>
                <w:rFonts w:ascii="Calibri" w:hAnsi="Calibri" w:eastAsia="Calibri"/>
                <w:color w:val="202124"/>
                <w:sz w:val="17"/>
              </w:rPr>
              <w:t>Certified component drawings, beam stay-clear, and ICF-class leak acceptance</w:t>
            </w:r>
          </w:p>
        </w:tc>
      </w:tr>
      <w:tr>
        <w:trPr>
          <w:cantSplit/>
        </w:trPr>
        <w:tc>
          <w:tcPr>
            <w:tcW w:type="dxa" w:w="2000"/>
            <w:tcMar>
              <w:top w:w="80" w:type="dxa"/>
              <w:start w:w="120" w:type="dxa"/>
              <w:bottom w:w="80" w:type="dxa"/>
              <w:end w:w="120" w:type="dxa"/>
            </w:tcMar>
            <w:vAlign w:val="center"/>
          </w:tcPr>
          <w:p>
            <w:pPr>
              <w:pStyle w:val="TableText"/>
              <w:spacing w:after="0"/>
            </w:pPr>
            <w:r>
              <w:rPr>
                <w:rFonts w:ascii="Calibri" w:hAnsi="Calibri" w:eastAsia="Calibri"/>
                <w:color w:val="202124"/>
                <w:sz w:val="17"/>
              </w:rPr>
              <w:t>PrMat workshare</w:t>
            </w:r>
          </w:p>
        </w:tc>
        <w:tc>
          <w:tcPr>
            <w:tcW w:type="dxa" w:w="4200"/>
            <w:tcMar>
              <w:top w:w="80" w:type="dxa"/>
              <w:start w:w="120" w:type="dxa"/>
              <w:bottom w:w="80" w:type="dxa"/>
              <w:end w:w="120" w:type="dxa"/>
            </w:tcMar>
            <w:vAlign w:val="center"/>
          </w:tcPr>
          <w:p>
            <w:pPr>
              <w:pStyle w:val="TableText"/>
              <w:spacing w:after="0"/>
            </w:pPr>
            <w:r>
              <w:rPr>
                <w:rFonts w:ascii="Calibri" w:hAnsi="Calibri" w:eastAsia="Calibri"/>
                <w:color w:val="202124"/>
                <w:sz w:val="17"/>
              </w:rPr>
              <w:t>Chamber, rotary feedthrough integration, metallic detector cassettes, final leak/dimensional acceptance</w:t>
            </w:r>
          </w:p>
        </w:tc>
        <w:tc>
          <w:tcPr>
            <w:tcW w:type="dxa" w:w="3160"/>
            <w:tcMar>
              <w:top w:w="80" w:type="dxa"/>
              <w:start w:w="120" w:type="dxa"/>
              <w:bottom w:w="80" w:type="dxa"/>
              <w:end w:w="120" w:type="dxa"/>
            </w:tcMar>
            <w:vAlign w:val="center"/>
          </w:tcPr>
          <w:p>
            <w:pPr>
              <w:pStyle w:val="TableText"/>
              <w:spacing w:after="0"/>
            </w:pPr>
            <w:r>
              <w:rPr>
                <w:rFonts w:ascii="Calibri" w:hAnsi="Calibri" w:eastAsia="Calibri"/>
                <w:color w:val="202124"/>
                <w:sz w:val="17"/>
              </w:rPr>
              <w:t>Supplier capability questionnaire and accepted quality plan</w:t>
            </w:r>
          </w:p>
        </w:tc>
      </w:tr>
      <w:tr>
        <w:trPr>
          <w:cantSplit/>
        </w:trPr>
        <w:tc>
          <w:tcPr>
            <w:tcW w:type="dxa" w:w="2000"/>
            <w:tcMar>
              <w:top w:w="80" w:type="dxa"/>
              <w:start w:w="120" w:type="dxa"/>
              <w:bottom w:w="80" w:type="dxa"/>
              <w:end w:w="120" w:type="dxa"/>
            </w:tcMar>
            <w:vAlign w:val="center"/>
          </w:tcPr>
          <w:p>
            <w:pPr>
              <w:pStyle w:val="TableText"/>
              <w:spacing w:after="0"/>
            </w:pPr>
            <w:r>
              <w:rPr>
                <w:rFonts w:ascii="Calibri" w:hAnsi="Calibri" w:eastAsia="Calibri"/>
                <w:color w:val="202124"/>
                <w:sz w:val="17"/>
              </w:rPr>
              <w:t>Detector optical/electronic workshare</w:t>
            </w:r>
          </w:p>
        </w:tc>
        <w:tc>
          <w:tcPr>
            <w:tcW w:type="dxa" w:w="4200"/>
            <w:tcMar>
              <w:top w:w="80" w:type="dxa"/>
              <w:start w:w="120" w:type="dxa"/>
              <w:bottom w:w="80" w:type="dxa"/>
              <w:end w:w="120" w:type="dxa"/>
            </w:tcMar>
            <w:vAlign w:val="center"/>
          </w:tcPr>
          <w:p>
            <w:pPr>
              <w:pStyle w:val="TableText"/>
              <w:spacing w:after="0"/>
            </w:pPr>
            <w:r>
              <w:rPr>
                <w:rFonts w:ascii="Calibri" w:hAnsi="Calibri" w:eastAsia="Calibri"/>
                <w:color w:val="202124"/>
                <w:sz w:val="17"/>
              </w:rPr>
              <w:t>Scintillator supplier plus project electronics team</w:t>
            </w:r>
          </w:p>
        </w:tc>
        <w:tc>
          <w:tcPr>
            <w:tcW w:type="dxa" w:w="3160"/>
            <w:tcMar>
              <w:top w:w="80" w:type="dxa"/>
              <w:start w:w="120" w:type="dxa"/>
              <w:bottom w:w="80" w:type="dxa"/>
              <w:end w:w="120" w:type="dxa"/>
            </w:tcMar>
            <w:vAlign w:val="center"/>
          </w:tcPr>
          <w:p>
            <w:pPr>
              <w:pStyle w:val="TableText"/>
              <w:spacing w:after="0"/>
            </w:pPr>
            <w:r>
              <w:rPr>
                <w:rFonts w:ascii="Calibri" w:hAnsi="Calibri" w:eastAsia="Calibri"/>
                <w:color w:val="202124"/>
                <w:sz w:val="17"/>
              </w:rPr>
              <w:t>Golden cassette demonstrated before production</w:t>
            </w:r>
          </w:p>
        </w:tc>
      </w:tr>
    </w:tbl>
    <w:p>
      <w:pPr>
        <w:pStyle w:val="Heading1"/>
      </w:pPr>
      <w:r>
        <w:t>2. Scope, reference configuration, and open assumptions</w:t>
      </w:r>
    </w:p>
    <w:p>
      <w:pPr>
        <w:keepLines/>
      </w:pPr>
      <w:r>
        <w:rPr>
          <w:rFonts w:ascii="Calibri" w:hAnsi="Calibri" w:eastAsia="Calibri"/>
        </w:rPr>
        <w:t>The project contains two polarimeters. The afterSRC instrument keeps the present external H+V+V detector arrangement and has fixed ICF114 front and rear beam interfaces, a top ICF70 rotary-feedthrough interface, and no additional side vacuum ports. CompactInVacuum is the future primary development version; its front and rear beam interfaces are also fixed as ICF114. Adapters and bellows may be inserted, but every vacuum-boundary joint must preserve ICF/CF all-metal knife-edge practice and the assembly leak requirement. The reference physics case is 380 MeV deuterons on a CH₂ target, with coincident detection of elastically scattered deuterons and protons in four azimuthal sectors. The current model has three detector stations per sector: D at 20.9° and 140 mm radius, P-small at 11.2° and 190 mm radius, and P-large at 53.4° and 205 mm radius. The detector envelope is presently Ø25 mm × 50 mm, but material and photosensor remain placeholders.</w:t>
      </w:r>
    </w:p>
    <w:p>
      <w:pPr>
        <w:pStyle w:val="Heading2"/>
      </w:pPr>
      <w:r>
        <w:t>Frozen instrument-interface contract</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1900"/>
        <w:gridCol w:w="2160"/>
        <w:gridCol w:w="2900"/>
        <w:gridCol w:w="2400"/>
      </w:tblGrid>
      <w:tr>
        <w:trPr>
          <w:cantSplit/>
          <w:tblHeader w:val="true"/>
          <w:cantSplit/>
        </w:trPr>
        <w:tc>
          <w:tcPr>
            <w:tcW w:type="dxa" w:w="19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Instrument</w:t>
            </w:r>
          </w:p>
        </w:tc>
        <w:tc>
          <w:tcPr>
            <w:tcW w:type="dxa" w:w="216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Beam interfaces</w:t>
            </w:r>
          </w:p>
        </w:tc>
        <w:tc>
          <w:tcPr>
            <w:tcW w:type="dxa" w:w="29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Rotary / auxiliary ports</w:t>
            </w:r>
          </w:p>
        </w:tc>
        <w:tc>
          <w:tcPr>
            <w:tcW w:type="dxa" w:w="24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Vacuum acceptance</w:t>
            </w:r>
          </w:p>
        </w:tc>
      </w:tr>
      <w:tr>
        <w:trPr>
          <w:cantSplit/>
        </w:trPr>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afterSRC</w:t>
            </w:r>
          </w:p>
        </w:tc>
        <w:tc>
          <w:tcPr>
            <w:tcW w:type="dxa" w:w="2160"/>
            <w:tcMar>
              <w:top w:w="80" w:type="dxa"/>
              <w:start w:w="120" w:type="dxa"/>
              <w:bottom w:w="80" w:type="dxa"/>
              <w:end w:w="120" w:type="dxa"/>
            </w:tcMar>
            <w:vAlign w:val="center"/>
          </w:tcPr>
          <w:p>
            <w:pPr>
              <w:pStyle w:val="TableText"/>
              <w:spacing w:after="0"/>
            </w:pPr>
            <w:r>
              <w:rPr>
                <w:rFonts w:ascii="Calibri" w:hAnsi="Calibri" w:eastAsia="Calibri"/>
                <w:color w:val="202124"/>
                <w:sz w:val="16"/>
              </w:rPr>
              <w:t>Front ICF114; rear ICF114</w:t>
            </w:r>
          </w:p>
        </w:tc>
        <w:tc>
          <w:tcPr>
            <w:tcW w:type="dxa" w:w="2900"/>
            <w:tcMar>
              <w:top w:w="80" w:type="dxa"/>
              <w:start w:w="120" w:type="dxa"/>
              <w:bottom w:w="80" w:type="dxa"/>
              <w:end w:w="120" w:type="dxa"/>
            </w:tcMar>
            <w:vAlign w:val="center"/>
          </w:tcPr>
          <w:p>
            <w:pPr>
              <w:pStyle w:val="TableText"/>
              <w:spacing w:after="0"/>
            </w:pPr>
            <w:r>
              <w:rPr>
                <w:rFonts w:ascii="Calibri" w:hAnsi="Calibri" w:eastAsia="Calibri"/>
                <w:color w:val="202124"/>
                <w:sz w:val="16"/>
              </w:rPr>
              <w:t>Top rotary interface ICF70; no extra side vacuum ports</w:t>
            </w:r>
          </w:p>
        </w:tc>
        <w:tc>
          <w:tcPr>
            <w:tcW w:type="dxa" w:w="2400"/>
            <w:tcMar>
              <w:top w:w="80" w:type="dxa"/>
              <w:start w:w="120" w:type="dxa"/>
              <w:bottom w:w="80" w:type="dxa"/>
              <w:end w:w="120" w:type="dxa"/>
            </w:tcMar>
            <w:vAlign w:val="center"/>
          </w:tcPr>
          <w:p>
            <w:pPr>
              <w:pStyle w:val="TableText"/>
              <w:spacing w:after="0"/>
            </w:pPr>
            <w:r>
              <w:rPr>
                <w:rFonts w:ascii="Calibri" w:hAnsi="Calibri" w:eastAsia="Calibri"/>
                <w:color w:val="202124"/>
                <w:sz w:val="16"/>
              </w:rPr>
              <w:t>All-metal ICF seals; integrated helium leak ≤1 × 10⁻¹⁰ Pa·m³/s</w:t>
            </w:r>
          </w:p>
        </w:tc>
      </w:tr>
      <w:tr>
        <w:trPr>
          <w:cantSplit/>
        </w:trPr>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CompactInVacuum</w:t>
            </w:r>
          </w:p>
        </w:tc>
        <w:tc>
          <w:tcPr>
            <w:tcW w:type="dxa" w:w="2160"/>
            <w:tcMar>
              <w:top w:w="80" w:type="dxa"/>
              <w:start w:w="120" w:type="dxa"/>
              <w:bottom w:w="80" w:type="dxa"/>
              <w:end w:w="120" w:type="dxa"/>
            </w:tcMar>
            <w:vAlign w:val="center"/>
          </w:tcPr>
          <w:p>
            <w:pPr>
              <w:pStyle w:val="TableText"/>
              <w:spacing w:after="0"/>
            </w:pPr>
            <w:r>
              <w:rPr>
                <w:rFonts w:ascii="Calibri" w:hAnsi="Calibri" w:eastAsia="Calibri"/>
                <w:color w:val="202124"/>
                <w:sz w:val="16"/>
              </w:rPr>
              <w:t>Front ICF114; rear ICF114</w:t>
            </w:r>
          </w:p>
        </w:tc>
        <w:tc>
          <w:tcPr>
            <w:tcW w:type="dxa" w:w="2900"/>
            <w:tcMar>
              <w:top w:w="80" w:type="dxa"/>
              <w:start w:w="120" w:type="dxa"/>
              <w:bottom w:w="80" w:type="dxa"/>
              <w:end w:w="120" w:type="dxa"/>
            </w:tcMar>
            <w:vAlign w:val="center"/>
          </w:tcPr>
          <w:p>
            <w:pPr>
              <w:pStyle w:val="TableText"/>
              <w:spacing w:after="0"/>
            </w:pPr>
            <w:r>
              <w:rPr>
                <w:rFonts w:ascii="Calibri" w:hAnsi="Calibri" w:eastAsia="Calibri"/>
                <w:color w:val="202124"/>
                <w:sz w:val="16"/>
              </w:rPr>
              <w:t>Final service-port map remains under development</w:t>
            </w:r>
          </w:p>
        </w:tc>
        <w:tc>
          <w:tcPr>
            <w:tcW w:type="dxa" w:w="2400"/>
            <w:tcMar>
              <w:top w:w="80" w:type="dxa"/>
              <w:start w:w="120" w:type="dxa"/>
              <w:bottom w:w="80" w:type="dxa"/>
              <w:end w:w="120" w:type="dxa"/>
            </w:tcMar>
            <w:vAlign w:val="center"/>
          </w:tcPr>
          <w:p>
            <w:pPr>
              <w:pStyle w:val="TableText"/>
              <w:spacing w:after="0"/>
            </w:pPr>
            <w:r>
              <w:rPr>
                <w:rFonts w:ascii="Calibri" w:hAnsi="Calibri" w:eastAsia="Calibri"/>
                <w:color w:val="202124"/>
                <w:sz w:val="16"/>
              </w:rPr>
              <w:t>Same ICF-class boundary; adapters/bellows may not downgrade it</w:t>
            </w:r>
          </w:p>
        </w:tc>
      </w:tr>
    </w:tbl>
    <w:p>
      <w:pPr>
        <w:pStyle w:val="Heading2"/>
      </w:pPr>
      <w:r>
        <w:t>Current chamber envelope</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600"/>
        <w:gridCol w:w="2200"/>
        <w:gridCol w:w="4560"/>
      </w:tblGrid>
      <w:tr>
        <w:trPr>
          <w:cantSplit/>
          <w:tblHeader w:val="true"/>
          <w:cantSplit/>
        </w:trPr>
        <w:tc>
          <w:tcPr>
            <w:tcW w:type="dxa" w:w="26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7"/>
              </w:rPr>
              <w:t>Parameter</w:t>
            </w:r>
          </w:p>
        </w:tc>
        <w:tc>
          <w:tcPr>
            <w:tcW w:type="dxa" w:w="22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7"/>
              </w:rPr>
              <w:t>Current model</w:t>
            </w:r>
          </w:p>
        </w:tc>
        <w:tc>
          <w:tcPr>
            <w:tcW w:type="dxa" w:w="456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7"/>
              </w:rPr>
              <w:t>Engineering interpretation</w:t>
            </w:r>
          </w:p>
        </w:tc>
      </w:tr>
      <w:tr>
        <w:trPr>
          <w:cantSplit/>
        </w:trPr>
        <w:tc>
          <w:tcPr>
            <w:tcW w:type="dxa" w:w="2600"/>
            <w:tcMar>
              <w:top w:w="80" w:type="dxa"/>
              <w:start w:w="120" w:type="dxa"/>
              <w:bottom w:w="80" w:type="dxa"/>
              <w:end w:w="120" w:type="dxa"/>
            </w:tcMar>
            <w:vAlign w:val="center"/>
          </w:tcPr>
          <w:p>
            <w:pPr>
              <w:pStyle w:val="TableText"/>
              <w:spacing w:after="0"/>
            </w:pPr>
            <w:r>
              <w:rPr>
                <w:rFonts w:ascii="Calibri" w:hAnsi="Calibri" w:eastAsia="Calibri"/>
                <w:color w:val="202124"/>
                <w:sz w:val="17"/>
              </w:rPr>
              <w:t>Inner cross-section</w:t>
            </w:r>
          </w:p>
        </w:tc>
        <w:tc>
          <w:tcPr>
            <w:tcW w:type="dxa" w:w="2200"/>
            <w:tcMar>
              <w:top w:w="80" w:type="dxa"/>
              <w:start w:w="120" w:type="dxa"/>
              <w:bottom w:w="80" w:type="dxa"/>
              <w:end w:w="120" w:type="dxa"/>
            </w:tcMar>
            <w:vAlign w:val="center"/>
          </w:tcPr>
          <w:p>
            <w:pPr>
              <w:pStyle w:val="TableText"/>
              <w:spacing w:after="0"/>
            </w:pPr>
            <w:r>
              <w:rPr>
                <w:rFonts w:ascii="Calibri" w:hAnsi="Calibri" w:eastAsia="Calibri"/>
                <w:color w:val="202124"/>
                <w:sz w:val="17"/>
              </w:rPr>
              <w:t>440 × 440 mm</w:t>
            </w:r>
          </w:p>
        </w:tc>
        <w:tc>
          <w:tcPr>
            <w:tcW w:type="dxa" w:w="4560"/>
            <w:tcMar>
              <w:top w:w="80" w:type="dxa"/>
              <w:start w:w="120" w:type="dxa"/>
              <w:bottom w:w="80" w:type="dxa"/>
              <w:end w:w="120" w:type="dxa"/>
            </w:tcMar>
            <w:vAlign w:val="center"/>
          </w:tcPr>
          <w:p>
            <w:pPr>
              <w:pStyle w:val="TableText"/>
              <w:spacing w:after="0"/>
            </w:pPr>
            <w:r>
              <w:rPr>
                <w:rFonts w:ascii="Calibri" w:hAnsi="Calibri" w:eastAsia="Calibri"/>
                <w:color w:val="202124"/>
                <w:sz w:val="17"/>
              </w:rPr>
              <w:t>Larger than required by a compact detector cartridge; drives mass and transport volume</w:t>
            </w:r>
          </w:p>
        </w:tc>
      </w:tr>
      <w:tr>
        <w:trPr>
          <w:cantSplit/>
        </w:trPr>
        <w:tc>
          <w:tcPr>
            <w:tcW w:type="dxa" w:w="2600"/>
            <w:tcMar>
              <w:top w:w="80" w:type="dxa"/>
              <w:start w:w="120" w:type="dxa"/>
              <w:bottom w:w="80" w:type="dxa"/>
              <w:end w:w="120" w:type="dxa"/>
            </w:tcMar>
            <w:vAlign w:val="center"/>
          </w:tcPr>
          <w:p>
            <w:pPr>
              <w:pStyle w:val="TableText"/>
              <w:spacing w:after="0"/>
            </w:pPr>
            <w:r>
              <w:rPr>
                <w:rFonts w:ascii="Calibri" w:hAnsi="Calibri" w:eastAsia="Calibri"/>
                <w:color w:val="202124"/>
                <w:sz w:val="17"/>
              </w:rPr>
              <w:t>Wall thickness</w:t>
            </w:r>
          </w:p>
        </w:tc>
        <w:tc>
          <w:tcPr>
            <w:tcW w:type="dxa" w:w="2200"/>
            <w:tcMar>
              <w:top w:w="80" w:type="dxa"/>
              <w:start w:w="120" w:type="dxa"/>
              <w:bottom w:w="80" w:type="dxa"/>
              <w:end w:w="120" w:type="dxa"/>
            </w:tcMar>
            <w:vAlign w:val="center"/>
          </w:tcPr>
          <w:p>
            <w:pPr>
              <w:pStyle w:val="TableText"/>
              <w:spacing w:after="0"/>
            </w:pPr>
            <w:r>
              <w:rPr>
                <w:rFonts w:ascii="Calibri" w:hAnsi="Calibri" w:eastAsia="Calibri"/>
                <w:color w:val="202124"/>
                <w:sz w:val="17"/>
              </w:rPr>
              <w:t>10 mm nominal</w:t>
            </w:r>
          </w:p>
        </w:tc>
        <w:tc>
          <w:tcPr>
            <w:tcW w:type="dxa" w:w="4560"/>
            <w:tcMar>
              <w:top w:w="80" w:type="dxa"/>
              <w:start w:w="120" w:type="dxa"/>
              <w:bottom w:w="80" w:type="dxa"/>
              <w:end w:w="120" w:type="dxa"/>
            </w:tcMar>
            <w:vAlign w:val="center"/>
          </w:tcPr>
          <w:p>
            <w:pPr>
              <w:pStyle w:val="TableText"/>
              <w:spacing w:after="0"/>
            </w:pPr>
            <w:r>
              <w:rPr>
                <w:rFonts w:ascii="Calibri" w:hAnsi="Calibri" w:eastAsia="Calibri"/>
                <w:color w:val="202124"/>
                <w:sz w:val="17"/>
              </w:rPr>
              <w:t>Must not be frozen without external-pressure buckling analysis and weld details</w:t>
            </w:r>
          </w:p>
        </w:tc>
      </w:tr>
      <w:tr>
        <w:trPr>
          <w:cantSplit/>
        </w:trPr>
        <w:tc>
          <w:tcPr>
            <w:tcW w:type="dxa" w:w="2600"/>
            <w:tcMar>
              <w:top w:w="80" w:type="dxa"/>
              <w:start w:w="120" w:type="dxa"/>
              <w:bottom w:w="80" w:type="dxa"/>
              <w:end w:w="120" w:type="dxa"/>
            </w:tcMar>
            <w:vAlign w:val="center"/>
          </w:tcPr>
          <w:p>
            <w:pPr>
              <w:pStyle w:val="TableText"/>
              <w:spacing w:after="0"/>
            </w:pPr>
            <w:r>
              <w:rPr>
                <w:rFonts w:ascii="Calibri" w:hAnsi="Calibri" w:eastAsia="Calibri"/>
                <w:color w:val="202124"/>
                <w:sz w:val="17"/>
              </w:rPr>
              <w:t>Body length</w:t>
            </w:r>
          </w:p>
        </w:tc>
        <w:tc>
          <w:tcPr>
            <w:tcW w:type="dxa" w:w="2200"/>
            <w:tcMar>
              <w:top w:w="80" w:type="dxa"/>
              <w:start w:w="120" w:type="dxa"/>
              <w:bottom w:w="80" w:type="dxa"/>
              <w:end w:w="120" w:type="dxa"/>
            </w:tcMar>
            <w:vAlign w:val="center"/>
          </w:tcPr>
          <w:p>
            <w:pPr>
              <w:pStyle w:val="TableText"/>
              <w:spacing w:after="0"/>
            </w:pPr>
            <w:r>
              <w:rPr>
                <w:rFonts w:ascii="Calibri" w:hAnsi="Calibri" w:eastAsia="Calibri"/>
                <w:color w:val="202124"/>
                <w:sz w:val="17"/>
              </w:rPr>
              <w:t>360 mm</w:t>
            </w:r>
          </w:p>
        </w:tc>
        <w:tc>
          <w:tcPr>
            <w:tcW w:type="dxa" w:w="4560"/>
            <w:tcMar>
              <w:top w:w="80" w:type="dxa"/>
              <w:start w:w="120" w:type="dxa"/>
              <w:bottom w:w="80" w:type="dxa"/>
              <w:end w:w="120" w:type="dxa"/>
            </w:tcMar>
            <w:vAlign w:val="center"/>
          </w:tcPr>
          <w:p>
            <w:pPr>
              <w:pStyle w:val="TableText"/>
              <w:spacing w:after="0"/>
            </w:pPr>
            <w:r>
              <w:rPr>
                <w:rFonts w:ascii="Calibri" w:hAnsi="Calibri" w:eastAsia="Calibri"/>
                <w:color w:val="202124"/>
                <w:sz w:val="17"/>
              </w:rPr>
              <w:t>Includes a central spine concept that should be replaced by a local cartridge where possible</w:t>
            </w:r>
          </w:p>
        </w:tc>
      </w:tr>
      <w:tr>
        <w:trPr>
          <w:cantSplit/>
        </w:trPr>
        <w:tc>
          <w:tcPr>
            <w:tcW w:type="dxa" w:w="2600"/>
            <w:tcMar>
              <w:top w:w="80" w:type="dxa"/>
              <w:start w:w="120" w:type="dxa"/>
              <w:bottom w:w="80" w:type="dxa"/>
              <w:end w:w="120" w:type="dxa"/>
            </w:tcMar>
            <w:vAlign w:val="center"/>
          </w:tcPr>
          <w:p>
            <w:pPr>
              <w:pStyle w:val="TableText"/>
              <w:spacing w:after="0"/>
            </w:pPr>
            <w:r>
              <w:rPr>
                <w:rFonts w:ascii="Calibri" w:hAnsi="Calibri" w:eastAsia="Calibri"/>
                <w:color w:val="202124"/>
                <w:sz w:val="17"/>
              </w:rPr>
              <w:t>Outer body envelope</w:t>
            </w:r>
          </w:p>
        </w:tc>
        <w:tc>
          <w:tcPr>
            <w:tcW w:type="dxa" w:w="2200"/>
            <w:tcMar>
              <w:top w:w="80" w:type="dxa"/>
              <w:start w:w="120" w:type="dxa"/>
              <w:bottom w:w="80" w:type="dxa"/>
              <w:end w:w="120" w:type="dxa"/>
            </w:tcMar>
            <w:vAlign w:val="center"/>
          </w:tcPr>
          <w:p>
            <w:pPr>
              <w:pStyle w:val="TableText"/>
              <w:spacing w:after="0"/>
            </w:pPr>
            <w:r>
              <w:rPr>
                <w:rFonts w:ascii="Calibri" w:hAnsi="Calibri" w:eastAsia="Calibri"/>
                <w:color w:val="202124"/>
                <w:sz w:val="17"/>
              </w:rPr>
              <w:t>460 × 460 × 360 mm</w:t>
            </w:r>
          </w:p>
        </w:tc>
        <w:tc>
          <w:tcPr>
            <w:tcW w:type="dxa" w:w="4560"/>
            <w:tcMar>
              <w:top w:w="80" w:type="dxa"/>
              <w:start w:w="120" w:type="dxa"/>
              <w:bottom w:w="80" w:type="dxa"/>
              <w:end w:w="120" w:type="dxa"/>
            </w:tcMar>
            <w:vAlign w:val="center"/>
          </w:tcPr>
          <w:p>
            <w:pPr>
              <w:pStyle w:val="TableText"/>
              <w:spacing w:after="0"/>
            </w:pPr>
            <w:r>
              <w:rPr>
                <w:rFonts w:ascii="Calibri" w:hAnsi="Calibri" w:eastAsia="Calibri"/>
                <w:color w:val="202124"/>
                <w:sz w:val="17"/>
              </w:rPr>
              <w:t>Approximate square-shell material volume 10.29 L; roughly 80 kg if stainless steel</w:t>
            </w:r>
          </w:p>
        </w:tc>
      </w:tr>
      <w:tr>
        <w:trPr>
          <w:cantSplit/>
        </w:trPr>
        <w:tc>
          <w:tcPr>
            <w:tcW w:type="dxa" w:w="2600"/>
            <w:tcMar>
              <w:top w:w="80" w:type="dxa"/>
              <w:start w:w="120" w:type="dxa"/>
              <w:bottom w:w="80" w:type="dxa"/>
              <w:end w:w="120" w:type="dxa"/>
            </w:tcMar>
            <w:vAlign w:val="center"/>
          </w:tcPr>
          <w:p>
            <w:pPr>
              <w:pStyle w:val="TableText"/>
              <w:spacing w:after="0"/>
            </w:pPr>
            <w:r>
              <w:rPr>
                <w:rFonts w:ascii="Calibri" w:hAnsi="Calibri" w:eastAsia="Calibri"/>
                <w:color w:val="202124"/>
                <w:sz w:val="17"/>
              </w:rPr>
              <w:t>End-interface extent</w:t>
            </w:r>
          </w:p>
        </w:tc>
        <w:tc>
          <w:tcPr>
            <w:tcW w:type="dxa" w:w="2200"/>
            <w:tcMar>
              <w:top w:w="80" w:type="dxa"/>
              <w:start w:w="120" w:type="dxa"/>
              <w:bottom w:w="80" w:type="dxa"/>
              <w:end w:w="120" w:type="dxa"/>
            </w:tcMar>
            <w:vAlign w:val="center"/>
          </w:tcPr>
          <w:p>
            <w:pPr>
              <w:pStyle w:val="TableText"/>
              <w:spacing w:after="0"/>
            </w:pPr>
            <w:r>
              <w:rPr>
                <w:rFonts w:ascii="Calibri" w:hAnsi="Calibri" w:eastAsia="Calibri"/>
                <w:color w:val="202124"/>
                <w:sz w:val="17"/>
              </w:rPr>
              <w:t>approximately 555 mm total z envelope</w:t>
            </w:r>
          </w:p>
        </w:tc>
        <w:tc>
          <w:tcPr>
            <w:tcW w:type="dxa" w:w="4560"/>
            <w:tcMar>
              <w:top w:w="80" w:type="dxa"/>
              <w:start w:w="120" w:type="dxa"/>
              <w:bottom w:w="80" w:type="dxa"/>
              <w:end w:w="120" w:type="dxa"/>
            </w:tcMar>
            <w:vAlign w:val="center"/>
          </w:tcPr>
          <w:p>
            <w:pPr>
              <w:pStyle w:val="TableText"/>
              <w:spacing w:after="0"/>
            </w:pPr>
            <w:r>
              <w:rPr>
                <w:rFonts w:ascii="Calibri" w:hAnsi="Calibri" w:eastAsia="Calibri"/>
                <w:color w:val="202124"/>
                <w:sz w:val="17"/>
              </w:rPr>
              <w:t>Transport length includes front and rear beamline interfaces</w:t>
            </w:r>
          </w:p>
        </w:tc>
      </w:tr>
      <w:tr>
        <w:trPr>
          <w:cantSplit/>
        </w:trPr>
        <w:tc>
          <w:tcPr>
            <w:tcW w:type="dxa" w:w="2600"/>
            <w:tcMar>
              <w:top w:w="80" w:type="dxa"/>
              <w:start w:w="120" w:type="dxa"/>
              <w:bottom w:w="80" w:type="dxa"/>
              <w:end w:w="120" w:type="dxa"/>
            </w:tcMar>
            <w:vAlign w:val="center"/>
          </w:tcPr>
          <w:p>
            <w:pPr>
              <w:pStyle w:val="TableText"/>
              <w:spacing w:after="0"/>
            </w:pPr>
            <w:r>
              <w:rPr>
                <w:rFonts w:ascii="Calibri" w:hAnsi="Calibri" w:eastAsia="Calibri"/>
                <w:color w:val="202124"/>
                <w:sz w:val="17"/>
              </w:rPr>
              <w:t>Detector count</w:t>
            </w:r>
          </w:p>
        </w:tc>
        <w:tc>
          <w:tcPr>
            <w:tcW w:type="dxa" w:w="2200"/>
            <w:tcMar>
              <w:top w:w="80" w:type="dxa"/>
              <w:start w:w="120" w:type="dxa"/>
              <w:bottom w:w="80" w:type="dxa"/>
              <w:end w:w="120" w:type="dxa"/>
            </w:tcMar>
            <w:vAlign w:val="center"/>
          </w:tcPr>
          <w:p>
            <w:pPr>
              <w:pStyle w:val="TableText"/>
              <w:spacing w:after="0"/>
            </w:pPr>
            <w:r>
              <w:rPr>
                <w:rFonts w:ascii="Calibri" w:hAnsi="Calibri" w:eastAsia="Calibri"/>
                <w:color w:val="202124"/>
                <w:sz w:val="17"/>
              </w:rPr>
              <w:t>12 operating channels</w:t>
            </w:r>
          </w:p>
        </w:tc>
        <w:tc>
          <w:tcPr>
            <w:tcW w:type="dxa" w:w="4560"/>
            <w:tcMar>
              <w:top w:w="80" w:type="dxa"/>
              <w:start w:w="120" w:type="dxa"/>
              <w:bottom w:w="80" w:type="dxa"/>
              <w:end w:w="120" w:type="dxa"/>
            </w:tcMar>
            <w:vAlign w:val="center"/>
          </w:tcPr>
          <w:p>
            <w:pPr>
              <w:pStyle w:val="TableText"/>
              <w:spacing w:after="0"/>
            </w:pPr>
            <w:r>
              <w:rPr>
                <w:rFonts w:ascii="Calibri" w:hAnsi="Calibri" w:eastAsia="Calibri"/>
                <w:color w:val="202124"/>
                <w:sz w:val="17"/>
              </w:rPr>
              <w:t>Three energy stations in each of four sectors; production plan should include spares</w:t>
            </w:r>
          </w:p>
        </w:tc>
      </w:tr>
    </w:tbl>
    <w:p>
      <w:pPr>
        <w:pStyle w:val="Heading2"/>
      </w:pPr>
      <w:r>
        <w:t>Compact v2 design direction</w:t>
      </w:r>
    </w:p>
    <w:p>
      <w:pPr>
        <w:numPr>
          <w:ilvl w:val="0"/>
          <w:numId w:val="10"/>
        </w:numPr>
        <w:spacing w:after="160" w:line="280" w:lineRule="auto"/>
        <w:keepLines/>
      </w:pPr>
      <w:r>
        <w:rPr>
          <w:rFonts w:ascii="Calibri" w:hAnsi="Calibri" w:eastAsia="Calibri"/>
        </w:rPr>
        <w:t>Use an approximately 0.8 geometric scale as the first CAD candidate: D/P-small/P-large radii near 112/152/164 mm and a Ø20 mm active diameter. This preserves the present angular acceptance approximately while reducing the detector envelope.</w:t>
      </w:r>
    </w:p>
    <w:p>
      <w:pPr>
        <w:numPr>
          <w:ilvl w:val="0"/>
          <w:numId w:val="10"/>
        </w:numPr>
        <w:spacing w:after="160" w:line="280" w:lineRule="auto"/>
        <w:keepLines/>
      </w:pPr>
      <w:r>
        <w:rPr>
          <w:rFonts w:ascii="Calibri" w:hAnsi="Calibri" w:eastAsia="Calibri"/>
        </w:rPr>
        <w:t>Evaluate a short cylindrical pressure shell around a removable flat or faceted detector/service cartridge. A cylinder is structurally efficient under external pressure; the flat service element simplifies ICF bosses, coaxial feedthroughs, alignment datums, and maintenance.</w:t>
      </w:r>
    </w:p>
    <w:p>
      <w:pPr>
        <w:numPr>
          <w:ilvl w:val="0"/>
          <w:numId w:val="10"/>
        </w:numPr>
        <w:spacing w:after="160" w:line="280" w:lineRule="auto"/>
        <w:keepLines/>
      </w:pPr>
      <w:r>
        <w:rPr>
          <w:rFonts w:ascii="Calibri" w:hAnsi="Calibri" w:eastAsia="Calibri"/>
        </w:rPr>
        <w:t>Group electrical services on one removable plate or top/rear manifold. Do not distribute twelve fast-signal feedthroughs around the curved wall unless routing, access, weld distortion, and maintenance clearly justify it.</w:t>
      </w:r>
    </w:p>
    <w:p>
      <w:pPr>
        <w:numPr>
          <w:ilvl w:val="0"/>
          <w:numId w:val="10"/>
        </w:numPr>
        <w:spacing w:after="160" w:line="280" w:lineRule="auto"/>
        <w:keepLines/>
      </w:pPr>
      <w:r>
        <w:rPr>
          <w:rFonts w:ascii="Calibri" w:hAnsi="Calibri" w:eastAsia="Calibri"/>
        </w:rPr>
        <w:t>Use short, removable beamline spools and protective ICF knife-edge covers for transport. Add lifting points and specify a maximum manually handled subassembly mass.</w:t>
      </w:r>
    </w:p>
    <w:p>
      <w:pPr>
        <w:pStyle w:val="Heading2"/>
      </w:pPr>
      <w:r>
        <w:t>Assumptions that remain provisional</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650"/>
        <w:gridCol w:w="2300"/>
        <w:gridCol w:w="4410"/>
      </w:tblGrid>
      <w:tr>
        <w:trPr>
          <w:cantSplit/>
          <w:tblHeader w:val="true"/>
          <w:cantSplit/>
        </w:trPr>
        <w:tc>
          <w:tcPr>
            <w:tcW w:type="dxa" w:w="265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7"/>
              </w:rPr>
              <w:t>Assumption</w:t>
            </w:r>
          </w:p>
        </w:tc>
        <w:tc>
          <w:tcPr>
            <w:tcW w:type="dxa" w:w="23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7"/>
              </w:rPr>
              <w:t>Value used here</w:t>
            </w:r>
          </w:p>
        </w:tc>
        <w:tc>
          <w:tcPr>
            <w:tcW w:type="dxa" w:w="441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7"/>
              </w:rPr>
              <w:t>Required closure evidence</w:t>
            </w:r>
          </w:p>
        </w:tc>
      </w:tr>
      <w:tr>
        <w:trPr>
          <w:cantSplit/>
        </w:trPr>
        <w:tc>
          <w:tcPr>
            <w:tcW w:type="dxa" w:w="2650"/>
            <w:tcMar>
              <w:top w:w="80" w:type="dxa"/>
              <w:start w:w="120" w:type="dxa"/>
              <w:bottom w:w="80" w:type="dxa"/>
              <w:end w:w="120" w:type="dxa"/>
            </w:tcMar>
            <w:vAlign w:val="center"/>
          </w:tcPr>
          <w:p>
            <w:pPr>
              <w:pStyle w:val="TableText"/>
              <w:spacing w:after="0"/>
            </w:pPr>
            <w:r>
              <w:rPr>
                <w:rFonts w:ascii="Calibri" w:hAnsi="Calibri" w:eastAsia="Calibri"/>
                <w:color w:val="202124"/>
                <w:sz w:val="17"/>
              </w:rPr>
              <w:t>Beam energy and reaction</w:t>
            </w:r>
          </w:p>
        </w:tc>
        <w:tc>
          <w:tcPr>
            <w:tcW w:type="dxa" w:w="2300"/>
            <w:tcMar>
              <w:top w:w="80" w:type="dxa"/>
              <w:start w:w="120" w:type="dxa"/>
              <w:bottom w:w="80" w:type="dxa"/>
              <w:end w:w="120" w:type="dxa"/>
            </w:tcMar>
            <w:vAlign w:val="center"/>
          </w:tcPr>
          <w:p>
            <w:pPr>
              <w:pStyle w:val="TableText"/>
              <w:spacing w:after="0"/>
            </w:pPr>
            <w:r>
              <w:rPr>
                <w:rFonts w:ascii="Calibri" w:hAnsi="Calibri" w:eastAsia="Calibri"/>
                <w:color w:val="202124"/>
                <w:sz w:val="17"/>
              </w:rPr>
              <w:t>380 MeV d + CH₂; elastic d–p coincidence</w:t>
            </w:r>
          </w:p>
        </w:tc>
        <w:tc>
          <w:tcPr>
            <w:tcW w:type="dxa" w:w="4410"/>
            <w:tcMar>
              <w:top w:w="80" w:type="dxa"/>
              <w:start w:w="120" w:type="dxa"/>
              <w:bottom w:w="80" w:type="dxa"/>
              <w:end w:w="120" w:type="dxa"/>
            </w:tcMar>
            <w:vAlign w:val="center"/>
          </w:tcPr>
          <w:p>
            <w:pPr>
              <w:pStyle w:val="TableText"/>
              <w:spacing w:after="0"/>
            </w:pPr>
            <w:r>
              <w:rPr>
                <w:rFonts w:ascii="Calibri" w:hAnsi="Calibri" w:eastAsia="Calibri"/>
                <w:color w:val="202124"/>
                <w:sz w:val="17"/>
              </w:rPr>
              <w:t>Approved physics configuration and Geant4 run card</w:t>
            </w:r>
          </w:p>
        </w:tc>
      </w:tr>
      <w:tr>
        <w:trPr>
          <w:cantSplit/>
        </w:trPr>
        <w:tc>
          <w:tcPr>
            <w:tcW w:type="dxa" w:w="2650"/>
            <w:tcMar>
              <w:top w:w="80" w:type="dxa"/>
              <w:start w:w="120" w:type="dxa"/>
              <w:bottom w:w="80" w:type="dxa"/>
              <w:end w:w="120" w:type="dxa"/>
            </w:tcMar>
            <w:vAlign w:val="center"/>
          </w:tcPr>
          <w:p>
            <w:pPr>
              <w:pStyle w:val="TableText"/>
              <w:spacing w:after="0"/>
            </w:pPr>
            <w:r>
              <w:rPr>
                <w:rFonts w:ascii="Calibri" w:hAnsi="Calibri" w:eastAsia="Calibri"/>
                <w:color w:val="202124"/>
                <w:sz w:val="17"/>
              </w:rPr>
              <w:t>Active scintillator thickness</w:t>
            </w:r>
          </w:p>
        </w:tc>
        <w:tc>
          <w:tcPr>
            <w:tcW w:type="dxa" w:w="2300"/>
            <w:tcMar>
              <w:top w:w="80" w:type="dxa"/>
              <w:start w:w="120" w:type="dxa"/>
              <w:bottom w:w="80" w:type="dxa"/>
              <w:end w:w="120" w:type="dxa"/>
            </w:tcMar>
            <w:vAlign w:val="center"/>
          </w:tcPr>
          <w:p>
            <w:pPr>
              <w:pStyle w:val="TableText"/>
              <w:spacing w:after="0"/>
            </w:pPr>
            <w:r>
              <w:rPr>
                <w:rFonts w:ascii="Calibri" w:hAnsi="Calibri" w:eastAsia="Calibri"/>
                <w:color w:val="202124"/>
                <w:sz w:val="17"/>
              </w:rPr>
              <w:t>5 mm calculation candidate; 5–6 mm prototype band</w:t>
            </w:r>
          </w:p>
        </w:tc>
        <w:tc>
          <w:tcPr>
            <w:tcW w:type="dxa" w:w="4410"/>
            <w:tcMar>
              <w:top w:w="80" w:type="dxa"/>
              <w:start w:w="120" w:type="dxa"/>
              <w:bottom w:w="80" w:type="dxa"/>
              <w:end w:w="120" w:type="dxa"/>
            </w:tcMar>
            <w:vAlign w:val="center"/>
          </w:tcPr>
          <w:p>
            <w:pPr>
              <w:pStyle w:val="TableText"/>
              <w:spacing w:after="0"/>
            </w:pPr>
            <w:r>
              <w:rPr>
                <w:rFonts w:ascii="Calibri" w:hAnsi="Calibri" w:eastAsia="Calibri"/>
                <w:color w:val="202124"/>
                <w:sz w:val="17"/>
              </w:rPr>
              <w:t>LISE++ five-model envelope, Geant4, source tests, then beam measurement</w:t>
            </w:r>
          </w:p>
        </w:tc>
      </w:tr>
      <w:tr>
        <w:trPr>
          <w:cantSplit/>
        </w:trPr>
        <w:tc>
          <w:tcPr>
            <w:tcW w:type="dxa" w:w="2650"/>
            <w:tcMar>
              <w:top w:w="80" w:type="dxa"/>
              <w:start w:w="120" w:type="dxa"/>
              <w:bottom w:w="80" w:type="dxa"/>
              <w:end w:w="120" w:type="dxa"/>
            </w:tcMar>
            <w:vAlign w:val="center"/>
          </w:tcPr>
          <w:p>
            <w:pPr>
              <w:pStyle w:val="TableText"/>
              <w:spacing w:after="0"/>
            </w:pPr>
            <w:r>
              <w:rPr>
                <w:rFonts w:ascii="Calibri" w:hAnsi="Calibri" w:eastAsia="Calibri"/>
                <w:color w:val="202124"/>
                <w:sz w:val="17"/>
              </w:rPr>
              <w:t>Optical collection to SiPM active area</w:t>
            </w:r>
          </w:p>
        </w:tc>
        <w:tc>
          <w:tcPr>
            <w:tcW w:type="dxa" w:w="2300"/>
            <w:tcMar>
              <w:top w:w="80" w:type="dxa"/>
              <w:start w:w="120" w:type="dxa"/>
              <w:bottom w:w="80" w:type="dxa"/>
              <w:end w:w="120" w:type="dxa"/>
            </w:tcMar>
            <w:vAlign w:val="center"/>
          </w:tcPr>
          <w:p>
            <w:pPr>
              <w:pStyle w:val="TableText"/>
              <w:spacing w:after="0"/>
            </w:pPr>
            <w:r>
              <w:rPr>
                <w:rFonts w:ascii="Calibri" w:hAnsi="Calibri" w:eastAsia="Calibri"/>
                <w:color w:val="202124"/>
                <w:sz w:val="17"/>
              </w:rPr>
              <w:t>2–5% design target</w:t>
            </w:r>
          </w:p>
        </w:tc>
        <w:tc>
          <w:tcPr>
            <w:tcW w:type="dxa" w:w="4410"/>
            <w:tcMar>
              <w:top w:w="80" w:type="dxa"/>
              <w:start w:w="120" w:type="dxa"/>
              <w:bottom w:w="80" w:type="dxa"/>
              <w:end w:w="120" w:type="dxa"/>
            </w:tcMar>
            <w:vAlign w:val="center"/>
          </w:tcPr>
          <w:p>
            <w:pPr>
              <w:pStyle w:val="TableText"/>
              <w:spacing w:after="0"/>
            </w:pPr>
            <w:r>
              <w:rPr>
                <w:rFonts w:ascii="Calibri" w:hAnsi="Calibri" w:eastAsia="Calibri"/>
                <w:color w:val="202124"/>
                <w:sz w:val="17"/>
              </w:rPr>
              <w:t>Collimated scan of the actual wrapped detector</w:t>
            </w:r>
          </w:p>
        </w:tc>
      </w:tr>
      <w:tr>
        <w:trPr>
          <w:cantSplit/>
        </w:trPr>
        <w:tc>
          <w:tcPr>
            <w:tcW w:type="dxa" w:w="2650"/>
            <w:tcMar>
              <w:top w:w="80" w:type="dxa"/>
              <w:start w:w="120" w:type="dxa"/>
              <w:bottom w:w="80" w:type="dxa"/>
              <w:end w:w="120" w:type="dxa"/>
            </w:tcMar>
            <w:vAlign w:val="center"/>
          </w:tcPr>
          <w:p>
            <w:pPr>
              <w:pStyle w:val="TableText"/>
              <w:spacing w:after="0"/>
            </w:pPr>
            <w:r>
              <w:rPr>
                <w:rFonts w:ascii="Calibri" w:hAnsi="Calibri" w:eastAsia="Calibri"/>
                <w:color w:val="202124"/>
                <w:sz w:val="17"/>
              </w:rPr>
              <w:t>Plastic light yield</w:t>
            </w:r>
          </w:p>
        </w:tc>
        <w:tc>
          <w:tcPr>
            <w:tcW w:type="dxa" w:w="2300"/>
            <w:tcMar>
              <w:top w:w="80" w:type="dxa"/>
              <w:start w:w="120" w:type="dxa"/>
              <w:bottom w:w="80" w:type="dxa"/>
              <w:end w:w="120" w:type="dxa"/>
            </w:tcMar>
            <w:vAlign w:val="center"/>
          </w:tcPr>
          <w:p>
            <w:pPr>
              <w:pStyle w:val="TableText"/>
              <w:spacing w:after="0"/>
            </w:pPr>
            <w:r>
              <w:rPr>
                <w:rFonts w:ascii="Calibri" w:hAnsi="Calibri" w:eastAsia="Calibri"/>
                <w:color w:val="202124"/>
                <w:sz w:val="17"/>
              </w:rPr>
              <w:t>10,000 photons/MeV electron-equivalent</w:t>
            </w:r>
          </w:p>
        </w:tc>
        <w:tc>
          <w:tcPr>
            <w:tcW w:type="dxa" w:w="4410"/>
            <w:tcMar>
              <w:top w:w="80" w:type="dxa"/>
              <w:start w:w="120" w:type="dxa"/>
              <w:bottom w:w="80" w:type="dxa"/>
              <w:end w:w="120" w:type="dxa"/>
            </w:tcMar>
            <w:vAlign w:val="center"/>
          </w:tcPr>
          <w:p>
            <w:pPr>
              <w:pStyle w:val="TableText"/>
              <w:spacing w:after="0"/>
            </w:pPr>
            <w:r>
              <w:rPr>
                <w:rFonts w:ascii="Calibri" w:hAnsi="Calibri" w:eastAsia="Calibri"/>
                <w:color w:val="202124"/>
                <w:sz w:val="17"/>
              </w:rPr>
              <w:t>Domestic supplier batch certificate and electron/gamma test</w:t>
            </w:r>
          </w:p>
        </w:tc>
      </w:tr>
      <w:tr>
        <w:trPr>
          <w:cantSplit/>
        </w:trPr>
        <w:tc>
          <w:tcPr>
            <w:tcW w:type="dxa" w:w="2650"/>
            <w:tcMar>
              <w:top w:w="80" w:type="dxa"/>
              <w:start w:w="120" w:type="dxa"/>
              <w:bottom w:w="80" w:type="dxa"/>
              <w:end w:w="120" w:type="dxa"/>
            </w:tcMar>
            <w:vAlign w:val="center"/>
          </w:tcPr>
          <w:p>
            <w:pPr>
              <w:pStyle w:val="TableText"/>
              <w:spacing w:after="0"/>
            </w:pPr>
            <w:r>
              <w:rPr>
                <w:rFonts w:ascii="Calibri" w:hAnsi="Calibri" w:eastAsia="Calibri"/>
                <w:color w:val="202124"/>
                <w:sz w:val="17"/>
              </w:rPr>
              <w:t>Vacuum boundary</w:t>
            </w:r>
          </w:p>
        </w:tc>
        <w:tc>
          <w:tcPr>
            <w:tcW w:type="dxa" w:w="2300"/>
            <w:tcMar>
              <w:top w:w="80" w:type="dxa"/>
              <w:start w:w="120" w:type="dxa"/>
              <w:bottom w:w="80" w:type="dxa"/>
              <w:end w:w="120" w:type="dxa"/>
            </w:tcMar>
            <w:vAlign w:val="center"/>
          </w:tcPr>
          <w:p>
            <w:pPr>
              <w:pStyle w:val="TableText"/>
              <w:spacing w:after="0"/>
            </w:pPr>
            <w:r>
              <w:rPr>
                <w:rFonts w:ascii="Calibri" w:hAnsi="Calibri" w:eastAsia="Calibri"/>
                <w:color w:val="202124"/>
                <w:sz w:val="17"/>
              </w:rPr>
              <w:t>ICF all-metal primary seals; integrated helium leak ≤1 × 10⁻¹⁰ Pa·m³/s</w:t>
            </w:r>
          </w:p>
        </w:tc>
        <w:tc>
          <w:tcPr>
            <w:tcW w:type="dxa" w:w="4410"/>
            <w:tcMar>
              <w:top w:w="80" w:type="dxa"/>
              <w:start w:w="120" w:type="dxa"/>
              <w:bottom w:w="80" w:type="dxa"/>
              <w:end w:w="120" w:type="dxa"/>
            </w:tcMar>
            <w:vAlign w:val="center"/>
          </w:tcPr>
          <w:p>
            <w:pPr>
              <w:pStyle w:val="TableText"/>
              <w:spacing w:after="0"/>
            </w:pPr>
            <w:r>
              <w:rPr>
                <w:rFonts w:ascii="Calibri" w:hAnsi="Calibri" w:eastAsia="Calibri"/>
                <w:color w:val="202124"/>
                <w:sz w:val="17"/>
              </w:rPr>
              <w:t>Signed purchased-part drawings, cleaning/bake plan, and witnessed leak report</w:t>
            </w:r>
          </w:p>
        </w:tc>
      </w:tr>
      <w:tr>
        <w:trPr>
          <w:cantSplit/>
        </w:trPr>
        <w:tc>
          <w:tcPr>
            <w:tcW w:type="dxa" w:w="2650"/>
            <w:tcMar>
              <w:top w:w="80" w:type="dxa"/>
              <w:start w:w="120" w:type="dxa"/>
              <w:bottom w:w="80" w:type="dxa"/>
              <w:end w:w="120" w:type="dxa"/>
            </w:tcMar>
            <w:vAlign w:val="center"/>
          </w:tcPr>
          <w:p>
            <w:pPr>
              <w:pStyle w:val="TableText"/>
              <w:spacing w:after="0"/>
            </w:pPr>
            <w:r>
              <w:rPr>
                <w:rFonts w:ascii="Calibri" w:hAnsi="Calibri" w:eastAsia="Calibri"/>
                <w:color w:val="202124"/>
                <w:sz w:val="17"/>
              </w:rPr>
              <w:t>Beam stay-clear</w:t>
            </w:r>
          </w:p>
        </w:tc>
        <w:tc>
          <w:tcPr>
            <w:tcW w:type="dxa" w:w="2300"/>
            <w:tcMar>
              <w:top w:w="80" w:type="dxa"/>
              <w:start w:w="120" w:type="dxa"/>
              <w:bottom w:w="80" w:type="dxa"/>
              <w:end w:w="120" w:type="dxa"/>
            </w:tcMar>
            <w:vAlign w:val="center"/>
          </w:tcPr>
          <w:p>
            <w:pPr>
              <w:pStyle w:val="TableText"/>
              <w:spacing w:after="0"/>
            </w:pPr>
            <w:r>
              <w:rPr>
                <w:rFonts w:ascii="Calibri" w:hAnsi="Calibri" w:eastAsia="Calibri"/>
                <w:color w:val="202124"/>
                <w:sz w:val="17"/>
              </w:rPr>
              <w:t>Current CAD says 63 mm</w:t>
            </w:r>
          </w:p>
        </w:tc>
        <w:tc>
          <w:tcPr>
            <w:tcW w:type="dxa" w:w="4410"/>
            <w:tcMar>
              <w:top w:w="80" w:type="dxa"/>
              <w:start w:w="120" w:type="dxa"/>
              <w:bottom w:w="80" w:type="dxa"/>
              <w:end w:w="120" w:type="dxa"/>
            </w:tcMar>
            <w:vAlign w:val="center"/>
          </w:tcPr>
          <w:p>
            <w:pPr>
              <w:pStyle w:val="TableText"/>
              <w:spacing w:after="0"/>
            </w:pPr>
            <w:r>
              <w:rPr>
                <w:rFonts w:ascii="Calibri" w:hAnsi="Calibri" w:eastAsia="Calibri"/>
                <w:color w:val="202124"/>
                <w:sz w:val="17"/>
              </w:rPr>
              <w:t>Beam-envelope drawing including alignment and tolerance margin</w:t>
            </w:r>
          </w:p>
        </w:tc>
      </w:tr>
      <w:tr>
        <w:trPr>
          <w:cantSplit/>
        </w:trPr>
        <w:tc>
          <w:tcPr>
            <w:tcW w:type="dxa" w:w="2650"/>
            <w:tcMar>
              <w:top w:w="80" w:type="dxa"/>
              <w:start w:w="120" w:type="dxa"/>
              <w:bottom w:w="80" w:type="dxa"/>
              <w:end w:w="120" w:type="dxa"/>
            </w:tcMar>
            <w:vAlign w:val="center"/>
          </w:tcPr>
          <w:p>
            <w:pPr>
              <w:pStyle w:val="TableText"/>
              <w:spacing w:after="0"/>
            </w:pPr>
            <w:r>
              <w:rPr>
                <w:rFonts w:ascii="Calibri" w:hAnsi="Calibri" w:eastAsia="Calibri"/>
                <w:color w:val="202124"/>
                <w:sz w:val="17"/>
              </w:rPr>
              <w:t>Rotary feedthrough</w:t>
            </w:r>
          </w:p>
        </w:tc>
        <w:tc>
          <w:tcPr>
            <w:tcW w:type="dxa" w:w="2300"/>
            <w:tcMar>
              <w:top w:w="80" w:type="dxa"/>
              <w:start w:w="120" w:type="dxa"/>
              <w:bottom w:w="80" w:type="dxa"/>
              <w:end w:w="120" w:type="dxa"/>
            </w:tcMar>
            <w:vAlign w:val="center"/>
          </w:tcPr>
          <w:p>
            <w:pPr>
              <w:pStyle w:val="TableText"/>
              <w:spacing w:after="0"/>
            </w:pPr>
            <w:r>
              <w:rPr>
                <w:rFonts w:ascii="Calibri" w:hAnsi="Calibri" w:eastAsia="Calibri"/>
                <w:color w:val="202124"/>
                <w:sz w:val="17"/>
              </w:rPr>
              <w:t>Top ICF70 concept, Ø18 mm shaft, 0°/90° positions</w:t>
            </w:r>
          </w:p>
        </w:tc>
        <w:tc>
          <w:tcPr>
            <w:tcW w:type="dxa" w:w="4410"/>
            <w:tcMar>
              <w:top w:w="80" w:type="dxa"/>
              <w:start w:w="120" w:type="dxa"/>
              <w:bottom w:w="80" w:type="dxa"/>
              <w:end w:w="120" w:type="dxa"/>
            </w:tcMar>
            <w:vAlign w:val="center"/>
          </w:tcPr>
          <w:p>
            <w:pPr>
              <w:pStyle w:val="TableText"/>
              <w:spacing w:after="0"/>
            </w:pPr>
            <w:r>
              <w:rPr>
                <w:rFonts w:ascii="Calibri" w:hAnsi="Calibri" w:eastAsia="Calibri"/>
                <w:color w:val="202124"/>
                <w:sz w:val="17"/>
              </w:rPr>
              <w:t>PrMat model datasheet, load case, torque, backlash, life, and interface drawing</w:t>
            </w:r>
          </w:p>
        </w:tc>
      </w:tr>
    </w:tbl>
    <w:p>
      <w:pPr>
        <w:pStyle w:val="Heading1"/>
      </w:pPr>
      <w:r>
        <w:t>3. Detector physics and active thickness</w:t>
      </w:r>
    </w:p>
    <w:p>
      <w:pPr>
        <w:keepLines/>
      </w:pPr>
      <w:r>
        <w:rPr>
          <w:rFonts w:ascii="Calibri" w:hAnsi="Calibri" w:eastAsia="Calibri"/>
        </w:rPr>
        <w:t>The existing energy-loss analysis was developed for the earlier external-detector layout. For this report the elastic d–p coincidence acceptance was recalculated using the present compact detector diameters and radii. The coincidence overlap corresponds approximately to 61.91–75.51° and 147.58–163.55° in the center-of-mass system. The table below gives the LISE++ ATIMA 1.2 LS estimate for the 5 mm calculation candidate. Each kinetic-energy value is converted to a range, the active thickness is subtracted, and the residual range is converted back to residual energy.</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1800"/>
        <w:gridCol w:w="1400"/>
        <w:gridCol w:w="1700"/>
        <w:gridCol w:w="1700"/>
        <w:gridCol w:w="2760"/>
      </w:tblGrid>
      <w:tr>
        <w:trPr>
          <w:cantSplit/>
          <w:tblHeader w:val="true"/>
          <w:cantSplit/>
        </w:trPr>
        <w:tc>
          <w:tcPr>
            <w:tcW w:type="dxa" w:w="18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Branch / station</w:t>
            </w:r>
          </w:p>
        </w:tc>
        <w:tc>
          <w:tcPr>
            <w:tcW w:type="dxa" w:w="14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Lab angle</w:t>
            </w:r>
          </w:p>
        </w:tc>
        <w:tc>
          <w:tcPr>
            <w:tcW w:type="dxa" w:w="17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Incident energy</w:t>
            </w:r>
          </w:p>
        </w:tc>
        <w:tc>
          <w:tcPr>
            <w:tcW w:type="dxa" w:w="17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Deposit in 5 mm</w:t>
            </w:r>
          </w:p>
        </w:tc>
        <w:tc>
          <w:tcPr>
            <w:tcW w:type="dxa" w:w="276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Design significance</w:t>
            </w:r>
          </w:p>
        </w:tc>
      </w:tr>
      <w:tr>
        <w:trPr>
          <w:cantSplit/>
        </w:trPr>
        <w:tc>
          <w:tcPr>
            <w:tcW w:type="dxa" w:w="1800"/>
            <w:tcMar>
              <w:top w:w="80" w:type="dxa"/>
              <w:start w:w="120" w:type="dxa"/>
              <w:bottom w:w="80" w:type="dxa"/>
              <w:end w:w="120" w:type="dxa"/>
            </w:tcMar>
            <w:vAlign w:val="center"/>
          </w:tcPr>
          <w:p>
            <w:pPr>
              <w:pStyle w:val="TableText"/>
              <w:spacing w:after="0"/>
            </w:pPr>
            <w:r>
              <w:rPr>
                <w:rFonts w:ascii="Calibri" w:hAnsi="Calibri" w:eastAsia="Calibri"/>
                <w:color w:val="202124"/>
                <w:sz w:val="15"/>
              </w:rPr>
              <w:t>Forward d, D station</w:t>
            </w:r>
          </w:p>
        </w:tc>
        <w:tc>
          <w:tcPr>
            <w:tcW w:type="dxa" w:w="1400"/>
            <w:tcMar>
              <w:top w:w="80" w:type="dxa"/>
              <w:start w:w="120" w:type="dxa"/>
              <w:bottom w:w="80" w:type="dxa"/>
              <w:end w:w="120" w:type="dxa"/>
            </w:tcMar>
            <w:vAlign w:val="center"/>
          </w:tcPr>
          <w:p>
            <w:pPr>
              <w:pStyle w:val="TableText"/>
              <w:spacing w:after="0"/>
            </w:pPr>
            <w:r>
              <w:rPr>
                <w:rFonts w:ascii="Calibri" w:hAnsi="Calibri" w:eastAsia="Calibri"/>
                <w:color w:val="202124"/>
                <w:sz w:val="15"/>
              </w:rPr>
              <w:t>19.04–22.68°</w:t>
            </w:r>
          </w:p>
        </w:tc>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5"/>
              </w:rPr>
              <w:t>252.09–289.69 MeV</w:t>
            </w:r>
          </w:p>
        </w:tc>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5"/>
              </w:rPr>
              <w:t>2.92–3.19 MeV</w:t>
            </w:r>
          </w:p>
        </w:tc>
        <w:tc>
          <w:tcPr>
            <w:tcW w:type="dxa" w:w="2760"/>
            <w:tcMar>
              <w:top w:w="80" w:type="dxa"/>
              <w:start w:w="120" w:type="dxa"/>
              <w:bottom w:w="80" w:type="dxa"/>
              <w:end w:w="120" w:type="dxa"/>
            </w:tcMar>
            <w:vAlign w:val="center"/>
          </w:tcPr>
          <w:p>
            <w:pPr>
              <w:pStyle w:val="TableText"/>
              <w:spacing w:after="0"/>
            </w:pPr>
            <w:r>
              <w:rPr>
                <w:rFonts w:ascii="Calibri" w:hAnsi="Calibri" w:eastAsia="Calibri"/>
                <w:color w:val="202124"/>
                <w:sz w:val="15"/>
              </w:rPr>
              <w:t>Clean timing and charge signal</w:t>
            </w:r>
          </w:p>
        </w:tc>
      </w:tr>
      <w:tr>
        <w:trPr>
          <w:cantSplit/>
        </w:trPr>
        <w:tc>
          <w:tcPr>
            <w:tcW w:type="dxa" w:w="1800"/>
            <w:tcMar>
              <w:top w:w="80" w:type="dxa"/>
              <w:start w:w="120" w:type="dxa"/>
              <w:bottom w:w="80" w:type="dxa"/>
              <w:end w:w="120" w:type="dxa"/>
            </w:tcMar>
            <w:vAlign w:val="center"/>
          </w:tcPr>
          <w:p>
            <w:pPr>
              <w:pStyle w:val="TableText"/>
              <w:spacing w:after="0"/>
            </w:pPr>
            <w:r>
              <w:rPr>
                <w:rFonts w:ascii="Calibri" w:hAnsi="Calibri" w:eastAsia="Calibri"/>
                <w:color w:val="202124"/>
                <w:sz w:val="15"/>
              </w:rPr>
              <w:t>Forward p, P-large</w:t>
            </w:r>
          </w:p>
        </w:tc>
        <w:tc>
          <w:tcPr>
            <w:tcW w:type="dxa" w:w="1400"/>
            <w:tcMar>
              <w:top w:w="80" w:type="dxa"/>
              <w:start w:w="120" w:type="dxa"/>
              <w:bottom w:w="80" w:type="dxa"/>
              <w:end w:w="120" w:type="dxa"/>
            </w:tcMar>
            <w:vAlign w:val="center"/>
          </w:tcPr>
          <w:p>
            <w:pPr>
              <w:pStyle w:val="TableText"/>
              <w:spacing w:after="0"/>
            </w:pPr>
            <w:r>
              <w:rPr>
                <w:rFonts w:ascii="Calibri" w:hAnsi="Calibri" w:eastAsia="Calibri"/>
                <w:color w:val="202124"/>
                <w:sz w:val="15"/>
              </w:rPr>
              <w:t>49.91–56.89°</w:t>
            </w:r>
          </w:p>
        </w:tc>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5"/>
              </w:rPr>
              <w:t>90.31–127.92 MeV</w:t>
            </w:r>
          </w:p>
        </w:tc>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5"/>
              </w:rPr>
              <w:t>3.16–4.15 MeV</w:t>
            </w:r>
          </w:p>
        </w:tc>
        <w:tc>
          <w:tcPr>
            <w:tcW w:type="dxa" w:w="2760"/>
            <w:tcMar>
              <w:top w:w="80" w:type="dxa"/>
              <w:start w:w="120" w:type="dxa"/>
              <w:bottom w:w="80" w:type="dxa"/>
              <w:end w:w="120" w:type="dxa"/>
            </w:tcMar>
            <w:vAlign w:val="center"/>
          </w:tcPr>
          <w:p>
            <w:pPr>
              <w:pStyle w:val="TableText"/>
              <w:spacing w:after="0"/>
            </w:pPr>
            <w:r>
              <w:rPr>
                <w:rFonts w:ascii="Calibri" w:hAnsi="Calibri" w:eastAsia="Calibri"/>
                <w:color w:val="202124"/>
                <w:sz w:val="15"/>
              </w:rPr>
              <w:t>Normal proton coincidence branch</w:t>
            </w:r>
          </w:p>
        </w:tc>
      </w:tr>
      <w:tr>
        <w:trPr>
          <w:cantSplit/>
        </w:trPr>
        <w:tc>
          <w:tcPr>
            <w:tcW w:type="dxa" w:w="1800"/>
            <w:tcMar>
              <w:top w:w="80" w:type="dxa"/>
              <w:start w:w="120" w:type="dxa"/>
              <w:bottom w:w="80" w:type="dxa"/>
              <w:end w:w="120" w:type="dxa"/>
            </w:tcMar>
            <w:vAlign w:val="center"/>
          </w:tcPr>
          <w:p>
            <w:pPr>
              <w:pStyle w:val="TableText"/>
              <w:spacing w:after="0"/>
            </w:pPr>
            <w:r>
              <w:rPr>
                <w:rFonts w:ascii="Calibri" w:hAnsi="Calibri" w:eastAsia="Calibri"/>
                <w:color w:val="202124"/>
                <w:sz w:val="15"/>
              </w:rPr>
              <w:t>Backward d, D station</w:t>
            </w:r>
          </w:p>
        </w:tc>
        <w:tc>
          <w:tcPr>
            <w:tcW w:type="dxa" w:w="1400"/>
            <w:tcMar>
              <w:top w:w="80" w:type="dxa"/>
              <w:start w:w="120" w:type="dxa"/>
              <w:bottom w:w="80" w:type="dxa"/>
              <w:end w:w="120" w:type="dxa"/>
            </w:tcMar>
            <w:vAlign w:val="center"/>
          </w:tcPr>
          <w:p>
            <w:pPr>
              <w:pStyle w:val="TableText"/>
              <w:spacing w:after="0"/>
            </w:pPr>
            <w:r>
              <w:rPr>
                <w:rFonts w:ascii="Calibri" w:hAnsi="Calibri" w:eastAsia="Calibri"/>
                <w:color w:val="202124"/>
                <w:sz w:val="15"/>
              </w:rPr>
              <w:t>15.80–25.44°</w:t>
            </w:r>
          </w:p>
        </w:tc>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5"/>
              </w:rPr>
              <w:t>45.71–65.28 MeV</w:t>
            </w:r>
          </w:p>
        </w:tc>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5"/>
              </w:rPr>
              <w:t>9.69–13.93 MeV</w:t>
            </w:r>
          </w:p>
        </w:tc>
        <w:tc>
          <w:tcPr>
            <w:tcW w:type="dxa" w:w="2760"/>
            <w:tcMar>
              <w:top w:w="80" w:type="dxa"/>
              <w:start w:w="120" w:type="dxa"/>
              <w:bottom w:w="80" w:type="dxa"/>
              <w:end w:w="120" w:type="dxa"/>
            </w:tcMar>
            <w:vAlign w:val="center"/>
          </w:tcPr>
          <w:p>
            <w:pPr>
              <w:pStyle w:val="TableText"/>
              <w:spacing w:after="0"/>
            </w:pPr>
            <w:r>
              <w:rPr>
                <w:rFonts w:ascii="Calibri" w:hAnsi="Calibri" w:eastAsia="Calibri"/>
                <w:color w:val="202124"/>
                <w:sz w:val="15"/>
              </w:rPr>
              <w:t>Maximum normal d-p light-load case</w:t>
            </w:r>
          </w:p>
        </w:tc>
      </w:tr>
      <w:tr>
        <w:trPr>
          <w:cantSplit/>
        </w:trPr>
        <w:tc>
          <w:tcPr>
            <w:tcW w:type="dxa" w:w="1800"/>
            <w:tcMar>
              <w:top w:w="80" w:type="dxa"/>
              <w:start w:w="120" w:type="dxa"/>
              <w:bottom w:w="80" w:type="dxa"/>
              <w:end w:w="120" w:type="dxa"/>
            </w:tcMar>
            <w:vAlign w:val="center"/>
          </w:tcPr>
          <w:p>
            <w:pPr>
              <w:pStyle w:val="TableText"/>
              <w:spacing w:after="0"/>
            </w:pPr>
            <w:r>
              <w:rPr>
                <w:rFonts w:ascii="Calibri" w:hAnsi="Calibri" w:eastAsia="Calibri"/>
                <w:color w:val="202124"/>
                <w:sz w:val="15"/>
              </w:rPr>
              <w:t>Backward p, P-small</w:t>
            </w:r>
          </w:p>
        </w:tc>
        <w:tc>
          <w:tcPr>
            <w:tcW w:type="dxa" w:w="1400"/>
            <w:tcMar>
              <w:top w:w="80" w:type="dxa"/>
              <w:start w:w="120" w:type="dxa"/>
              <w:bottom w:w="80" w:type="dxa"/>
              <w:end w:w="120" w:type="dxa"/>
            </w:tcMar>
            <w:vAlign w:val="center"/>
          </w:tcPr>
          <w:p>
            <w:pPr>
              <w:pStyle w:val="TableText"/>
              <w:spacing w:after="0"/>
            </w:pPr>
            <w:r>
              <w:rPr>
                <w:rFonts w:ascii="Calibri" w:hAnsi="Calibri" w:eastAsia="Calibri"/>
                <w:color w:val="202124"/>
                <w:sz w:val="15"/>
              </w:rPr>
              <w:t>7.58–14.96°</w:t>
            </w:r>
          </w:p>
        </w:tc>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5"/>
              </w:rPr>
              <w:t>314.72–334.29 MeV</w:t>
            </w:r>
          </w:p>
        </w:tc>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5"/>
              </w:rPr>
              <w:t>1.71–1.76 MeV</w:t>
            </w:r>
          </w:p>
        </w:tc>
        <w:tc>
          <w:tcPr>
            <w:tcW w:type="dxa" w:w="2760"/>
            <w:tcMar>
              <w:top w:w="80" w:type="dxa"/>
              <w:start w:w="120" w:type="dxa"/>
              <w:bottom w:w="80" w:type="dxa"/>
              <w:end w:w="120" w:type="dxa"/>
            </w:tcMar>
            <w:vAlign w:val="center"/>
          </w:tcPr>
          <w:p>
            <w:pPr>
              <w:pStyle w:val="TableText"/>
              <w:spacing w:after="0"/>
            </w:pPr>
            <w:r>
              <w:rPr>
                <w:rFonts w:ascii="Calibri" w:hAnsi="Calibri" w:eastAsia="Calibri"/>
                <w:color w:val="202124"/>
                <w:sz w:val="15"/>
              </w:rPr>
              <w:t>Lowest normal signal; trigger/noise case</w:t>
            </w:r>
          </w:p>
        </w:tc>
      </w:tr>
      <w:tr>
        <w:trPr>
          <w:cantSplit/>
        </w:trPr>
        <w:tc>
          <w:tcPr>
            <w:tcW w:type="dxa" w:w="1800"/>
            <w:tcMar>
              <w:top w:w="80" w:type="dxa"/>
              <w:start w:w="120" w:type="dxa"/>
              <w:bottom w:w="80" w:type="dxa"/>
              <w:end w:w="120" w:type="dxa"/>
            </w:tcMar>
            <w:vAlign w:val="center"/>
          </w:tcPr>
          <w:p>
            <w:pPr>
              <w:pStyle w:val="TableText"/>
              <w:spacing w:after="0"/>
            </w:pPr>
            <w:r>
              <w:rPr>
                <w:rFonts w:ascii="Calibri" w:hAnsi="Calibri" w:eastAsia="Calibri"/>
                <w:color w:val="202124"/>
                <w:sz w:val="15"/>
              </w:rPr>
              <w:t>d–C deuteron, D station</w:t>
            </w:r>
          </w:p>
        </w:tc>
        <w:tc>
          <w:tcPr>
            <w:tcW w:type="dxa" w:w="1400"/>
            <w:tcMar>
              <w:top w:w="80" w:type="dxa"/>
              <w:start w:w="120" w:type="dxa"/>
              <w:bottom w:w="80" w:type="dxa"/>
              <w:end w:w="120" w:type="dxa"/>
            </w:tcMar>
            <w:vAlign w:val="center"/>
          </w:tcPr>
          <w:p>
            <w:pPr>
              <w:pStyle w:val="TableText"/>
              <w:spacing w:after="0"/>
            </w:pPr>
            <w:r>
              <w:rPr>
                <w:rFonts w:ascii="Calibri" w:hAnsi="Calibri" w:eastAsia="Calibri"/>
                <w:color w:val="202124"/>
                <w:sz w:val="15"/>
              </w:rPr>
              <w:t>15.80–26.00°</w:t>
            </w:r>
          </w:p>
        </w:tc>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5"/>
              </w:rPr>
              <w:t>366.06–374.74 MeV</w:t>
            </w:r>
          </w:p>
        </w:tc>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5"/>
              </w:rPr>
              <w:t>2.42–2.46 MeV</w:t>
            </w:r>
          </w:p>
        </w:tc>
        <w:tc>
          <w:tcPr>
            <w:tcW w:type="dxa" w:w="2760"/>
            <w:tcMar>
              <w:top w:w="80" w:type="dxa"/>
              <w:start w:w="120" w:type="dxa"/>
              <w:bottom w:w="80" w:type="dxa"/>
              <w:end w:w="120" w:type="dxa"/>
            </w:tcMar>
            <w:vAlign w:val="center"/>
          </w:tcPr>
          <w:p>
            <w:pPr>
              <w:pStyle w:val="TableText"/>
              <w:spacing w:after="0"/>
            </w:pPr>
            <w:r>
              <w:rPr>
                <w:rFonts w:ascii="Calibri" w:hAnsi="Calibri" w:eastAsia="Calibri"/>
                <w:color w:val="202124"/>
                <w:sz w:val="15"/>
              </w:rPr>
              <w:t>Coincidence geometry remains essential</w:t>
            </w:r>
          </w:p>
        </w:tc>
      </w:tr>
      <w:tr>
        <w:trPr>
          <w:cantSplit/>
        </w:trPr>
        <w:tc>
          <w:tcPr>
            <w:tcW w:type="dxa" w:w="1800"/>
            <w:tcMar>
              <w:top w:w="80" w:type="dxa"/>
              <w:start w:w="120" w:type="dxa"/>
              <w:bottom w:w="80" w:type="dxa"/>
              <w:end w:w="120" w:type="dxa"/>
            </w:tcMar>
            <w:vAlign w:val="center"/>
          </w:tcPr>
          <w:p>
            <w:pPr>
              <w:pStyle w:val="TableText"/>
              <w:spacing w:after="0"/>
            </w:pPr>
            <w:r>
              <w:rPr>
                <w:rFonts w:ascii="Calibri" w:hAnsi="Calibri" w:eastAsia="Calibri"/>
                <w:color w:val="202124"/>
                <w:sz w:val="15"/>
              </w:rPr>
              <w:t>d–C carbon, P-small</w:t>
            </w:r>
          </w:p>
        </w:tc>
        <w:tc>
          <w:tcPr>
            <w:tcW w:type="dxa" w:w="1400"/>
            <w:tcMar>
              <w:top w:w="80" w:type="dxa"/>
              <w:start w:w="120" w:type="dxa"/>
              <w:bottom w:w="80" w:type="dxa"/>
              <w:end w:w="120" w:type="dxa"/>
            </w:tcMar>
            <w:vAlign w:val="center"/>
          </w:tcPr>
          <w:p>
            <w:pPr>
              <w:pStyle w:val="TableText"/>
              <w:spacing w:after="0"/>
            </w:pPr>
            <w:r>
              <w:rPr>
                <w:rFonts w:ascii="Calibri" w:hAnsi="Calibri" w:eastAsia="Calibri"/>
                <w:color w:val="202124"/>
                <w:sz w:val="15"/>
              </w:rPr>
              <w:t>7.44–14.96°</w:t>
            </w:r>
          </w:p>
        </w:tc>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5"/>
              </w:rPr>
              <w:t>182.88–192.75 MeV</w:t>
            </w:r>
          </w:p>
        </w:tc>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5"/>
              </w:rPr>
              <w:t>182.88–192.75 MeV</w:t>
            </w:r>
          </w:p>
        </w:tc>
        <w:tc>
          <w:tcPr>
            <w:tcW w:type="dxa" w:w="2760"/>
            <w:tcMar>
              <w:top w:w="80" w:type="dxa"/>
              <w:start w:w="120" w:type="dxa"/>
              <w:bottom w:w="80" w:type="dxa"/>
              <w:end w:w="120" w:type="dxa"/>
            </w:tcMar>
            <w:vAlign w:val="center"/>
          </w:tcPr>
          <w:p>
            <w:pPr>
              <w:pStyle w:val="TableText"/>
              <w:spacing w:after="0"/>
            </w:pPr>
            <w:r>
              <w:rPr>
                <w:rFonts w:ascii="Calibri" w:hAnsi="Calibri" w:eastAsia="Calibri"/>
                <w:color w:val="202124"/>
                <w:sz w:val="15"/>
              </w:rPr>
              <w:t>Conservative high-load background</w:t>
            </w:r>
          </w:p>
        </w:tc>
      </w:tr>
      <w:tr>
        <w:trPr>
          <w:cantSplit/>
        </w:trPr>
        <w:tc>
          <w:tcPr>
            <w:tcW w:type="dxa" w:w="1800"/>
            <w:tcMar>
              <w:top w:w="80" w:type="dxa"/>
              <w:start w:w="120" w:type="dxa"/>
              <w:bottom w:w="80" w:type="dxa"/>
              <w:end w:w="120" w:type="dxa"/>
            </w:tcMar>
            <w:vAlign w:val="center"/>
          </w:tcPr>
          <w:p>
            <w:pPr>
              <w:pStyle w:val="TableText"/>
              <w:spacing w:after="0"/>
            </w:pPr>
            <w:r>
              <w:rPr>
                <w:rFonts w:ascii="Calibri" w:hAnsi="Calibri" w:eastAsia="Calibri"/>
                <w:color w:val="202124"/>
                <w:sz w:val="15"/>
              </w:rPr>
              <w:t>d–C carbon, P-large</w:t>
            </w:r>
          </w:p>
        </w:tc>
        <w:tc>
          <w:tcPr>
            <w:tcW w:type="dxa" w:w="1400"/>
            <w:tcMar>
              <w:top w:w="80" w:type="dxa"/>
              <w:start w:w="120" w:type="dxa"/>
              <w:bottom w:w="80" w:type="dxa"/>
              <w:end w:w="120" w:type="dxa"/>
            </w:tcMar>
            <w:vAlign w:val="center"/>
          </w:tcPr>
          <w:p>
            <w:pPr>
              <w:pStyle w:val="TableText"/>
              <w:spacing w:after="0"/>
            </w:pPr>
            <w:r>
              <w:rPr>
                <w:rFonts w:ascii="Calibri" w:hAnsi="Calibri" w:eastAsia="Calibri"/>
                <w:color w:val="202124"/>
                <w:sz w:val="15"/>
              </w:rPr>
              <w:t>49.91–56.89°</w:t>
            </w:r>
          </w:p>
        </w:tc>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5"/>
              </w:rPr>
              <w:t>58.15–80.89 MeV</w:t>
            </w:r>
          </w:p>
        </w:tc>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5"/>
              </w:rPr>
              <w:t>58.15–80.89 MeV</w:t>
            </w:r>
          </w:p>
        </w:tc>
        <w:tc>
          <w:tcPr>
            <w:tcW w:type="dxa" w:w="2760"/>
            <w:tcMar>
              <w:top w:w="80" w:type="dxa"/>
              <w:start w:w="120" w:type="dxa"/>
              <w:bottom w:w="80" w:type="dxa"/>
              <w:end w:w="120" w:type="dxa"/>
            </w:tcMar>
            <w:vAlign w:val="center"/>
          </w:tcPr>
          <w:p>
            <w:pPr>
              <w:pStyle w:val="TableText"/>
              <w:spacing w:after="0"/>
            </w:pPr>
            <w:r>
              <w:rPr>
                <w:rFonts w:ascii="Calibri" w:hAnsi="Calibri" w:eastAsia="Calibri"/>
                <w:color w:val="202124"/>
                <w:sz w:val="15"/>
              </w:rPr>
              <w:t>High-load background</w:t>
            </w:r>
          </w:p>
        </w:tc>
      </w:tr>
    </w:tbl>
    <w:p>
      <w:pPr>
        <w:pStyle w:val="Heading2"/>
        <w:pageBreakBefore/>
      </w:pPr>
      <w:r>
        <w:t>Active-thickness recommendation</w:t>
      </w:r>
    </w:p>
    <w:p>
      <w:pPr>
        <w:keepLines/>
      </w:pPr>
      <w:r>
        <w:rPr>
          <w:rFonts w:ascii="Calibri" w:hAnsi="Calibri" w:eastAsia="Calibri"/>
        </w:rPr>
        <w:t>The detector should be treated as a ΔE counter, not a stopping calorimeter: the largest accepted-particle range in the LISE++ model envelope is approximately 598.2 mm. A 5 mm candidate deposits 1.71–13.93 MeV across the normal d–p coincidence branches. The legacy 10 mm case reaches 39.49 MeV, so the candidate reduces the maximum normal light-load case by 64.7% while retaining more than 1.5 MeV in the lowest branch. Use 5–6 mm as the first prototype band, but retain 4, 8, and 10 mm coupons because timing threshold, proton/deuteron quenching, optical uniformity, and real electronics noise can still move the optimum.</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1500"/>
        <w:gridCol w:w="1965"/>
        <w:gridCol w:w="1965"/>
        <w:gridCol w:w="1965"/>
        <w:gridCol w:w="1965"/>
      </w:tblGrid>
      <w:tr>
        <w:trPr>
          <w:cantSplit/>
          <w:tblHeader w:val="true"/>
          <w:cantSplit/>
        </w:trPr>
        <w:tc>
          <w:tcPr>
            <w:tcW w:type="dxa" w:w="15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Thickness (mm)</w:t>
            </w:r>
          </w:p>
        </w:tc>
        <w:tc>
          <w:tcPr>
            <w:tcW w:type="dxa" w:w="1965"/>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Forward d ΔE</w:t>
            </w:r>
          </w:p>
        </w:tc>
        <w:tc>
          <w:tcPr>
            <w:tcW w:type="dxa" w:w="1965"/>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Forward p ΔE</w:t>
            </w:r>
          </w:p>
        </w:tc>
        <w:tc>
          <w:tcPr>
            <w:tcW w:type="dxa" w:w="1965"/>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Backward d ΔE</w:t>
            </w:r>
          </w:p>
        </w:tc>
        <w:tc>
          <w:tcPr>
            <w:tcW w:type="dxa" w:w="1965"/>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Backward p ΔE</w:t>
            </w:r>
          </w:p>
        </w:tc>
      </w:tr>
      <w:tr>
        <w:trPr>
          <w:cantSplit/>
        </w:trPr>
        <w:tc>
          <w:tcPr>
            <w:tcW w:type="dxa" w:w="1500"/>
            <w:tcMar>
              <w:top w:w="80" w:type="dxa"/>
              <w:start w:w="120" w:type="dxa"/>
              <w:bottom w:w="80" w:type="dxa"/>
              <w:end w:w="120" w:type="dxa"/>
            </w:tcMar>
            <w:vAlign w:val="center"/>
          </w:tcPr>
          <w:p>
            <w:pPr>
              <w:pStyle w:val="TableText"/>
              <w:spacing w:after="0"/>
            </w:pPr>
            <w:r>
              <w:rPr>
                <w:rFonts w:ascii="Calibri" w:hAnsi="Calibri" w:eastAsia="Calibri"/>
                <w:color w:val="202124"/>
                <w:sz w:val="16"/>
              </w:rPr>
              <w:t>1</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0.58–0.63</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0.63–0.82</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1.85–2.49</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0.34–0.35</w:t>
            </w:r>
          </w:p>
        </w:tc>
      </w:tr>
      <w:tr>
        <w:trPr>
          <w:cantSplit/>
        </w:trPr>
        <w:tc>
          <w:tcPr>
            <w:tcW w:type="dxa" w:w="1500"/>
            <w:tcMar>
              <w:top w:w="80" w:type="dxa"/>
              <w:start w:w="120" w:type="dxa"/>
              <w:bottom w:w="80" w:type="dxa"/>
              <w:end w:w="120" w:type="dxa"/>
            </w:tcMar>
            <w:vAlign w:val="center"/>
          </w:tcPr>
          <w:p>
            <w:pPr>
              <w:pStyle w:val="TableText"/>
              <w:spacing w:after="0"/>
            </w:pPr>
            <w:r>
              <w:rPr>
                <w:rFonts w:ascii="Calibri" w:hAnsi="Calibri" w:eastAsia="Calibri"/>
                <w:color w:val="202124"/>
                <w:sz w:val="16"/>
              </w:rPr>
              <w:t>2</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1.17–1.26</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1.26–1.65</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3.72–5.09</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0.68–0.71</w:t>
            </w:r>
          </w:p>
        </w:tc>
      </w:tr>
      <w:tr>
        <w:trPr>
          <w:cantSplit/>
        </w:trPr>
        <w:tc>
          <w:tcPr>
            <w:tcW w:type="dxa" w:w="1500"/>
            <w:tcMar>
              <w:top w:w="80" w:type="dxa"/>
              <w:start w:w="120" w:type="dxa"/>
              <w:bottom w:w="80" w:type="dxa"/>
              <w:end w:w="120" w:type="dxa"/>
            </w:tcMar>
            <w:vAlign w:val="center"/>
          </w:tcPr>
          <w:p>
            <w:pPr>
              <w:pStyle w:val="TableText"/>
              <w:spacing w:after="0"/>
            </w:pPr>
            <w:r>
              <w:rPr>
                <w:rFonts w:ascii="Calibri" w:hAnsi="Calibri" w:eastAsia="Calibri"/>
                <w:color w:val="202124"/>
                <w:sz w:val="16"/>
              </w:rPr>
              <w:t>3</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1.75–1.89</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1.89–2.49</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5.67–7.84</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1.02–1.06</w:t>
            </w:r>
          </w:p>
        </w:tc>
      </w:tr>
      <w:tr>
        <w:trPr>
          <w:cantSplit/>
        </w:trPr>
        <w:tc>
          <w:tcPr>
            <w:tcW w:type="dxa" w:w="1500"/>
            <w:tcMar>
              <w:top w:w="80" w:type="dxa"/>
              <w:start w:w="120" w:type="dxa"/>
              <w:bottom w:w="80" w:type="dxa"/>
              <w:end w:w="120" w:type="dxa"/>
            </w:tcMar>
            <w:vAlign w:val="center"/>
          </w:tcPr>
          <w:p>
            <w:pPr>
              <w:pStyle w:val="TableText"/>
              <w:spacing w:after="0"/>
            </w:pPr>
            <w:r>
              <w:rPr>
                <w:rFonts w:ascii="Calibri" w:hAnsi="Calibri" w:eastAsia="Calibri"/>
                <w:color w:val="202124"/>
                <w:sz w:val="16"/>
              </w:rPr>
              <w:t>4</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2.33–2.54</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2.52–3.32</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7.63–10.78</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1.37–1.41</w:t>
            </w:r>
          </w:p>
        </w:tc>
      </w:tr>
      <w:tr>
        <w:trPr>
          <w:cantSplit/>
        </w:trPr>
        <w:tc>
          <w:tcPr>
            <w:tcW w:type="dxa" w:w="1500"/>
            <w:tcMar>
              <w:top w:w="80" w:type="dxa"/>
              <w:start w:w="120" w:type="dxa"/>
              <w:bottom w:w="80" w:type="dxa"/>
              <w:end w:w="120" w:type="dxa"/>
            </w:tcMar>
            <w:vAlign w:val="center"/>
          </w:tcPr>
          <w:p>
            <w:pPr>
              <w:pStyle w:val="TableText"/>
              <w:spacing w:after="0"/>
            </w:pPr>
            <w:r>
              <w:rPr>
                <w:rFonts w:ascii="Calibri" w:hAnsi="Calibri" w:eastAsia="Calibri"/>
                <w:color w:val="202124"/>
                <w:sz w:val="16"/>
              </w:rPr>
              <w:t>5</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2.92–3.19</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3.16–4.15</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9.69–13.93</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1.71–1.76</w:t>
            </w:r>
          </w:p>
        </w:tc>
      </w:tr>
      <w:tr>
        <w:trPr>
          <w:cantSplit/>
        </w:trPr>
        <w:tc>
          <w:tcPr>
            <w:tcW w:type="dxa" w:w="1500"/>
            <w:tcMar>
              <w:top w:w="80" w:type="dxa"/>
              <w:start w:w="120" w:type="dxa"/>
              <w:bottom w:w="80" w:type="dxa"/>
              <w:end w:w="120" w:type="dxa"/>
            </w:tcMar>
            <w:vAlign w:val="center"/>
          </w:tcPr>
          <w:p>
            <w:pPr>
              <w:pStyle w:val="TableText"/>
              <w:spacing w:after="0"/>
            </w:pPr>
            <w:r>
              <w:rPr>
                <w:rFonts w:ascii="Calibri" w:hAnsi="Calibri" w:eastAsia="Calibri"/>
                <w:color w:val="202124"/>
                <w:sz w:val="16"/>
              </w:rPr>
              <w:t>6</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3.50–3.84</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3.81–4.99</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11.78–17.39</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2.05–2.12</w:t>
            </w:r>
          </w:p>
        </w:tc>
      </w:tr>
      <w:tr>
        <w:trPr>
          <w:cantSplit/>
        </w:trPr>
        <w:tc>
          <w:tcPr>
            <w:tcW w:type="dxa" w:w="1500"/>
            <w:tcMar>
              <w:top w:w="80" w:type="dxa"/>
              <w:start w:w="120" w:type="dxa"/>
              <w:bottom w:w="80" w:type="dxa"/>
              <w:end w:w="120" w:type="dxa"/>
            </w:tcMar>
            <w:vAlign w:val="center"/>
          </w:tcPr>
          <w:p>
            <w:pPr>
              <w:pStyle w:val="TableText"/>
              <w:spacing w:after="0"/>
            </w:pPr>
            <w:r>
              <w:rPr>
                <w:rFonts w:ascii="Calibri" w:hAnsi="Calibri" w:eastAsia="Calibri"/>
                <w:color w:val="202124"/>
                <w:sz w:val="16"/>
              </w:rPr>
              <w:t>8</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4.67–5.14</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5.11–6.72</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16.19–25.68</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2.73–2.82</w:t>
            </w:r>
          </w:p>
        </w:tc>
      </w:tr>
      <w:tr>
        <w:trPr>
          <w:cantSplit/>
        </w:trPr>
        <w:tc>
          <w:tcPr>
            <w:tcW w:type="dxa" w:w="1500"/>
            <w:tcMar>
              <w:top w:w="80" w:type="dxa"/>
              <w:start w:w="120" w:type="dxa"/>
              <w:bottom w:w="80" w:type="dxa"/>
              <w:end w:w="120" w:type="dxa"/>
            </w:tcMar>
            <w:vAlign w:val="center"/>
          </w:tcPr>
          <w:p>
            <w:pPr>
              <w:pStyle w:val="TableText"/>
              <w:spacing w:after="0"/>
            </w:pPr>
            <w:r>
              <w:rPr>
                <w:rFonts w:ascii="Calibri" w:hAnsi="Calibri" w:eastAsia="Calibri"/>
                <w:color w:val="202124"/>
                <w:sz w:val="16"/>
              </w:rPr>
              <w:t>10</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5.83–6.43</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6.41–8.46</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20.95–39.49</w:t>
            </w:r>
          </w:p>
        </w:tc>
        <w:tc>
          <w:tcPr>
            <w:tcW w:type="dxa" w:w="1965"/>
            <w:tcMar>
              <w:top w:w="80" w:type="dxa"/>
              <w:start w:w="120" w:type="dxa"/>
              <w:bottom w:w="80" w:type="dxa"/>
              <w:end w:w="120" w:type="dxa"/>
            </w:tcMar>
            <w:vAlign w:val="center"/>
          </w:tcPr>
          <w:p>
            <w:pPr>
              <w:pStyle w:val="TableText"/>
              <w:spacing w:after="0"/>
            </w:pPr>
            <w:r>
              <w:rPr>
                <w:rFonts w:ascii="Calibri" w:hAnsi="Calibri" w:eastAsia="Calibri"/>
                <w:color w:val="202124"/>
                <w:sz w:val="16"/>
              </w:rPr>
              <w:t>3.41–3.53</w:t>
            </w:r>
          </w:p>
        </w:tc>
      </w:tr>
    </w:tbl>
    <w:p>
      <w:pPr>
        <w:keepLines/>
      </w:pPr>
      <w:r>
        <w:rPr>
          <w:rFonts w:ascii="Calibri" w:hAnsi="Calibri" w:eastAsia="Calibri"/>
        </w:rPr>
        <w:t>Table values are MeV and come directly from generated/thickness_summary.csv. The primary column model is LISE++ ATIMA 1.2 LS; generated/thickness_scan.csv retains the five-model envelope for independent inspection.</w:t>
      </w:r>
    </w:p>
    <w:tbl>
      <w:tblPr>
        <w:tblStyle w:val="TableGrid"/>
        <w:tblW w:type="dxa" w:w="9360"/>
        <w:jc w:val="center"/>
        <w:tblLayout w:type="fixed"/>
        <w:tblLook w:firstColumn="1" w:firstRow="1" w:lastColumn="0" w:lastRow="0" w:noHBand="0" w:noVBand="1" w:val="04A0"/>
        <w:tblInd w:w="120" w:type="dxa"/>
        <w:tblBorders>
          <w:top w:val="single" w:sz="6" w:space="0" w:color="EAF2F8"/>
          <w:left w:val="single" w:sz="6" w:space="0" w:color="EAF2F8"/>
          <w:bottom w:val="single" w:sz="6" w:space="0" w:color="EAF2F8"/>
          <w:right w:val="single" w:sz="6" w:space="0" w:color="EAF2F8"/>
          <w:insideH w:val="single" w:sz="6" w:space="0" w:color="EAF2F8"/>
          <w:insideV w:val="single" w:sz="6" w:space="0" w:color="EAF2F8"/>
        </w:tblBorders>
      </w:tblPr>
      <w:tblGrid>
        <w:gridCol w:w="9360"/>
      </w:tblGrid>
      <w:tr>
        <w:trPr>
          <w:cantSplit/>
        </w:trPr>
        <w:tc>
          <w:tcPr>
            <w:tcW w:type="dxa" w:w="9360"/>
            <w:tcMar>
              <w:top w:w="80" w:type="dxa"/>
              <w:start w:w="120" w:type="dxa"/>
              <w:bottom w:w="80" w:type="dxa"/>
              <w:end w:w="120" w:type="dxa"/>
            </w:tcMar>
            <w:vAlign w:val="center"/>
            <w:shd w:fill="EAF2F8" w:val="clear"/>
          </w:tcPr>
          <w:p>
            <w:pPr>
              <w:pStyle w:val="TableText"/>
              <w:spacing w:after="80"/>
            </w:pPr>
            <w:r>
              <w:rPr>
                <w:rFonts w:ascii="Calibri" w:hAnsi="Calibri" w:eastAsia="Calibri"/>
                <w:b/>
                <w:color w:val="1F4D78"/>
                <w:sz w:val="21"/>
              </w:rPr>
              <w:t>Interpretation of “crystal” for the first prototype</w:t>
            </w:r>
          </w:p>
          <w:p>
            <w:pPr>
              <w:pStyle w:val="TableText"/>
              <w:spacing w:after="60"/>
            </w:pPr>
            <w:r>
              <w:rPr>
                <w:rFonts w:ascii="Calibri" w:hAnsi="Calibri" w:eastAsia="Calibri"/>
                <w:sz w:val="19"/>
              </w:rPr>
              <w:t>The recommended active material is a plastic scintillator, although it may be colloquially called a crystal in procurement discussions.</w:t>
            </w:r>
          </w:p>
          <w:p>
            <w:pPr>
              <w:pStyle w:val="TableText"/>
              <w:spacing w:after="60"/>
            </w:pPr>
            <w:r>
              <w:rPr>
                <w:rFonts w:ascii="Calibri" w:hAnsi="Calibri" w:eastAsia="Calibri"/>
                <w:sz w:val="19"/>
              </w:rPr>
              <w:t>High-light-yield CsI(Tl), GAGG, or LYSO would produce more SiPM saturation, add high-Z material and secondary-interaction background, and generally provide slower timing or higher cost.</w:t>
            </w:r>
          </w:p>
          <w:p>
            <w:pPr>
              <w:pStyle w:val="TableText"/>
              <w:spacing w:after="60"/>
            </w:pPr>
            <w:r>
              <w:rPr>
                <w:rFonts w:ascii="Calibri" w:hAnsi="Calibri" w:eastAsia="Calibri"/>
                <w:sz w:val="19"/>
              </w:rPr>
              <w:t>An inorganic crystal should be reconsidered only if a later requirement proves that stopping calorimetry or substantially better energy resolution is more important than fast coincidence timing and compactness.</w:t>
            </w:r>
          </w:p>
        </w:tc>
      </w:tr>
    </w:tbl>
    <w:p>
      <w:pPr>
        <w:spacing w:after="0"/>
      </w:pPr>
    </w:p>
    <w:p>
      <w:pPr>
        <w:pStyle w:val="Heading2"/>
      </w:pPr>
      <w:r>
        <w:t>Light-yield quenching</w:t>
      </w:r>
    </w:p>
    <w:p>
      <w:pPr>
        <w:keepLines/>
      </w:pPr>
      <w:r>
        <w:rPr>
          <w:rFonts w:ascii="Calibri" w:hAnsi="Calibri" w:eastAsia="Calibri"/>
        </w:rPr>
        <w:t>The saturation calculation uses the electron-equivalent light yield as a conservative upper bound. Heavy charged particles have a reduced light yield described to first order by Birks’ law:</w:t>
      </w:r>
    </w:p>
    <w:p>
      <w:pPr>
        <w:spacing w:before="80" w:after="160"/>
        <w:jc w:val="center"/>
      </w:pPr>
      <w:r>
        <w:rPr>
          <w:rFonts w:ascii="Calibri" w:hAnsi="Calibri" w:eastAsia="Calibri"/>
          <w:color w:val="1F4D78"/>
          <w:sz w:val="23"/>
        </w:rPr>
        <w:t>dL/dx = S(dE/dx) / [1 + kB(dE/dx)]</w:t>
      </w:r>
    </w:p>
    <w:p>
      <w:pPr>
        <w:keepLines/>
      </w:pPr>
      <w:r>
        <w:rPr>
          <w:rFonts w:ascii="Calibri" w:hAnsi="Calibri" w:eastAsia="Calibri"/>
        </w:rPr>
        <w:t>The Birks constant and the response to deuterons, protons, and carbon ions must be measured or validated for the selected domestic plastic batch. A value taken from a nominally similar scintillator is insufficient for precision carbon rejection.</w:t>
      </w:r>
    </w:p>
    <w:p>
      <w:pPr>
        <w:pStyle w:val="Heading1"/>
      </w:pPr>
      <w:r>
        <w:t>4. Scintillator trade study and detector cassette</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000"/>
        <w:gridCol w:w="1900"/>
        <w:gridCol w:w="2200"/>
        <w:gridCol w:w="2220"/>
        <w:gridCol w:w="1040"/>
      </w:tblGrid>
      <w:tr>
        <w:trPr>
          <w:cantSplit/>
          <w:tblHeader w:val="true"/>
          <w:cantSplit/>
        </w:trPr>
        <w:tc>
          <w:tcPr>
            <w:tcW w:type="dxa" w:w="20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Material option</w:t>
            </w:r>
          </w:p>
        </w:tc>
        <w:tc>
          <w:tcPr>
            <w:tcW w:type="dxa" w:w="19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Timing / light</w:t>
            </w:r>
          </w:p>
        </w:tc>
        <w:tc>
          <w:tcPr>
            <w:tcW w:type="dxa" w:w="22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Advantages</w:t>
            </w:r>
          </w:p>
        </w:tc>
        <w:tc>
          <w:tcPr>
            <w:tcW w:type="dxa" w:w="222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Concerns</w:t>
            </w:r>
          </w:p>
        </w:tc>
        <w:tc>
          <w:tcPr>
            <w:tcW w:type="dxa" w:w="104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Disposition</w:t>
            </w:r>
          </w:p>
        </w:tc>
      </w:tr>
      <w:tr>
        <w:trPr>
          <w:cantSplit/>
        </w:trPr>
        <w:tc>
          <w:tcPr>
            <w:tcW w:type="dxa" w:w="2000"/>
            <w:tcMar>
              <w:top w:w="80" w:type="dxa"/>
              <w:start w:w="120" w:type="dxa"/>
              <w:bottom w:w="80" w:type="dxa"/>
              <w:end w:w="120" w:type="dxa"/>
            </w:tcMar>
            <w:vAlign w:val="center"/>
          </w:tcPr>
          <w:p>
            <w:pPr>
              <w:pStyle w:val="TableText"/>
              <w:spacing w:after="0"/>
            </w:pPr>
            <w:r>
              <w:rPr>
                <w:rFonts w:ascii="Calibri" w:hAnsi="Calibri" w:eastAsia="Calibri"/>
                <w:color w:val="202124"/>
                <w:sz w:val="16"/>
              </w:rPr>
              <w:t>Fast blue plastic (EJ-200 class / domestic equivalent)</w:t>
            </w:r>
          </w:p>
        </w:tc>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≈2.1–2.4 ns; ≈10,000 photons/MeV e⁻ reference</w:t>
            </w:r>
          </w:p>
        </w:tc>
        <w:tc>
          <w:tcPr>
            <w:tcW w:type="dxa" w:w="2200"/>
            <w:tcMar>
              <w:top w:w="80" w:type="dxa"/>
              <w:start w:w="120" w:type="dxa"/>
              <w:bottom w:w="80" w:type="dxa"/>
              <w:end w:w="120" w:type="dxa"/>
            </w:tcMar>
            <w:vAlign w:val="center"/>
          </w:tcPr>
          <w:p>
            <w:pPr>
              <w:pStyle w:val="TableText"/>
              <w:spacing w:after="0"/>
            </w:pPr>
            <w:r>
              <w:rPr>
                <w:rFonts w:ascii="Calibri" w:hAnsi="Calibri" w:eastAsia="Calibri"/>
                <w:color w:val="202124"/>
                <w:sz w:val="16"/>
              </w:rPr>
              <w:t>Fast coincidence; low density and Z; machinable; domestic customization</w:t>
            </w:r>
          </w:p>
        </w:tc>
        <w:tc>
          <w:tcPr>
            <w:tcW w:type="dxa" w:w="2220"/>
            <w:tcMar>
              <w:top w:w="80" w:type="dxa"/>
              <w:start w:w="120" w:type="dxa"/>
              <w:bottom w:w="80" w:type="dxa"/>
              <w:end w:w="120" w:type="dxa"/>
            </w:tcMar>
            <w:vAlign w:val="center"/>
          </w:tcPr>
          <w:p>
            <w:pPr>
              <w:pStyle w:val="TableText"/>
              <w:spacing w:after="0"/>
            </w:pPr>
            <w:r>
              <w:rPr>
                <w:rFonts w:ascii="Calibri" w:hAnsi="Calibri" w:eastAsia="Calibri"/>
                <w:color w:val="202124"/>
                <w:sz w:val="16"/>
              </w:rPr>
              <w:t>Birks quenching; optical uniformity; organic-material vacuum qualification</w:t>
            </w:r>
          </w:p>
        </w:tc>
        <w:tc>
          <w:tcPr>
            <w:tcW w:type="dxa" w:w="1040"/>
            <w:tcMar>
              <w:top w:w="80" w:type="dxa"/>
              <w:start w:w="120" w:type="dxa"/>
              <w:bottom w:w="80" w:type="dxa"/>
              <w:end w:w="120" w:type="dxa"/>
            </w:tcMar>
            <w:vAlign w:val="center"/>
          </w:tcPr>
          <w:p>
            <w:pPr>
              <w:pStyle w:val="TableText"/>
              <w:spacing w:after="0"/>
            </w:pPr>
            <w:r>
              <w:rPr>
                <w:rFonts w:ascii="Calibri" w:hAnsi="Calibri" w:eastAsia="Calibri"/>
                <w:color w:val="202124"/>
                <w:sz w:val="16"/>
              </w:rPr>
              <w:t>Baseline</w:t>
            </w:r>
          </w:p>
        </w:tc>
      </w:tr>
      <w:tr>
        <w:trPr>
          <w:cantSplit/>
        </w:trPr>
        <w:tc>
          <w:tcPr>
            <w:tcW w:type="dxa" w:w="2000"/>
            <w:tcMar>
              <w:top w:w="80" w:type="dxa"/>
              <w:start w:w="120" w:type="dxa"/>
              <w:bottom w:w="80" w:type="dxa"/>
              <w:end w:w="120" w:type="dxa"/>
            </w:tcMar>
            <w:vAlign w:val="center"/>
          </w:tcPr>
          <w:p>
            <w:pPr>
              <w:pStyle w:val="TableText"/>
              <w:spacing w:after="0"/>
            </w:pPr>
            <w:r>
              <w:rPr>
                <w:rFonts w:ascii="Calibri" w:hAnsi="Calibri" w:eastAsia="Calibri"/>
                <w:color w:val="202124"/>
                <w:sz w:val="16"/>
              </w:rPr>
              <w:t>CsI(Tl)</w:t>
            </w:r>
          </w:p>
        </w:tc>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High light; ≈1 µs class decay</w:t>
            </w:r>
          </w:p>
        </w:tc>
        <w:tc>
          <w:tcPr>
            <w:tcW w:type="dxa" w:w="2200"/>
            <w:tcMar>
              <w:top w:w="80" w:type="dxa"/>
              <w:start w:w="120" w:type="dxa"/>
              <w:bottom w:w="80" w:type="dxa"/>
              <w:end w:w="120" w:type="dxa"/>
            </w:tcMar>
            <w:vAlign w:val="center"/>
          </w:tcPr>
          <w:p>
            <w:pPr>
              <w:pStyle w:val="TableText"/>
              <w:spacing w:after="0"/>
            </w:pPr>
            <w:r>
              <w:rPr>
                <w:rFonts w:ascii="Calibri" w:hAnsi="Calibri" w:eastAsia="Calibri"/>
                <w:color w:val="202124"/>
                <w:sz w:val="16"/>
              </w:rPr>
              <w:t>High stopping power; inexpensive domestic supply</w:t>
            </w:r>
          </w:p>
        </w:tc>
        <w:tc>
          <w:tcPr>
            <w:tcW w:type="dxa" w:w="2220"/>
            <w:tcMar>
              <w:top w:w="80" w:type="dxa"/>
              <w:start w:w="120" w:type="dxa"/>
              <w:bottom w:w="80" w:type="dxa"/>
              <w:end w:w="120" w:type="dxa"/>
            </w:tcMar>
            <w:vAlign w:val="center"/>
          </w:tcPr>
          <w:p>
            <w:pPr>
              <w:pStyle w:val="TableText"/>
              <w:spacing w:after="0"/>
            </w:pPr>
            <w:r>
              <w:rPr>
                <w:rFonts w:ascii="Calibri" w:hAnsi="Calibri" w:eastAsia="Calibri"/>
                <w:color w:val="202124"/>
                <w:sz w:val="16"/>
              </w:rPr>
              <w:t>Severe SiPM load; slow pile-up; hygroscopic handling; high-Z background</w:t>
            </w:r>
          </w:p>
        </w:tc>
        <w:tc>
          <w:tcPr>
            <w:tcW w:type="dxa" w:w="1040"/>
            <w:tcMar>
              <w:top w:w="80" w:type="dxa"/>
              <w:start w:w="120" w:type="dxa"/>
              <w:bottom w:w="80" w:type="dxa"/>
              <w:end w:w="120" w:type="dxa"/>
            </w:tcMar>
            <w:vAlign w:val="center"/>
          </w:tcPr>
          <w:p>
            <w:pPr>
              <w:pStyle w:val="TableText"/>
              <w:spacing w:after="0"/>
            </w:pPr>
            <w:r>
              <w:rPr>
                <w:rFonts w:ascii="Calibri" w:hAnsi="Calibri" w:eastAsia="Calibri"/>
                <w:color w:val="202124"/>
                <w:sz w:val="16"/>
              </w:rPr>
              <w:t>Not baseline</w:t>
            </w:r>
          </w:p>
        </w:tc>
      </w:tr>
      <w:tr>
        <w:trPr>
          <w:cantSplit/>
        </w:trPr>
        <w:tc>
          <w:tcPr>
            <w:tcW w:type="dxa" w:w="2000"/>
            <w:tcMar>
              <w:top w:w="80" w:type="dxa"/>
              <w:start w:w="120" w:type="dxa"/>
              <w:bottom w:w="80" w:type="dxa"/>
              <w:end w:w="120" w:type="dxa"/>
            </w:tcMar>
            <w:vAlign w:val="center"/>
          </w:tcPr>
          <w:p>
            <w:pPr>
              <w:pStyle w:val="TableText"/>
              <w:spacing w:after="0"/>
            </w:pPr>
            <w:r>
              <w:rPr>
                <w:rFonts w:ascii="Calibri" w:hAnsi="Calibri" w:eastAsia="Calibri"/>
                <w:color w:val="202124"/>
                <w:sz w:val="16"/>
              </w:rPr>
              <w:t>GAGG(Ce)</w:t>
            </w:r>
          </w:p>
        </w:tc>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High light; ≈90 ns class</w:t>
            </w:r>
          </w:p>
        </w:tc>
        <w:tc>
          <w:tcPr>
            <w:tcW w:type="dxa" w:w="2200"/>
            <w:tcMar>
              <w:top w:w="80" w:type="dxa"/>
              <w:start w:w="120" w:type="dxa"/>
              <w:bottom w:w="80" w:type="dxa"/>
              <w:end w:w="120" w:type="dxa"/>
            </w:tcMar>
            <w:vAlign w:val="center"/>
          </w:tcPr>
          <w:p>
            <w:pPr>
              <w:pStyle w:val="TableText"/>
              <w:spacing w:after="0"/>
            </w:pPr>
            <w:r>
              <w:rPr>
                <w:rFonts w:ascii="Calibri" w:hAnsi="Calibri" w:eastAsia="Calibri"/>
                <w:color w:val="202124"/>
                <w:sz w:val="16"/>
              </w:rPr>
              <w:t>Non-hygroscopic; good energy resolution</w:t>
            </w:r>
          </w:p>
        </w:tc>
        <w:tc>
          <w:tcPr>
            <w:tcW w:type="dxa" w:w="2220"/>
            <w:tcMar>
              <w:top w:w="80" w:type="dxa"/>
              <w:start w:w="120" w:type="dxa"/>
              <w:bottom w:w="80" w:type="dxa"/>
              <w:end w:w="120" w:type="dxa"/>
            </w:tcMar>
            <w:vAlign w:val="center"/>
          </w:tcPr>
          <w:p>
            <w:pPr>
              <w:pStyle w:val="TableText"/>
              <w:spacing w:after="0"/>
            </w:pPr>
            <w:r>
              <w:rPr>
                <w:rFonts w:ascii="Calibri" w:hAnsi="Calibri" w:eastAsia="Calibri"/>
                <w:color w:val="202124"/>
                <w:sz w:val="16"/>
              </w:rPr>
              <w:t>Dense/high-Z; higher cost; more saturation; slower timing</w:t>
            </w:r>
          </w:p>
        </w:tc>
        <w:tc>
          <w:tcPr>
            <w:tcW w:type="dxa" w:w="1040"/>
            <w:tcMar>
              <w:top w:w="80" w:type="dxa"/>
              <w:start w:w="120" w:type="dxa"/>
              <w:bottom w:w="80" w:type="dxa"/>
              <w:end w:w="120" w:type="dxa"/>
            </w:tcMar>
            <w:vAlign w:val="center"/>
          </w:tcPr>
          <w:p>
            <w:pPr>
              <w:pStyle w:val="TableText"/>
              <w:spacing w:after="0"/>
            </w:pPr>
            <w:r>
              <w:rPr>
                <w:rFonts w:ascii="Calibri" w:hAnsi="Calibri" w:eastAsia="Calibri"/>
                <w:color w:val="202124"/>
                <w:sz w:val="16"/>
              </w:rPr>
              <w:t>Future comparison only</w:t>
            </w:r>
          </w:p>
        </w:tc>
      </w:tr>
      <w:tr>
        <w:trPr>
          <w:cantSplit/>
        </w:trPr>
        <w:tc>
          <w:tcPr>
            <w:tcW w:type="dxa" w:w="2000"/>
            <w:tcMar>
              <w:top w:w="80" w:type="dxa"/>
              <w:start w:w="120" w:type="dxa"/>
              <w:bottom w:w="80" w:type="dxa"/>
              <w:end w:w="120" w:type="dxa"/>
            </w:tcMar>
            <w:vAlign w:val="center"/>
          </w:tcPr>
          <w:p>
            <w:pPr>
              <w:pStyle w:val="TableText"/>
              <w:spacing w:after="0"/>
            </w:pPr>
            <w:r>
              <w:rPr>
                <w:rFonts w:ascii="Calibri" w:hAnsi="Calibri" w:eastAsia="Calibri"/>
                <w:color w:val="202124"/>
                <w:sz w:val="16"/>
              </w:rPr>
              <w:t>LYSO(Ce)</w:t>
            </w:r>
          </w:p>
        </w:tc>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Moderate-high light; ≈40 ns class</w:t>
            </w:r>
          </w:p>
        </w:tc>
        <w:tc>
          <w:tcPr>
            <w:tcW w:type="dxa" w:w="2200"/>
            <w:tcMar>
              <w:top w:w="80" w:type="dxa"/>
              <w:start w:w="120" w:type="dxa"/>
              <w:bottom w:w="80" w:type="dxa"/>
              <w:end w:w="120" w:type="dxa"/>
            </w:tcMar>
            <w:vAlign w:val="center"/>
          </w:tcPr>
          <w:p>
            <w:pPr>
              <w:pStyle w:val="TableText"/>
              <w:spacing w:after="0"/>
            </w:pPr>
            <w:r>
              <w:rPr>
                <w:rFonts w:ascii="Calibri" w:hAnsi="Calibri" w:eastAsia="Calibri"/>
                <w:color w:val="202124"/>
                <w:sz w:val="16"/>
              </w:rPr>
              <w:t>Fast for an inorganic crystal; robust</w:t>
            </w:r>
          </w:p>
        </w:tc>
        <w:tc>
          <w:tcPr>
            <w:tcW w:type="dxa" w:w="2220"/>
            <w:tcMar>
              <w:top w:w="80" w:type="dxa"/>
              <w:start w:w="120" w:type="dxa"/>
              <w:bottom w:w="80" w:type="dxa"/>
              <w:end w:w="120" w:type="dxa"/>
            </w:tcMar>
            <w:vAlign w:val="center"/>
          </w:tcPr>
          <w:p>
            <w:pPr>
              <w:pStyle w:val="TableText"/>
              <w:spacing w:after="0"/>
            </w:pPr>
            <w:r>
              <w:rPr>
                <w:rFonts w:ascii="Calibri" w:hAnsi="Calibri" w:eastAsia="Calibri"/>
                <w:color w:val="202124"/>
                <w:sz w:val="16"/>
              </w:rPr>
              <w:t>Dense/high-Z; intrinsic activity; cost; saturation</w:t>
            </w:r>
          </w:p>
        </w:tc>
        <w:tc>
          <w:tcPr>
            <w:tcW w:type="dxa" w:w="1040"/>
            <w:tcMar>
              <w:top w:w="80" w:type="dxa"/>
              <w:start w:w="120" w:type="dxa"/>
              <w:bottom w:w="80" w:type="dxa"/>
              <w:end w:w="120" w:type="dxa"/>
            </w:tcMar>
            <w:vAlign w:val="center"/>
          </w:tcPr>
          <w:p>
            <w:pPr>
              <w:pStyle w:val="TableText"/>
              <w:spacing w:after="0"/>
            </w:pPr>
            <w:r>
              <w:rPr>
                <w:rFonts w:ascii="Calibri" w:hAnsi="Calibri" w:eastAsia="Calibri"/>
                <w:color w:val="202124"/>
                <w:sz w:val="16"/>
              </w:rPr>
              <w:t>Not preferred</w:t>
            </w:r>
          </w:p>
        </w:tc>
      </w:tr>
    </w:tbl>
    <w:p>
      <w:pPr>
        <w:pStyle w:val="Heading2"/>
      </w:pPr>
      <w:r>
        <w:t>Recommended detector cassette</w:t>
      </w:r>
    </w:p>
    <w:p>
      <w:pPr>
        <w:numPr>
          <w:ilvl w:val="0"/>
          <w:numId w:val="10"/>
        </w:numPr>
        <w:spacing w:after="160" w:line="280" w:lineRule="auto"/>
        <w:keepLines/>
      </w:pPr>
      <w:r>
        <w:rPr>
          <w:rFonts w:ascii="Calibri" w:hAnsi="Calibri" w:eastAsia="Calibri"/>
        </w:rPr>
        <w:t>Active plastic: Ø20 mm × 5–6 mm for the first 0.8-scale prototypes, or Ø25 mm × 5–6 mm if current radii are retained. Also procure 4, 8, and 10 mm coupons for the thickness gate.</w:t>
      </w:r>
    </w:p>
    <w:p>
      <w:pPr>
        <w:numPr>
          <w:ilvl w:val="0"/>
          <w:numId w:val="10"/>
        </w:numPr>
        <w:spacing w:after="160" w:line="280" w:lineRule="auto"/>
        <w:keepLines/>
      </w:pPr>
      <w:r>
        <w:rPr>
          <w:rFonts w:ascii="Calibri" w:hAnsi="Calibri" w:eastAsia="Calibri"/>
        </w:rPr>
        <w:t>Polish the SiPM-coupling face and define the side/rear finish. Use a controlled reflective wrap or coating plus a separate light-tight outer cassette; record every optical material and batch.</w:t>
      </w:r>
    </w:p>
    <w:p>
      <w:pPr>
        <w:numPr>
          <w:ilvl w:val="0"/>
          <w:numId w:val="10"/>
        </w:numPr>
        <w:spacing w:after="160" w:line="280" w:lineRule="auto"/>
        <w:keepLines/>
      </w:pPr>
      <w:r>
        <w:rPr>
          <w:rFonts w:ascii="Calibri" w:hAnsi="Calibri" w:eastAsia="Calibri"/>
        </w:rPr>
        <w:t>Couple one centered 6 × 6 mm SiPM to the flat rear face. Avoid adding an acrylic light guide in vacuum unless position-uniformity tests prove it is necessary. A shallow integral taper in the same plastic may be evaluated as a second prototype.</w:t>
      </w:r>
    </w:p>
    <w:p>
      <w:pPr>
        <w:numPr>
          <w:ilvl w:val="0"/>
          <w:numId w:val="10"/>
        </w:numPr>
        <w:spacing w:after="160" w:line="280" w:lineRule="auto"/>
        <w:keepLines/>
      </w:pPr>
      <w:r>
        <w:rPr>
          <w:rFonts w:ascii="Calibri" w:hAnsi="Calibri" w:eastAsia="Calibri"/>
        </w:rPr>
        <w:t>Use a removable sensor carrier with repeatable spring preload. Avoid permanent optical epoxy in the first prototype so sensors and coupling layers can be exchanged. Any grease, pad, adhesive, black coating, tape, or reflector must pass the vacuum material screen.</w:t>
      </w:r>
    </w:p>
    <w:p>
      <w:pPr>
        <w:numPr>
          <w:ilvl w:val="0"/>
          <w:numId w:val="10"/>
        </w:numPr>
        <w:spacing w:after="160" w:line="280" w:lineRule="auto"/>
        <w:keepLines/>
      </w:pPr>
      <w:r>
        <w:rPr>
          <w:rFonts w:ascii="Calibri" w:hAnsi="Calibri" w:eastAsia="Calibri"/>
        </w:rPr>
        <w:t>Provide a copper thermal path from the sensor carrier to a controlled chamber datum. Put a temperature sensor close to each SiPM or each thermally common group.</w:t>
      </w:r>
    </w:p>
    <w:p>
      <w:pPr>
        <w:numPr>
          <w:ilvl w:val="0"/>
          <w:numId w:val="10"/>
        </w:numPr>
        <w:spacing w:after="160" w:line="280" w:lineRule="auto"/>
        <w:keepLines/>
      </w:pPr>
      <w:r>
        <w:rPr>
          <w:rFonts w:ascii="Calibri" w:hAnsi="Calibri" w:eastAsia="Calibri"/>
        </w:rPr>
        <w:t>Use an interchangeable mechanical datum scheme so all twelve cassettes can be swapped without re-surveying the chamber. Include anti-rotation, insertion stop, cable strain relief, and light-leak verification features.</w:t>
      </w:r>
    </w:p>
    <w:p>
      <w:pPr>
        <w:pStyle w:val="Heading2"/>
      </w:pPr>
      <w:r>
        <w:t>Optical uniformity is a first-order design variable</w:t>
      </w:r>
    </w:p>
    <w:p>
      <w:pPr>
        <w:keepLines/>
      </w:pPr>
      <w:r>
        <w:rPr>
          <w:rFonts w:ascii="Calibri" w:hAnsi="Calibri" w:eastAsia="Calibri"/>
        </w:rPr>
        <w:t>A 6 × 6 mm SiPM covers only about 9–11% of the rear face area of a Ø20–25 mm disc. Direct coupling naturally limits collection, which helps saturation, but can create radial response variation. A highly reflective wrap improves uniformity while increasing collection and saturation. The design target is therefore not “maximum light”; it is a measured 2–5% collection with acceptable trigger margin and spatial uniformity.</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400"/>
        <w:gridCol w:w="3300"/>
        <w:gridCol w:w="3660"/>
      </w:tblGrid>
      <w:tr>
        <w:trPr>
          <w:cantSplit/>
          <w:tblHeader w:val="true"/>
          <w:cantSplit/>
        </w:trPr>
        <w:tc>
          <w:tcPr>
            <w:tcW w:type="dxa" w:w="24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7"/>
              </w:rPr>
              <w:t>Prototype optical variant</w:t>
            </w:r>
          </w:p>
        </w:tc>
        <w:tc>
          <w:tcPr>
            <w:tcW w:type="dxa" w:w="33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7"/>
              </w:rPr>
              <w:t>Purpose</w:t>
            </w:r>
          </w:p>
        </w:tc>
        <w:tc>
          <w:tcPr>
            <w:tcW w:type="dxa" w:w="366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7"/>
              </w:rPr>
              <w:t>Measurement</w:t>
            </w:r>
          </w:p>
        </w:tc>
      </w:tr>
      <w:tr>
        <w:trPr>
          <w:cantSplit/>
        </w:trPr>
        <w:tc>
          <w:tcPr>
            <w:tcW w:type="dxa" w:w="2400"/>
            <w:tcMar>
              <w:top w:w="80" w:type="dxa"/>
              <w:start w:w="120" w:type="dxa"/>
              <w:bottom w:w="80" w:type="dxa"/>
              <w:end w:w="120" w:type="dxa"/>
            </w:tcMar>
            <w:vAlign w:val="center"/>
          </w:tcPr>
          <w:p>
            <w:pPr>
              <w:pStyle w:val="TableText"/>
              <w:spacing w:after="0"/>
            </w:pPr>
            <w:r>
              <w:rPr>
                <w:rFonts w:ascii="Calibri" w:hAnsi="Calibri" w:eastAsia="Calibri"/>
                <w:color w:val="202124"/>
                <w:sz w:val="17"/>
              </w:rPr>
              <w:t>A: direct coupling, diffuse reflector</w:t>
            </w:r>
          </w:p>
        </w:tc>
        <w:tc>
          <w:tcPr>
            <w:tcW w:type="dxa" w:w="3300"/>
            <w:tcMar>
              <w:top w:w="80" w:type="dxa"/>
              <w:start w:w="120" w:type="dxa"/>
              <w:bottom w:w="80" w:type="dxa"/>
              <w:end w:w="120" w:type="dxa"/>
            </w:tcMar>
            <w:vAlign w:val="center"/>
          </w:tcPr>
          <w:p>
            <w:pPr>
              <w:pStyle w:val="TableText"/>
              <w:spacing w:after="0"/>
            </w:pPr>
            <w:r>
              <w:rPr>
                <w:rFonts w:ascii="Calibri" w:hAnsi="Calibri" w:eastAsia="Calibri"/>
                <w:color w:val="202124"/>
                <w:sz w:val="17"/>
              </w:rPr>
              <w:t>Baseline balance of collection and uniformity</w:t>
            </w:r>
          </w:p>
        </w:tc>
        <w:tc>
          <w:tcPr>
            <w:tcW w:type="dxa" w:w="3660"/>
            <w:tcMar>
              <w:top w:w="80" w:type="dxa"/>
              <w:start w:w="120" w:type="dxa"/>
              <w:bottom w:w="80" w:type="dxa"/>
              <w:end w:w="120" w:type="dxa"/>
            </w:tcMar>
            <w:vAlign w:val="center"/>
          </w:tcPr>
          <w:p>
            <w:pPr>
              <w:pStyle w:val="TableText"/>
              <w:spacing w:after="0"/>
            </w:pPr>
            <w:r>
              <w:rPr>
                <w:rFonts w:ascii="Calibri" w:hAnsi="Calibri" w:eastAsia="Calibri"/>
                <w:color w:val="202124"/>
                <w:sz w:val="17"/>
              </w:rPr>
              <w:t>2D collimated scan; pulse charge and timing</w:t>
            </w:r>
          </w:p>
        </w:tc>
      </w:tr>
      <w:tr>
        <w:trPr>
          <w:cantSplit/>
        </w:trPr>
        <w:tc>
          <w:tcPr>
            <w:tcW w:type="dxa" w:w="2400"/>
            <w:tcMar>
              <w:top w:w="80" w:type="dxa"/>
              <w:start w:w="120" w:type="dxa"/>
              <w:bottom w:w="80" w:type="dxa"/>
              <w:end w:w="120" w:type="dxa"/>
            </w:tcMar>
            <w:vAlign w:val="center"/>
          </w:tcPr>
          <w:p>
            <w:pPr>
              <w:pStyle w:val="TableText"/>
              <w:spacing w:after="0"/>
            </w:pPr>
            <w:r>
              <w:rPr>
                <w:rFonts w:ascii="Calibri" w:hAnsi="Calibri" w:eastAsia="Calibri"/>
                <w:color w:val="202124"/>
                <w:sz w:val="17"/>
              </w:rPr>
              <w:t>B: direct coupling, specular reflector</w:t>
            </w:r>
          </w:p>
        </w:tc>
        <w:tc>
          <w:tcPr>
            <w:tcW w:type="dxa" w:w="3300"/>
            <w:tcMar>
              <w:top w:w="80" w:type="dxa"/>
              <w:start w:w="120" w:type="dxa"/>
              <w:bottom w:w="80" w:type="dxa"/>
              <w:end w:w="120" w:type="dxa"/>
            </w:tcMar>
            <w:vAlign w:val="center"/>
          </w:tcPr>
          <w:p>
            <w:pPr>
              <w:pStyle w:val="TableText"/>
              <w:spacing w:after="0"/>
            </w:pPr>
            <w:r>
              <w:rPr>
                <w:rFonts w:ascii="Calibri" w:hAnsi="Calibri" w:eastAsia="Calibri"/>
                <w:color w:val="202124"/>
                <w:sz w:val="17"/>
              </w:rPr>
              <w:t>Test lower optical path dispersion</w:t>
            </w:r>
          </w:p>
        </w:tc>
        <w:tc>
          <w:tcPr>
            <w:tcW w:type="dxa" w:w="3660"/>
            <w:tcMar>
              <w:top w:w="80" w:type="dxa"/>
              <w:start w:w="120" w:type="dxa"/>
              <w:bottom w:w="80" w:type="dxa"/>
              <w:end w:w="120" w:type="dxa"/>
            </w:tcMar>
            <w:vAlign w:val="center"/>
          </w:tcPr>
          <w:p>
            <w:pPr>
              <w:pStyle w:val="TableText"/>
              <w:spacing w:after="0"/>
            </w:pPr>
            <w:r>
              <w:rPr>
                <w:rFonts w:ascii="Calibri" w:hAnsi="Calibri" w:eastAsia="Calibri"/>
                <w:color w:val="202124"/>
                <w:sz w:val="17"/>
              </w:rPr>
              <w:t>Same scan plus incidence-angle dependence</w:t>
            </w:r>
          </w:p>
        </w:tc>
      </w:tr>
      <w:tr>
        <w:trPr>
          <w:cantSplit/>
        </w:trPr>
        <w:tc>
          <w:tcPr>
            <w:tcW w:type="dxa" w:w="2400"/>
            <w:tcMar>
              <w:top w:w="80" w:type="dxa"/>
              <w:start w:w="120" w:type="dxa"/>
              <w:bottom w:w="80" w:type="dxa"/>
              <w:end w:w="120" w:type="dxa"/>
            </w:tcMar>
            <w:vAlign w:val="center"/>
          </w:tcPr>
          <w:p>
            <w:pPr>
              <w:pStyle w:val="TableText"/>
              <w:spacing w:after="0"/>
            </w:pPr>
            <w:r>
              <w:rPr>
                <w:rFonts w:ascii="Calibri" w:hAnsi="Calibri" w:eastAsia="Calibri"/>
                <w:color w:val="202124"/>
                <w:sz w:val="17"/>
              </w:rPr>
              <w:t>C: shallow integral taper</w:t>
            </w:r>
          </w:p>
        </w:tc>
        <w:tc>
          <w:tcPr>
            <w:tcW w:type="dxa" w:w="3300"/>
            <w:tcMar>
              <w:top w:w="80" w:type="dxa"/>
              <w:start w:w="120" w:type="dxa"/>
              <w:bottom w:w="80" w:type="dxa"/>
              <w:end w:w="120" w:type="dxa"/>
            </w:tcMar>
            <w:vAlign w:val="center"/>
          </w:tcPr>
          <w:p>
            <w:pPr>
              <w:pStyle w:val="TableText"/>
              <w:spacing w:after="0"/>
            </w:pPr>
            <w:r>
              <w:rPr>
                <w:rFonts w:ascii="Calibri" w:hAnsi="Calibri" w:eastAsia="Calibri"/>
                <w:color w:val="202124"/>
                <w:sz w:val="17"/>
              </w:rPr>
              <w:t>Test improved coupling without a separate light guide</w:t>
            </w:r>
          </w:p>
        </w:tc>
        <w:tc>
          <w:tcPr>
            <w:tcW w:type="dxa" w:w="3660"/>
            <w:tcMar>
              <w:top w:w="80" w:type="dxa"/>
              <w:start w:w="120" w:type="dxa"/>
              <w:bottom w:w="80" w:type="dxa"/>
              <w:end w:w="120" w:type="dxa"/>
            </w:tcMar>
            <w:vAlign w:val="center"/>
          </w:tcPr>
          <w:p>
            <w:pPr>
              <w:pStyle w:val="TableText"/>
              <w:spacing w:after="0"/>
            </w:pPr>
            <w:r>
              <w:rPr>
                <w:rFonts w:ascii="Calibri" w:hAnsi="Calibri" w:eastAsia="Calibri"/>
                <w:color w:val="202124"/>
                <w:sz w:val="17"/>
              </w:rPr>
              <w:t>Collection, uniformity, machining repeatability</w:t>
            </w:r>
          </w:p>
        </w:tc>
      </w:tr>
      <w:tr>
        <w:trPr>
          <w:cantSplit/>
        </w:trPr>
        <w:tc>
          <w:tcPr>
            <w:tcW w:type="dxa" w:w="2400"/>
            <w:tcMar>
              <w:top w:w="80" w:type="dxa"/>
              <w:start w:w="120" w:type="dxa"/>
              <w:bottom w:w="80" w:type="dxa"/>
              <w:end w:w="120" w:type="dxa"/>
            </w:tcMar>
            <w:vAlign w:val="center"/>
          </w:tcPr>
          <w:p>
            <w:pPr>
              <w:pStyle w:val="TableText"/>
              <w:spacing w:after="0"/>
            </w:pPr>
            <w:r>
              <w:rPr>
                <w:rFonts w:ascii="Calibri" w:hAnsi="Calibri" w:eastAsia="Calibri"/>
                <w:color w:val="202124"/>
                <w:sz w:val="17"/>
              </w:rPr>
              <w:t>D: deliberately attenuated interface</w:t>
            </w:r>
          </w:p>
        </w:tc>
        <w:tc>
          <w:tcPr>
            <w:tcW w:type="dxa" w:w="3300"/>
            <w:tcMar>
              <w:top w:w="80" w:type="dxa"/>
              <w:start w:w="120" w:type="dxa"/>
              <w:bottom w:w="80" w:type="dxa"/>
              <w:end w:w="120" w:type="dxa"/>
            </w:tcMar>
            <w:vAlign w:val="center"/>
          </w:tcPr>
          <w:p>
            <w:pPr>
              <w:pStyle w:val="TableText"/>
              <w:spacing w:after="0"/>
            </w:pPr>
            <w:r>
              <w:rPr>
                <w:rFonts w:ascii="Calibri" w:hAnsi="Calibri" w:eastAsia="Calibri"/>
                <w:color w:val="202124"/>
                <w:sz w:val="17"/>
              </w:rPr>
              <w:t>Reserve option if the real beam produces excess light</w:t>
            </w:r>
          </w:p>
        </w:tc>
        <w:tc>
          <w:tcPr>
            <w:tcW w:type="dxa" w:w="3660"/>
            <w:tcMar>
              <w:top w:w="80" w:type="dxa"/>
              <w:start w:w="120" w:type="dxa"/>
              <w:bottom w:w="80" w:type="dxa"/>
              <w:end w:w="120" w:type="dxa"/>
            </w:tcMar>
            <w:vAlign w:val="center"/>
          </w:tcPr>
          <w:p>
            <w:pPr>
              <w:pStyle w:val="TableText"/>
              <w:spacing w:after="0"/>
            </w:pPr>
            <w:r>
              <w:rPr>
                <w:rFonts w:ascii="Calibri" w:hAnsi="Calibri" w:eastAsia="Calibri"/>
                <w:color w:val="202124"/>
                <w:sz w:val="17"/>
              </w:rPr>
              <w:t>Linearity versus LED/laser intensity and particle energy</w:t>
            </w:r>
          </w:p>
        </w:tc>
      </w:tr>
    </w:tbl>
    <w:p>
      <w:pPr>
        <w:pStyle w:val="Heading1"/>
      </w:pPr>
      <w:r>
        <w:t>5. SiPM selection and saturation calculation</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150"/>
        <w:gridCol w:w="1250"/>
        <w:gridCol w:w="800"/>
        <w:gridCol w:w="1200"/>
        <w:gridCol w:w="850"/>
        <w:gridCol w:w="1000"/>
        <w:gridCol w:w="2110"/>
      </w:tblGrid>
      <w:tr>
        <w:trPr>
          <w:cantSplit/>
          <w:tblHeader w:val="true"/>
          <w:cantSplit/>
        </w:trPr>
        <w:tc>
          <w:tcPr>
            <w:tcW w:type="dxa" w:w="215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Candidate</w:t>
            </w:r>
          </w:p>
        </w:tc>
        <w:tc>
          <w:tcPr>
            <w:tcW w:type="dxa" w:w="125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Active area (mm²)</w:t>
            </w:r>
          </w:p>
        </w:tc>
        <w:tc>
          <w:tcPr>
            <w:tcW w:type="dxa" w:w="8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Pitch (µm)</w:t>
            </w:r>
          </w:p>
        </w:tc>
        <w:tc>
          <w:tcPr>
            <w:tcW w:type="dxa" w:w="12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Microcells</w:t>
            </w:r>
          </w:p>
        </w:tc>
        <w:tc>
          <w:tcPr>
            <w:tcW w:type="dxa" w:w="85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PDE used</w:t>
            </w:r>
          </w:p>
        </w:tc>
        <w:tc>
          <w:tcPr>
            <w:tcW w:type="dxa" w:w="10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Gain used</w:t>
            </w:r>
          </w:p>
        </w:tc>
        <w:tc>
          <w:tcPr>
            <w:tcW w:type="dxa" w:w="211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Role</w:t>
            </w:r>
          </w:p>
        </w:tc>
      </w:tr>
      <w:tr>
        <w:trPr>
          <w:cantSplit/>
        </w:trPr>
        <w:tc>
          <w:tcPr>
            <w:tcW w:type="dxa" w:w="2150"/>
            <w:tcMar>
              <w:top w:w="80" w:type="dxa"/>
              <w:start w:w="120" w:type="dxa"/>
              <w:bottom w:w="80" w:type="dxa"/>
              <w:end w:w="120" w:type="dxa"/>
            </w:tcMar>
            <w:vAlign w:val="center"/>
          </w:tcPr>
          <w:p>
            <w:pPr>
              <w:pStyle w:val="TableText"/>
              <w:spacing w:after="0"/>
            </w:pPr>
            <w:r>
              <w:rPr>
                <w:rFonts w:ascii="Calibri" w:hAnsi="Calibri" w:eastAsia="Calibri"/>
                <w:color w:val="202124"/>
                <w:sz w:val="15"/>
              </w:rPr>
              <w:t>NDL EQR15 11-6060D-S</w:t>
            </w:r>
          </w:p>
        </w:tc>
        <w:tc>
          <w:tcPr>
            <w:tcW w:type="dxa" w:w="1250"/>
            <w:tcMar>
              <w:top w:w="80" w:type="dxa"/>
              <w:start w:w="120" w:type="dxa"/>
              <w:bottom w:w="80" w:type="dxa"/>
              <w:end w:w="120" w:type="dxa"/>
            </w:tcMar>
            <w:vAlign w:val="center"/>
          </w:tcPr>
          <w:p>
            <w:pPr>
              <w:pStyle w:val="TableText"/>
              <w:spacing w:after="0"/>
            </w:pPr>
            <w:r>
              <w:rPr>
                <w:rFonts w:ascii="Calibri" w:hAnsi="Calibri" w:eastAsia="Calibri"/>
                <w:color w:val="202124"/>
                <w:sz w:val="15"/>
              </w:rPr>
              <w:t>6.14 × 6.14</w:t>
            </w:r>
          </w:p>
        </w:tc>
        <w:tc>
          <w:tcPr>
            <w:tcW w:type="dxa" w:w="800"/>
            <w:tcMar>
              <w:top w:w="80" w:type="dxa"/>
              <w:start w:w="120" w:type="dxa"/>
              <w:bottom w:w="80" w:type="dxa"/>
              <w:end w:w="120" w:type="dxa"/>
            </w:tcMar>
            <w:vAlign w:val="center"/>
          </w:tcPr>
          <w:p>
            <w:pPr>
              <w:pStyle w:val="TableText"/>
              <w:spacing w:after="0"/>
            </w:pPr>
            <w:r>
              <w:rPr>
                <w:rFonts w:ascii="Calibri" w:hAnsi="Calibri" w:eastAsia="Calibri"/>
                <w:color w:val="202124"/>
                <w:sz w:val="15"/>
              </w:rPr>
              <w:t>15</w:t>
            </w:r>
          </w:p>
        </w:tc>
        <w:tc>
          <w:tcPr>
            <w:tcW w:type="dxa" w:w="1200"/>
            <w:tcMar>
              <w:top w:w="80" w:type="dxa"/>
              <w:start w:w="120" w:type="dxa"/>
              <w:bottom w:w="80" w:type="dxa"/>
              <w:end w:w="120" w:type="dxa"/>
            </w:tcMar>
            <w:vAlign w:val="center"/>
          </w:tcPr>
          <w:p>
            <w:pPr>
              <w:pStyle w:val="TableText"/>
              <w:spacing w:after="0"/>
            </w:pPr>
            <w:r>
              <w:rPr>
                <w:rFonts w:ascii="Calibri" w:hAnsi="Calibri" w:eastAsia="Calibri"/>
                <w:color w:val="202124"/>
                <w:sz w:val="15"/>
              </w:rPr>
              <w:t>167,537</w:t>
            </w:r>
          </w:p>
        </w:tc>
        <w:tc>
          <w:tcPr>
            <w:tcW w:type="dxa" w:w="850"/>
            <w:tcMar>
              <w:top w:w="80" w:type="dxa"/>
              <w:start w:w="120" w:type="dxa"/>
              <w:bottom w:w="80" w:type="dxa"/>
              <w:end w:w="120" w:type="dxa"/>
            </w:tcMar>
            <w:vAlign w:val="center"/>
          </w:tcPr>
          <w:p>
            <w:pPr>
              <w:pStyle w:val="TableText"/>
              <w:spacing w:after="0"/>
            </w:pPr>
            <w:r>
              <w:rPr>
                <w:rFonts w:ascii="Calibri" w:hAnsi="Calibri" w:eastAsia="Calibri"/>
                <w:color w:val="202124"/>
                <w:sz w:val="15"/>
              </w:rPr>
              <w:t>45.0%</w:t>
            </w:r>
          </w:p>
        </w:tc>
        <w:tc>
          <w:tcPr>
            <w:tcW w:type="dxa" w:w="1000"/>
            <w:tcMar>
              <w:top w:w="80" w:type="dxa"/>
              <w:start w:w="120" w:type="dxa"/>
              <w:bottom w:w="80" w:type="dxa"/>
              <w:end w:w="120" w:type="dxa"/>
            </w:tcMar>
            <w:vAlign w:val="center"/>
          </w:tcPr>
          <w:p>
            <w:pPr>
              <w:pStyle w:val="TableText"/>
              <w:spacing w:after="0"/>
            </w:pPr>
            <w:r>
              <w:rPr>
                <w:rFonts w:ascii="Calibri" w:hAnsi="Calibri" w:eastAsia="Calibri"/>
                <w:color w:val="202124"/>
                <w:sz w:val="15"/>
              </w:rPr>
              <w:t>4.0e+05</w:t>
            </w:r>
          </w:p>
        </w:tc>
        <w:tc>
          <w:tcPr>
            <w:tcW w:type="dxa" w:w="2110"/>
            <w:tcMar>
              <w:top w:w="80" w:type="dxa"/>
              <w:start w:w="120" w:type="dxa"/>
              <w:bottom w:w="80" w:type="dxa"/>
              <w:end w:w="120" w:type="dxa"/>
            </w:tcMar>
            <w:vAlign w:val="center"/>
          </w:tcPr>
          <w:p>
            <w:pPr>
              <w:pStyle w:val="TableText"/>
              <w:spacing w:after="0"/>
            </w:pPr>
            <w:r>
              <w:rPr>
                <w:rFonts w:ascii="Calibri" w:hAnsi="Calibri" w:eastAsia="Calibri"/>
                <w:color w:val="202124"/>
                <w:sz w:val="15"/>
              </w:rPr>
              <w:t>Recommended baseline</w:t>
            </w:r>
          </w:p>
        </w:tc>
      </w:tr>
      <w:tr>
        <w:trPr>
          <w:cantSplit/>
        </w:trPr>
        <w:tc>
          <w:tcPr>
            <w:tcW w:type="dxa" w:w="2150"/>
            <w:tcMar>
              <w:top w:w="80" w:type="dxa"/>
              <w:start w:w="120" w:type="dxa"/>
              <w:bottom w:w="80" w:type="dxa"/>
              <w:end w:w="120" w:type="dxa"/>
            </w:tcMar>
            <w:vAlign w:val="center"/>
          </w:tcPr>
          <w:p>
            <w:pPr>
              <w:pStyle w:val="TableText"/>
              <w:spacing w:after="0"/>
            </w:pPr>
            <w:r>
              <w:rPr>
                <w:rFonts w:ascii="Calibri" w:hAnsi="Calibri" w:eastAsia="Calibri"/>
                <w:color w:val="202124"/>
                <w:sz w:val="15"/>
              </w:rPr>
              <w:t>NDL EQR20 11-6060D-S</w:t>
            </w:r>
          </w:p>
        </w:tc>
        <w:tc>
          <w:tcPr>
            <w:tcW w:type="dxa" w:w="1250"/>
            <w:tcMar>
              <w:top w:w="80" w:type="dxa"/>
              <w:start w:w="120" w:type="dxa"/>
              <w:bottom w:w="80" w:type="dxa"/>
              <w:end w:w="120" w:type="dxa"/>
            </w:tcMar>
            <w:vAlign w:val="center"/>
          </w:tcPr>
          <w:p>
            <w:pPr>
              <w:pStyle w:val="TableText"/>
              <w:spacing w:after="0"/>
            </w:pPr>
            <w:r>
              <w:rPr>
                <w:rFonts w:ascii="Calibri" w:hAnsi="Calibri" w:eastAsia="Calibri"/>
                <w:color w:val="202124"/>
                <w:sz w:val="15"/>
              </w:rPr>
              <w:t>6.24 × 6.24</w:t>
            </w:r>
          </w:p>
        </w:tc>
        <w:tc>
          <w:tcPr>
            <w:tcW w:type="dxa" w:w="800"/>
            <w:tcMar>
              <w:top w:w="80" w:type="dxa"/>
              <w:start w:w="120" w:type="dxa"/>
              <w:bottom w:w="80" w:type="dxa"/>
              <w:end w:w="120" w:type="dxa"/>
            </w:tcMar>
            <w:vAlign w:val="center"/>
          </w:tcPr>
          <w:p>
            <w:pPr>
              <w:pStyle w:val="TableText"/>
              <w:spacing w:after="0"/>
            </w:pPr>
            <w:r>
              <w:rPr>
                <w:rFonts w:ascii="Calibri" w:hAnsi="Calibri" w:eastAsia="Calibri"/>
                <w:color w:val="202124"/>
                <w:sz w:val="15"/>
              </w:rPr>
              <w:t>20</w:t>
            </w:r>
          </w:p>
        </w:tc>
        <w:tc>
          <w:tcPr>
            <w:tcW w:type="dxa" w:w="1200"/>
            <w:tcMar>
              <w:top w:w="80" w:type="dxa"/>
              <w:start w:w="120" w:type="dxa"/>
              <w:bottom w:w="80" w:type="dxa"/>
              <w:end w:w="120" w:type="dxa"/>
            </w:tcMar>
            <w:vAlign w:val="center"/>
          </w:tcPr>
          <w:p>
            <w:pPr>
              <w:pStyle w:val="TableText"/>
              <w:spacing w:after="0"/>
            </w:pPr>
            <w:r>
              <w:rPr>
                <w:rFonts w:ascii="Calibri" w:hAnsi="Calibri" w:eastAsia="Calibri"/>
                <w:color w:val="202124"/>
                <w:sz w:val="15"/>
              </w:rPr>
              <w:t>97,344</w:t>
            </w:r>
          </w:p>
        </w:tc>
        <w:tc>
          <w:tcPr>
            <w:tcW w:type="dxa" w:w="850"/>
            <w:tcMar>
              <w:top w:w="80" w:type="dxa"/>
              <w:start w:w="120" w:type="dxa"/>
              <w:bottom w:w="80" w:type="dxa"/>
              <w:end w:w="120" w:type="dxa"/>
            </w:tcMar>
            <w:vAlign w:val="center"/>
          </w:tcPr>
          <w:p>
            <w:pPr>
              <w:pStyle w:val="TableText"/>
              <w:spacing w:after="0"/>
            </w:pPr>
            <w:r>
              <w:rPr>
                <w:rFonts w:ascii="Calibri" w:hAnsi="Calibri" w:eastAsia="Calibri"/>
                <w:color w:val="202124"/>
                <w:sz w:val="15"/>
              </w:rPr>
              <w:t>47.8%</w:t>
            </w:r>
          </w:p>
        </w:tc>
        <w:tc>
          <w:tcPr>
            <w:tcW w:type="dxa" w:w="1000"/>
            <w:tcMar>
              <w:top w:w="80" w:type="dxa"/>
              <w:start w:w="120" w:type="dxa"/>
              <w:bottom w:w="80" w:type="dxa"/>
              <w:end w:w="120" w:type="dxa"/>
            </w:tcMar>
            <w:vAlign w:val="center"/>
          </w:tcPr>
          <w:p>
            <w:pPr>
              <w:pStyle w:val="TableText"/>
              <w:spacing w:after="0"/>
            </w:pPr>
            <w:r>
              <w:rPr>
                <w:rFonts w:ascii="Calibri" w:hAnsi="Calibri" w:eastAsia="Calibri"/>
                <w:color w:val="202124"/>
                <w:sz w:val="15"/>
              </w:rPr>
              <w:t>8.0e+05</w:t>
            </w:r>
          </w:p>
        </w:tc>
        <w:tc>
          <w:tcPr>
            <w:tcW w:type="dxa" w:w="2110"/>
            <w:tcMar>
              <w:top w:w="80" w:type="dxa"/>
              <w:start w:w="120" w:type="dxa"/>
              <w:bottom w:w="80" w:type="dxa"/>
              <w:end w:w="120" w:type="dxa"/>
            </w:tcMar>
            <w:vAlign w:val="center"/>
          </w:tcPr>
          <w:p>
            <w:pPr>
              <w:pStyle w:val="TableText"/>
              <w:spacing w:after="0"/>
            </w:pPr>
            <w:r>
              <w:rPr>
                <w:rFonts w:ascii="Calibri" w:hAnsi="Calibri" w:eastAsia="Calibri"/>
                <w:color w:val="202124"/>
                <w:sz w:val="15"/>
              </w:rPr>
              <w:t>Higher-gain backup</w:t>
            </w:r>
          </w:p>
        </w:tc>
      </w:tr>
      <w:tr>
        <w:trPr>
          <w:cantSplit/>
        </w:trPr>
        <w:tc>
          <w:tcPr>
            <w:tcW w:type="dxa" w:w="2150"/>
            <w:tcMar>
              <w:top w:w="80" w:type="dxa"/>
              <w:start w:w="120" w:type="dxa"/>
              <w:bottom w:w="80" w:type="dxa"/>
              <w:end w:w="120" w:type="dxa"/>
            </w:tcMar>
            <w:vAlign w:val="center"/>
          </w:tcPr>
          <w:p>
            <w:pPr>
              <w:pStyle w:val="TableText"/>
              <w:spacing w:after="0"/>
            </w:pPr>
            <w:r>
              <w:rPr>
                <w:rFonts w:ascii="Calibri" w:hAnsi="Calibri" w:eastAsia="Calibri"/>
                <w:color w:val="202124"/>
                <w:sz w:val="15"/>
              </w:rPr>
              <w:t>Hamamatsu S13360-6025CS</w:t>
            </w:r>
          </w:p>
        </w:tc>
        <w:tc>
          <w:tcPr>
            <w:tcW w:type="dxa" w:w="1250"/>
            <w:tcMar>
              <w:top w:w="80" w:type="dxa"/>
              <w:start w:w="120" w:type="dxa"/>
              <w:bottom w:w="80" w:type="dxa"/>
              <w:end w:w="120" w:type="dxa"/>
            </w:tcMar>
            <w:vAlign w:val="center"/>
          </w:tcPr>
          <w:p>
            <w:pPr>
              <w:pStyle w:val="TableText"/>
              <w:spacing w:after="0"/>
            </w:pPr>
            <w:r>
              <w:rPr>
                <w:rFonts w:ascii="Calibri" w:hAnsi="Calibri" w:eastAsia="Calibri"/>
                <w:color w:val="202124"/>
                <w:sz w:val="15"/>
              </w:rPr>
              <w:t>6.0 × 6.0</w:t>
            </w:r>
          </w:p>
        </w:tc>
        <w:tc>
          <w:tcPr>
            <w:tcW w:type="dxa" w:w="800"/>
            <w:tcMar>
              <w:top w:w="80" w:type="dxa"/>
              <w:start w:w="120" w:type="dxa"/>
              <w:bottom w:w="80" w:type="dxa"/>
              <w:end w:w="120" w:type="dxa"/>
            </w:tcMar>
            <w:vAlign w:val="center"/>
          </w:tcPr>
          <w:p>
            <w:pPr>
              <w:pStyle w:val="TableText"/>
              <w:spacing w:after="0"/>
            </w:pPr>
            <w:r>
              <w:rPr>
                <w:rFonts w:ascii="Calibri" w:hAnsi="Calibri" w:eastAsia="Calibri"/>
                <w:color w:val="202124"/>
                <w:sz w:val="15"/>
              </w:rPr>
              <w:t>25</w:t>
            </w:r>
          </w:p>
        </w:tc>
        <w:tc>
          <w:tcPr>
            <w:tcW w:type="dxa" w:w="1200"/>
            <w:tcMar>
              <w:top w:w="80" w:type="dxa"/>
              <w:start w:w="120" w:type="dxa"/>
              <w:bottom w:w="80" w:type="dxa"/>
              <w:end w:w="120" w:type="dxa"/>
            </w:tcMar>
            <w:vAlign w:val="center"/>
          </w:tcPr>
          <w:p>
            <w:pPr>
              <w:pStyle w:val="TableText"/>
              <w:spacing w:after="0"/>
            </w:pPr>
            <w:r>
              <w:rPr>
                <w:rFonts w:ascii="Calibri" w:hAnsi="Calibri" w:eastAsia="Calibri"/>
                <w:color w:val="202124"/>
                <w:sz w:val="15"/>
              </w:rPr>
              <w:t>57,600</w:t>
            </w:r>
          </w:p>
        </w:tc>
        <w:tc>
          <w:tcPr>
            <w:tcW w:type="dxa" w:w="850"/>
            <w:tcMar>
              <w:top w:w="80" w:type="dxa"/>
              <w:start w:w="120" w:type="dxa"/>
              <w:bottom w:w="80" w:type="dxa"/>
              <w:end w:w="120" w:type="dxa"/>
            </w:tcMar>
            <w:vAlign w:val="center"/>
          </w:tcPr>
          <w:p>
            <w:pPr>
              <w:pStyle w:val="TableText"/>
              <w:spacing w:after="0"/>
            </w:pPr>
            <w:r>
              <w:rPr>
                <w:rFonts w:ascii="Calibri" w:hAnsi="Calibri" w:eastAsia="Calibri"/>
                <w:color w:val="202124"/>
                <w:sz w:val="15"/>
              </w:rPr>
              <w:t>25.0%</w:t>
            </w:r>
          </w:p>
        </w:tc>
        <w:tc>
          <w:tcPr>
            <w:tcW w:type="dxa" w:w="1000"/>
            <w:tcMar>
              <w:top w:w="80" w:type="dxa"/>
              <w:start w:w="120" w:type="dxa"/>
              <w:bottom w:w="80" w:type="dxa"/>
              <w:end w:w="120" w:type="dxa"/>
            </w:tcMar>
            <w:vAlign w:val="center"/>
          </w:tcPr>
          <w:p>
            <w:pPr>
              <w:pStyle w:val="TableText"/>
              <w:spacing w:after="0"/>
            </w:pPr>
            <w:r>
              <w:rPr>
                <w:rFonts w:ascii="Calibri" w:hAnsi="Calibri" w:eastAsia="Calibri"/>
                <w:color w:val="202124"/>
                <w:sz w:val="15"/>
              </w:rPr>
              <w:t>7.0e+05</w:t>
            </w:r>
          </w:p>
        </w:tc>
        <w:tc>
          <w:tcPr>
            <w:tcW w:type="dxa" w:w="2110"/>
            <w:tcMar>
              <w:top w:w="80" w:type="dxa"/>
              <w:start w:w="120" w:type="dxa"/>
              <w:bottom w:w="80" w:type="dxa"/>
              <w:end w:w="120" w:type="dxa"/>
            </w:tcMar>
            <w:vAlign w:val="center"/>
          </w:tcPr>
          <w:p>
            <w:pPr>
              <w:pStyle w:val="TableText"/>
              <w:spacing w:after="0"/>
            </w:pPr>
            <w:r>
              <w:rPr>
                <w:rFonts w:ascii="Calibri" w:hAnsi="Calibri" w:eastAsia="Calibri"/>
                <w:color w:val="202124"/>
                <w:sz w:val="15"/>
              </w:rPr>
              <w:t>Imported reference</w:t>
            </w:r>
          </w:p>
        </w:tc>
      </w:tr>
      <w:tr>
        <w:trPr>
          <w:cantSplit/>
        </w:trPr>
        <w:tc>
          <w:tcPr>
            <w:tcW w:type="dxa" w:w="2150"/>
            <w:tcMar>
              <w:top w:w="80" w:type="dxa"/>
              <w:start w:w="120" w:type="dxa"/>
              <w:bottom w:w="80" w:type="dxa"/>
              <w:end w:w="120" w:type="dxa"/>
            </w:tcMar>
            <w:vAlign w:val="center"/>
          </w:tcPr>
          <w:p>
            <w:pPr>
              <w:pStyle w:val="TableText"/>
              <w:spacing w:after="0"/>
            </w:pPr>
            <w:r>
              <w:rPr>
                <w:rFonts w:ascii="Calibri" w:hAnsi="Calibri" w:eastAsia="Calibri"/>
                <w:color w:val="202124"/>
                <w:sz w:val="15"/>
              </w:rPr>
              <w:t>Ray-Quant JSP-TP6050</w:t>
            </w:r>
          </w:p>
        </w:tc>
        <w:tc>
          <w:tcPr>
            <w:tcW w:type="dxa" w:w="1250"/>
            <w:tcMar>
              <w:top w:w="80" w:type="dxa"/>
              <w:start w:w="120" w:type="dxa"/>
              <w:bottom w:w="80" w:type="dxa"/>
              <w:end w:w="120" w:type="dxa"/>
            </w:tcMar>
            <w:vAlign w:val="center"/>
          </w:tcPr>
          <w:p>
            <w:pPr>
              <w:pStyle w:val="TableText"/>
              <w:spacing w:after="0"/>
            </w:pPr>
            <w:r>
              <w:rPr>
                <w:rFonts w:ascii="Calibri" w:hAnsi="Calibri" w:eastAsia="Calibri"/>
                <w:color w:val="202124"/>
                <w:sz w:val="15"/>
              </w:rPr>
              <w:t>6.0 × 6.0</w:t>
            </w:r>
          </w:p>
        </w:tc>
        <w:tc>
          <w:tcPr>
            <w:tcW w:type="dxa" w:w="800"/>
            <w:tcMar>
              <w:top w:w="80" w:type="dxa"/>
              <w:start w:w="120" w:type="dxa"/>
              <w:bottom w:w="80" w:type="dxa"/>
              <w:end w:w="120" w:type="dxa"/>
            </w:tcMar>
            <w:vAlign w:val="center"/>
          </w:tcPr>
          <w:p>
            <w:pPr>
              <w:pStyle w:val="TableText"/>
              <w:spacing w:after="0"/>
            </w:pPr>
            <w:r>
              <w:rPr>
                <w:rFonts w:ascii="Calibri" w:hAnsi="Calibri" w:eastAsia="Calibri"/>
                <w:color w:val="202124"/>
                <w:sz w:val="15"/>
              </w:rPr>
              <w:t>50</w:t>
            </w:r>
          </w:p>
        </w:tc>
        <w:tc>
          <w:tcPr>
            <w:tcW w:type="dxa" w:w="1200"/>
            <w:tcMar>
              <w:top w:w="80" w:type="dxa"/>
              <w:start w:w="120" w:type="dxa"/>
              <w:bottom w:w="80" w:type="dxa"/>
              <w:end w:w="120" w:type="dxa"/>
            </w:tcMar>
            <w:vAlign w:val="center"/>
          </w:tcPr>
          <w:p>
            <w:pPr>
              <w:pStyle w:val="TableText"/>
              <w:spacing w:after="0"/>
            </w:pPr>
            <w:r>
              <w:rPr>
                <w:rFonts w:ascii="Calibri" w:hAnsi="Calibri" w:eastAsia="Calibri"/>
                <w:color w:val="202124"/>
                <w:sz w:val="15"/>
              </w:rPr>
              <w:t>13,852</w:t>
            </w:r>
          </w:p>
        </w:tc>
        <w:tc>
          <w:tcPr>
            <w:tcW w:type="dxa" w:w="850"/>
            <w:tcMar>
              <w:top w:w="80" w:type="dxa"/>
              <w:start w:w="120" w:type="dxa"/>
              <w:bottom w:w="80" w:type="dxa"/>
              <w:end w:w="120" w:type="dxa"/>
            </w:tcMar>
            <w:vAlign w:val="center"/>
          </w:tcPr>
          <w:p>
            <w:pPr>
              <w:pStyle w:val="TableText"/>
              <w:spacing w:after="0"/>
            </w:pPr>
            <w:r>
              <w:rPr>
                <w:rFonts w:ascii="Calibri" w:hAnsi="Calibri" w:eastAsia="Calibri"/>
                <w:color w:val="202124"/>
                <w:sz w:val="15"/>
              </w:rPr>
              <w:t>35.0%</w:t>
            </w:r>
          </w:p>
        </w:tc>
        <w:tc>
          <w:tcPr>
            <w:tcW w:type="dxa" w:w="1000"/>
            <w:tcMar>
              <w:top w:w="80" w:type="dxa"/>
              <w:start w:w="120" w:type="dxa"/>
              <w:bottom w:w="80" w:type="dxa"/>
              <w:end w:w="120" w:type="dxa"/>
            </w:tcMar>
            <w:vAlign w:val="center"/>
          </w:tcPr>
          <w:p>
            <w:pPr>
              <w:pStyle w:val="TableText"/>
              <w:spacing w:after="0"/>
            </w:pPr>
            <w:r>
              <w:rPr>
                <w:rFonts w:ascii="Calibri" w:hAnsi="Calibri" w:eastAsia="Calibri"/>
                <w:color w:val="202124"/>
                <w:sz w:val="15"/>
              </w:rPr>
              <w:t>2.1e+06</w:t>
            </w:r>
          </w:p>
        </w:tc>
        <w:tc>
          <w:tcPr>
            <w:tcW w:type="dxa" w:w="2110"/>
            <w:tcMar>
              <w:top w:w="80" w:type="dxa"/>
              <w:start w:w="120" w:type="dxa"/>
              <w:bottom w:w="80" w:type="dxa"/>
              <w:end w:w="120" w:type="dxa"/>
            </w:tcMar>
            <w:vAlign w:val="center"/>
          </w:tcPr>
          <w:p>
            <w:pPr>
              <w:pStyle w:val="TableText"/>
              <w:spacing w:after="0"/>
            </w:pPr>
            <w:r>
              <w:rPr>
                <w:rFonts w:ascii="Calibri" w:hAnsi="Calibri" w:eastAsia="Calibri"/>
                <w:color w:val="202124"/>
                <w:sz w:val="15"/>
              </w:rPr>
              <w:t>Comparison only</w:t>
            </w:r>
          </w:p>
        </w:tc>
      </w:tr>
    </w:tbl>
    <w:p>
      <w:pPr>
        <w:pStyle w:val="Heading2"/>
      </w:pPr>
      <w:r>
        <w:t>Selection rationale</w:t>
      </w:r>
    </w:p>
    <w:p>
      <w:pPr>
        <w:keepLines/>
      </w:pPr>
      <w:r>
        <w:rPr>
          <w:rFonts w:ascii="Calibri" w:hAnsi="Calibri" w:eastAsia="Calibri"/>
        </w:rPr>
        <w:t>The EQR15 is preferred because its 15 µm pitch gives the largest microcell population among the evaluated 6 × 6 mm devices. The EQR20 offers higher gain and similar PDE but fewer cells. The Hamamatsu device is valuable as a well-documented reference. The domestic 50 µm Ray-Quant device has too few cells for the expected direct energy signal unless the optical coupling is strongly attenuated.</w:t>
      </w:r>
    </w:p>
    <w:p>
      <w:pPr>
        <w:pStyle w:val="Heading2"/>
      </w:pPr>
      <w:r>
        <w:t>Model</w:t>
      </w:r>
    </w:p>
    <w:p>
      <w:pPr>
        <w:keepLines/>
      </w:pPr>
      <w:r>
        <w:rPr>
          <w:rFonts w:ascii="Calibri" w:hAnsi="Calibri" w:eastAsia="Calibri"/>
        </w:rPr>
        <w:t>For a scintillation pulse shorter than the SiPM recovery time, uniformly distributed over the active area, the first-order occupancy model is:</w:t>
      </w:r>
    </w:p>
    <w:p>
      <w:pPr>
        <w:spacing w:after="40"/>
        <w:jc w:val="center"/>
      </w:pPr>
      <w:r>
        <w:rPr>
          <w:rFonts w:ascii="Calibri" w:hAnsi="Calibri" w:eastAsia="Calibri"/>
          <w:color w:val="1F4D78"/>
          <w:sz w:val="23"/>
        </w:rPr>
        <w:t>Nseed = Edep · Yγ · ηopt · PDE</w:t>
      </w:r>
    </w:p>
    <w:p>
      <w:pPr>
        <w:spacing w:after="160"/>
        <w:jc w:val="center"/>
      </w:pPr>
      <w:r>
        <w:rPr>
          <w:rFonts w:ascii="Calibri" w:hAnsi="Calibri" w:eastAsia="Calibri"/>
          <w:color w:val="1F4D78"/>
          <w:sz w:val="23"/>
        </w:rPr>
        <w:t>Nfired = Ncell · [1 − exp(−Nseed / Ncell)]</w:t>
      </w:r>
    </w:p>
    <w:p>
      <w:pPr>
        <w:keepLines/>
      </w:pPr>
      <w:r>
        <w:rPr>
          <w:rFonts w:ascii="Calibri" w:hAnsi="Calibri" w:eastAsia="Calibri"/>
        </w:rPr>
        <w:t>Yγ is set to 10,000 photons/MeV electron-equivalent; ηopt includes every collection and coupling loss before the PDE. Nonlinearity is 1 − Nfired/Nseed. Correlated noise, recovery during the pulse, pixel-to-pixel variation, nonuniform illumination, temperature, and electronics are not included.</w:t>
      </w:r>
    </w:p>
    <w:p>
      <w:r>
        <w:drawing>
          <wp:inline xmlns:a="http://schemas.openxmlformats.org/drawingml/2006/main" xmlns:pic="http://schemas.openxmlformats.org/drawingml/2006/picture">
            <wp:extent cx="4663440" cy="2573026"/>
            <wp:docPr id="1" name="Picture 1"/>
            <wp:cNvGraphicFramePr>
              <a:graphicFrameLocks noChangeAspect="1"/>
            </wp:cNvGraphicFramePr>
            <a:graphic>
              <a:graphicData uri="http://schemas.openxmlformats.org/drawingml/2006/picture">
                <pic:pic>
                  <pic:nvPicPr>
                    <pic:cNvPr id="0" name="sipm_saturation.png"/>
                    <pic:cNvPicPr/>
                  </pic:nvPicPr>
                  <pic:blipFill>
                    <a:blip r:embed="rId11"/>
                    <a:stretch>
                      <a:fillRect/>
                    </a:stretch>
                  </pic:blipFill>
                  <pic:spPr>
                    <a:xfrm>
                      <a:off x="0" y="0"/>
                      <a:ext cx="4663440" cy="2573026"/>
                    </a:xfrm>
                    <a:prstGeom prst="rect"/>
                  </pic:spPr>
                </pic:pic>
              </a:graphicData>
            </a:graphic>
          </wp:inline>
        </w:drawing>
      </w:r>
    </w:p>
    <w:p>
      <w:pPr>
        <w:pStyle w:val="Caption"/>
        <w:keepNext w:val="0"/>
        <w:jc w:val="center"/>
      </w:pPr>
      <w:r>
        <w:rPr>
          <w:rFonts w:ascii="Calibri" w:hAnsi="Calibri" w:eastAsia="Calibri"/>
          <w:color w:val="5F6368"/>
          <w:sz w:val="18"/>
        </w:rPr>
        <w:t>Figure 1. Calculated microcell nonlinearity at 5% total optical collection. The carbon point is an intentionally conservative, unquenched upper bound.</w:t>
      </w:r>
    </w:p>
    <w:p>
      <w:pPr>
        <w:pStyle w:val="Heading2"/>
        <w:pageBreakBefore/>
      </w:pPr>
      <w:r>
        <w:t>Saturation and charge results</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2200"/>
        <w:gridCol w:w="1280"/>
        <w:gridCol w:w="1280"/>
        <w:gridCol w:w="1350"/>
        <w:gridCol w:w="1570"/>
        <w:gridCol w:w="1680"/>
      </w:tblGrid>
      <w:tr>
        <w:trPr>
          <w:cantSplit/>
          <w:tblHeader w:val="true"/>
          <w:cantSplit/>
        </w:trPr>
        <w:tc>
          <w:tcPr>
            <w:tcW w:type="dxa" w:w="22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Device</w:t>
            </w:r>
          </w:p>
        </w:tc>
        <w:tc>
          <w:tcPr>
            <w:tcW w:type="dxa" w:w="128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13.93 MeV, η=2%</w:t>
            </w:r>
          </w:p>
        </w:tc>
        <w:tc>
          <w:tcPr>
            <w:tcW w:type="dxa" w:w="128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13.93 MeV, η=5%</w:t>
            </w:r>
          </w:p>
        </w:tc>
        <w:tc>
          <w:tcPr>
            <w:tcW w:type="dxa" w:w="135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Charge at η=5%</w:t>
            </w:r>
          </w:p>
        </w:tc>
        <w:tc>
          <w:tcPr>
            <w:tcW w:type="dxa" w:w="157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192.75 MeV, η=5%</w:t>
            </w:r>
          </w:p>
        </w:tc>
        <w:tc>
          <w:tcPr>
            <w:tcW w:type="dxa" w:w="168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10% limit at η=5%</w:t>
            </w:r>
          </w:p>
        </w:tc>
      </w:tr>
      <w:tr>
        <w:trPr>
          <w:cantSplit/>
        </w:trPr>
        <w:tc>
          <w:tcPr>
            <w:tcW w:type="dxa" w:w="2200"/>
            <w:tcMar>
              <w:top w:w="80" w:type="dxa"/>
              <w:start w:w="120" w:type="dxa"/>
              <w:bottom w:w="80" w:type="dxa"/>
              <w:end w:w="120" w:type="dxa"/>
            </w:tcMar>
            <w:vAlign w:val="center"/>
          </w:tcPr>
          <w:p>
            <w:pPr>
              <w:pStyle w:val="TableText"/>
              <w:spacing w:after="0"/>
            </w:pPr>
            <w:r>
              <w:rPr>
                <w:rFonts w:ascii="Calibri" w:hAnsi="Calibri" w:eastAsia="Calibri"/>
                <w:color w:val="202124"/>
                <w:sz w:val="16"/>
              </w:rPr>
              <w:t>NDL EQR15 11-6060D-S</w:t>
            </w:r>
          </w:p>
        </w:tc>
        <w:tc>
          <w:tcPr>
            <w:tcW w:type="dxa" w:w="1280"/>
            <w:tcMar>
              <w:top w:w="80" w:type="dxa"/>
              <w:start w:w="120" w:type="dxa"/>
              <w:bottom w:w="80" w:type="dxa"/>
              <w:end w:w="120" w:type="dxa"/>
            </w:tcMar>
            <w:vAlign w:val="center"/>
          </w:tcPr>
          <w:p>
            <w:pPr>
              <w:pStyle w:val="TableText"/>
              <w:spacing w:after="0"/>
            </w:pPr>
            <w:r>
              <w:rPr>
                <w:rFonts w:ascii="Calibri" w:hAnsi="Calibri" w:eastAsia="Calibri"/>
                <w:color w:val="202124"/>
                <w:sz w:val="16"/>
              </w:rPr>
              <w:t>0.4%</w:t>
            </w:r>
          </w:p>
        </w:tc>
        <w:tc>
          <w:tcPr>
            <w:tcW w:type="dxa" w:w="1280"/>
            <w:tcMar>
              <w:top w:w="80" w:type="dxa"/>
              <w:start w:w="120" w:type="dxa"/>
              <w:bottom w:w="80" w:type="dxa"/>
              <w:end w:w="120" w:type="dxa"/>
            </w:tcMar>
            <w:vAlign w:val="center"/>
          </w:tcPr>
          <w:p>
            <w:pPr>
              <w:pStyle w:val="TableText"/>
              <w:spacing w:after="0"/>
            </w:pPr>
            <w:r>
              <w:rPr>
                <w:rFonts w:ascii="Calibri" w:hAnsi="Calibri" w:eastAsia="Calibri"/>
                <w:color w:val="202124"/>
                <w:sz w:val="16"/>
              </w:rPr>
              <w:t>0.9%</w:t>
            </w:r>
          </w:p>
        </w:tc>
        <w:tc>
          <w:tcPr>
            <w:tcW w:type="dxa" w:w="1350"/>
            <w:tcMar>
              <w:top w:w="80" w:type="dxa"/>
              <w:start w:w="120" w:type="dxa"/>
              <w:bottom w:w="80" w:type="dxa"/>
              <w:end w:w="120" w:type="dxa"/>
            </w:tcMar>
            <w:vAlign w:val="center"/>
          </w:tcPr>
          <w:p>
            <w:pPr>
              <w:pStyle w:val="TableText"/>
              <w:spacing w:after="0"/>
            </w:pPr>
            <w:r>
              <w:rPr>
                <w:rFonts w:ascii="Calibri" w:hAnsi="Calibri" w:eastAsia="Calibri"/>
                <w:color w:val="202124"/>
                <w:sz w:val="16"/>
              </w:rPr>
              <w:t>0.199 nC</w:t>
            </w:r>
          </w:p>
        </w:tc>
        <w:tc>
          <w:tcPr>
            <w:tcW w:type="dxa" w:w="1570"/>
            <w:tcMar>
              <w:top w:w="80" w:type="dxa"/>
              <w:start w:w="120" w:type="dxa"/>
              <w:bottom w:w="80" w:type="dxa"/>
              <w:end w:w="120" w:type="dxa"/>
            </w:tcMar>
            <w:vAlign w:val="center"/>
          </w:tcPr>
          <w:p>
            <w:pPr>
              <w:pStyle w:val="TableText"/>
              <w:spacing w:after="0"/>
            </w:pPr>
            <w:r>
              <w:rPr>
                <w:rFonts w:ascii="Calibri" w:hAnsi="Calibri" w:eastAsia="Calibri"/>
                <w:color w:val="202124"/>
                <w:sz w:val="16"/>
              </w:rPr>
              <w:t>11.9%</w:t>
            </w:r>
          </w:p>
        </w:tc>
        <w:tc>
          <w:tcPr>
            <w:tcW w:type="dxa" w:w="1680"/>
            <w:tcMar>
              <w:top w:w="80" w:type="dxa"/>
              <w:start w:w="120" w:type="dxa"/>
              <w:bottom w:w="80" w:type="dxa"/>
              <w:end w:w="120" w:type="dxa"/>
            </w:tcMar>
            <w:vAlign w:val="center"/>
          </w:tcPr>
          <w:p>
            <w:pPr>
              <w:pStyle w:val="TableText"/>
              <w:spacing w:after="0"/>
            </w:pPr>
            <w:r>
              <w:rPr>
                <w:rFonts w:ascii="Calibri" w:hAnsi="Calibri" w:eastAsia="Calibri"/>
                <w:color w:val="202124"/>
                <w:sz w:val="16"/>
              </w:rPr>
              <w:t>159.8 MeV</w:t>
            </w:r>
          </w:p>
        </w:tc>
      </w:tr>
      <w:tr>
        <w:trPr>
          <w:cantSplit/>
        </w:trPr>
        <w:tc>
          <w:tcPr>
            <w:tcW w:type="dxa" w:w="2200"/>
            <w:tcMar>
              <w:top w:w="80" w:type="dxa"/>
              <w:start w:w="120" w:type="dxa"/>
              <w:bottom w:w="80" w:type="dxa"/>
              <w:end w:w="120" w:type="dxa"/>
            </w:tcMar>
            <w:vAlign w:val="center"/>
          </w:tcPr>
          <w:p>
            <w:pPr>
              <w:pStyle w:val="TableText"/>
              <w:spacing w:after="0"/>
            </w:pPr>
            <w:r>
              <w:rPr>
                <w:rFonts w:ascii="Calibri" w:hAnsi="Calibri" w:eastAsia="Calibri"/>
                <w:color w:val="202124"/>
                <w:sz w:val="16"/>
              </w:rPr>
              <w:t>NDL EQR20 11-6060D-S</w:t>
            </w:r>
          </w:p>
        </w:tc>
        <w:tc>
          <w:tcPr>
            <w:tcW w:type="dxa" w:w="1280"/>
            <w:tcMar>
              <w:top w:w="80" w:type="dxa"/>
              <w:start w:w="120" w:type="dxa"/>
              <w:bottom w:w="80" w:type="dxa"/>
              <w:end w:w="120" w:type="dxa"/>
            </w:tcMar>
            <w:vAlign w:val="center"/>
          </w:tcPr>
          <w:p>
            <w:pPr>
              <w:pStyle w:val="TableText"/>
              <w:spacing w:after="0"/>
            </w:pPr>
            <w:r>
              <w:rPr>
                <w:rFonts w:ascii="Calibri" w:hAnsi="Calibri" w:eastAsia="Calibri"/>
                <w:color w:val="202124"/>
                <w:sz w:val="16"/>
              </w:rPr>
              <w:t>0.7%</w:t>
            </w:r>
          </w:p>
        </w:tc>
        <w:tc>
          <w:tcPr>
            <w:tcW w:type="dxa" w:w="1280"/>
            <w:tcMar>
              <w:top w:w="80" w:type="dxa"/>
              <w:start w:w="120" w:type="dxa"/>
              <w:bottom w:w="80" w:type="dxa"/>
              <w:end w:w="120" w:type="dxa"/>
            </w:tcMar>
            <w:vAlign w:val="center"/>
          </w:tcPr>
          <w:p>
            <w:pPr>
              <w:pStyle w:val="TableText"/>
              <w:spacing w:after="0"/>
            </w:pPr>
            <w:r>
              <w:rPr>
                <w:rFonts w:ascii="Calibri" w:hAnsi="Calibri" w:eastAsia="Calibri"/>
                <w:color w:val="202124"/>
                <w:sz w:val="16"/>
              </w:rPr>
              <w:t>1.7%</w:t>
            </w:r>
          </w:p>
        </w:tc>
        <w:tc>
          <w:tcPr>
            <w:tcW w:type="dxa" w:w="1350"/>
            <w:tcMar>
              <w:top w:w="80" w:type="dxa"/>
              <w:start w:w="120" w:type="dxa"/>
              <w:bottom w:w="80" w:type="dxa"/>
              <w:end w:w="120" w:type="dxa"/>
            </w:tcMar>
            <w:vAlign w:val="center"/>
          </w:tcPr>
          <w:p>
            <w:pPr>
              <w:pStyle w:val="TableText"/>
              <w:spacing w:after="0"/>
            </w:pPr>
            <w:r>
              <w:rPr>
                <w:rFonts w:ascii="Calibri" w:hAnsi="Calibri" w:eastAsia="Calibri"/>
                <w:color w:val="202124"/>
                <w:sz w:val="16"/>
              </w:rPr>
              <w:t>0.420 nC</w:t>
            </w:r>
          </w:p>
        </w:tc>
        <w:tc>
          <w:tcPr>
            <w:tcW w:type="dxa" w:w="1570"/>
            <w:tcMar>
              <w:top w:w="80" w:type="dxa"/>
              <w:start w:w="120" w:type="dxa"/>
              <w:bottom w:w="80" w:type="dxa"/>
              <w:end w:w="120" w:type="dxa"/>
            </w:tcMar>
            <w:vAlign w:val="center"/>
          </w:tcPr>
          <w:p>
            <w:pPr>
              <w:pStyle w:val="TableText"/>
              <w:spacing w:after="0"/>
            </w:pPr>
            <w:r>
              <w:rPr>
                <w:rFonts w:ascii="Calibri" w:hAnsi="Calibri" w:eastAsia="Calibri"/>
                <w:color w:val="202124"/>
                <w:sz w:val="16"/>
              </w:rPr>
              <w:t>20.3%</w:t>
            </w:r>
          </w:p>
        </w:tc>
        <w:tc>
          <w:tcPr>
            <w:tcW w:type="dxa" w:w="1680"/>
            <w:tcMar>
              <w:top w:w="80" w:type="dxa"/>
              <w:start w:w="120" w:type="dxa"/>
              <w:bottom w:w="80" w:type="dxa"/>
              <w:end w:w="120" w:type="dxa"/>
            </w:tcMar>
            <w:vAlign w:val="center"/>
          </w:tcPr>
          <w:p>
            <w:pPr>
              <w:pStyle w:val="TableText"/>
              <w:spacing w:after="0"/>
            </w:pPr>
            <w:r>
              <w:rPr>
                <w:rFonts w:ascii="Calibri" w:hAnsi="Calibri" w:eastAsia="Calibri"/>
                <w:color w:val="202124"/>
                <w:sz w:val="16"/>
              </w:rPr>
              <w:t>87.4 MeV</w:t>
            </w:r>
          </w:p>
        </w:tc>
      </w:tr>
      <w:tr>
        <w:trPr>
          <w:cantSplit/>
        </w:trPr>
        <w:tc>
          <w:tcPr>
            <w:tcW w:type="dxa" w:w="2200"/>
            <w:tcMar>
              <w:top w:w="80" w:type="dxa"/>
              <w:start w:w="120" w:type="dxa"/>
              <w:bottom w:w="80" w:type="dxa"/>
              <w:end w:w="120" w:type="dxa"/>
            </w:tcMar>
            <w:vAlign w:val="center"/>
          </w:tcPr>
          <w:p>
            <w:pPr>
              <w:pStyle w:val="TableText"/>
              <w:spacing w:after="0"/>
            </w:pPr>
            <w:r>
              <w:rPr>
                <w:rFonts w:ascii="Calibri" w:hAnsi="Calibri" w:eastAsia="Calibri"/>
                <w:color w:val="202124"/>
                <w:sz w:val="16"/>
              </w:rPr>
              <w:t>Hamamatsu S13360-6025CS</w:t>
            </w:r>
          </w:p>
        </w:tc>
        <w:tc>
          <w:tcPr>
            <w:tcW w:type="dxa" w:w="1280"/>
            <w:tcMar>
              <w:top w:w="80" w:type="dxa"/>
              <w:start w:w="120" w:type="dxa"/>
              <w:bottom w:w="80" w:type="dxa"/>
              <w:end w:w="120" w:type="dxa"/>
            </w:tcMar>
            <w:vAlign w:val="center"/>
          </w:tcPr>
          <w:p>
            <w:pPr>
              <w:pStyle w:val="TableText"/>
              <w:spacing w:after="0"/>
            </w:pPr>
            <w:r>
              <w:rPr>
                <w:rFonts w:ascii="Calibri" w:hAnsi="Calibri" w:eastAsia="Calibri"/>
                <w:color w:val="202124"/>
                <w:sz w:val="16"/>
              </w:rPr>
              <w:t>0.6%</w:t>
            </w:r>
          </w:p>
        </w:tc>
        <w:tc>
          <w:tcPr>
            <w:tcW w:type="dxa" w:w="1280"/>
            <w:tcMar>
              <w:top w:w="80" w:type="dxa"/>
              <w:start w:w="120" w:type="dxa"/>
              <w:bottom w:w="80" w:type="dxa"/>
              <w:end w:w="120" w:type="dxa"/>
            </w:tcMar>
            <w:vAlign w:val="center"/>
          </w:tcPr>
          <w:p>
            <w:pPr>
              <w:pStyle w:val="TableText"/>
              <w:spacing w:after="0"/>
            </w:pPr>
            <w:r>
              <w:rPr>
                <w:rFonts w:ascii="Calibri" w:hAnsi="Calibri" w:eastAsia="Calibri"/>
                <w:color w:val="202124"/>
                <w:sz w:val="16"/>
              </w:rPr>
              <w:t>1.5%</w:t>
            </w:r>
          </w:p>
        </w:tc>
        <w:tc>
          <w:tcPr>
            <w:tcW w:type="dxa" w:w="1350"/>
            <w:tcMar>
              <w:top w:w="80" w:type="dxa"/>
              <w:start w:w="120" w:type="dxa"/>
              <w:bottom w:w="80" w:type="dxa"/>
              <w:end w:w="120" w:type="dxa"/>
            </w:tcMar>
            <w:vAlign w:val="center"/>
          </w:tcPr>
          <w:p>
            <w:pPr>
              <w:pStyle w:val="TableText"/>
              <w:spacing w:after="0"/>
            </w:pPr>
            <w:r>
              <w:rPr>
                <w:rFonts w:ascii="Calibri" w:hAnsi="Calibri" w:eastAsia="Calibri"/>
                <w:color w:val="202124"/>
                <w:sz w:val="16"/>
              </w:rPr>
              <w:t>0.192 nC</w:t>
            </w:r>
          </w:p>
        </w:tc>
        <w:tc>
          <w:tcPr>
            <w:tcW w:type="dxa" w:w="1570"/>
            <w:tcMar>
              <w:top w:w="80" w:type="dxa"/>
              <w:start w:w="120" w:type="dxa"/>
              <w:bottom w:w="80" w:type="dxa"/>
              <w:end w:w="120" w:type="dxa"/>
            </w:tcMar>
            <w:vAlign w:val="center"/>
          </w:tcPr>
          <w:p>
            <w:pPr>
              <w:pStyle w:val="TableText"/>
              <w:spacing w:after="0"/>
            </w:pPr>
            <w:r>
              <w:rPr>
                <w:rFonts w:ascii="Calibri" w:hAnsi="Calibri" w:eastAsia="Calibri"/>
                <w:color w:val="202124"/>
                <w:sz w:val="16"/>
              </w:rPr>
              <w:t>18.3%</w:t>
            </w:r>
          </w:p>
        </w:tc>
        <w:tc>
          <w:tcPr>
            <w:tcW w:type="dxa" w:w="1680"/>
            <w:tcMar>
              <w:top w:w="80" w:type="dxa"/>
              <w:start w:w="120" w:type="dxa"/>
              <w:bottom w:w="80" w:type="dxa"/>
              <w:end w:w="120" w:type="dxa"/>
            </w:tcMar>
            <w:vAlign w:val="center"/>
          </w:tcPr>
          <w:p>
            <w:pPr>
              <w:pStyle w:val="TableText"/>
              <w:spacing w:after="0"/>
            </w:pPr>
            <w:r>
              <w:rPr>
                <w:rFonts w:ascii="Calibri" w:hAnsi="Calibri" w:eastAsia="Calibri"/>
                <w:color w:val="202124"/>
                <w:sz w:val="16"/>
              </w:rPr>
              <w:t>98.9 MeV</w:t>
            </w:r>
          </w:p>
        </w:tc>
      </w:tr>
      <w:tr>
        <w:trPr>
          <w:cantSplit/>
        </w:trPr>
        <w:tc>
          <w:tcPr>
            <w:tcW w:type="dxa" w:w="2200"/>
            <w:tcMar>
              <w:top w:w="80" w:type="dxa"/>
              <w:start w:w="120" w:type="dxa"/>
              <w:bottom w:w="80" w:type="dxa"/>
              <w:end w:w="120" w:type="dxa"/>
            </w:tcMar>
            <w:vAlign w:val="center"/>
          </w:tcPr>
          <w:p>
            <w:pPr>
              <w:pStyle w:val="TableText"/>
              <w:spacing w:after="0"/>
            </w:pPr>
            <w:r>
              <w:rPr>
                <w:rFonts w:ascii="Calibri" w:hAnsi="Calibri" w:eastAsia="Calibri"/>
                <w:color w:val="202124"/>
                <w:sz w:val="16"/>
              </w:rPr>
              <w:t>Ray-Quant JSP-TP6050</w:t>
            </w:r>
          </w:p>
        </w:tc>
        <w:tc>
          <w:tcPr>
            <w:tcW w:type="dxa" w:w="1280"/>
            <w:tcMar>
              <w:top w:w="80" w:type="dxa"/>
              <w:start w:w="120" w:type="dxa"/>
              <w:bottom w:w="80" w:type="dxa"/>
              <w:end w:w="120" w:type="dxa"/>
            </w:tcMar>
            <w:vAlign w:val="center"/>
          </w:tcPr>
          <w:p>
            <w:pPr>
              <w:pStyle w:val="TableText"/>
              <w:spacing w:after="0"/>
            </w:pPr>
            <w:r>
              <w:rPr>
                <w:rFonts w:ascii="Calibri" w:hAnsi="Calibri" w:eastAsia="Calibri"/>
                <w:color w:val="202124"/>
                <w:sz w:val="16"/>
              </w:rPr>
              <w:t>3.4%</w:t>
            </w:r>
          </w:p>
        </w:tc>
        <w:tc>
          <w:tcPr>
            <w:tcW w:type="dxa" w:w="1280"/>
            <w:tcMar>
              <w:top w:w="80" w:type="dxa"/>
              <w:start w:w="120" w:type="dxa"/>
              <w:bottom w:w="80" w:type="dxa"/>
              <w:end w:w="120" w:type="dxa"/>
            </w:tcMar>
            <w:vAlign w:val="center"/>
          </w:tcPr>
          <w:p>
            <w:pPr>
              <w:pStyle w:val="TableText"/>
              <w:spacing w:after="0"/>
            </w:pPr>
            <w:r>
              <w:rPr>
                <w:rFonts w:ascii="Calibri" w:hAnsi="Calibri" w:eastAsia="Calibri"/>
                <w:color w:val="202124"/>
                <w:sz w:val="16"/>
              </w:rPr>
              <w:t>8.3%</w:t>
            </w:r>
          </w:p>
        </w:tc>
        <w:tc>
          <w:tcPr>
            <w:tcW w:type="dxa" w:w="1350"/>
            <w:tcMar>
              <w:top w:w="80" w:type="dxa"/>
              <w:start w:w="120" w:type="dxa"/>
              <w:bottom w:w="80" w:type="dxa"/>
              <w:end w:w="120" w:type="dxa"/>
            </w:tcMar>
            <w:vAlign w:val="center"/>
          </w:tcPr>
          <w:p>
            <w:pPr>
              <w:pStyle w:val="TableText"/>
              <w:spacing w:after="0"/>
            </w:pPr>
            <w:r>
              <w:rPr>
                <w:rFonts w:ascii="Calibri" w:hAnsi="Calibri" w:eastAsia="Calibri"/>
                <w:color w:val="202124"/>
                <w:sz w:val="16"/>
              </w:rPr>
              <w:t>0.752 nC</w:t>
            </w:r>
          </w:p>
        </w:tc>
        <w:tc>
          <w:tcPr>
            <w:tcW w:type="dxa" w:w="1570"/>
            <w:tcMar>
              <w:top w:w="80" w:type="dxa"/>
              <w:start w:w="120" w:type="dxa"/>
              <w:bottom w:w="80" w:type="dxa"/>
              <w:end w:w="120" w:type="dxa"/>
            </w:tcMar>
            <w:vAlign w:val="center"/>
          </w:tcPr>
          <w:p>
            <w:pPr>
              <w:pStyle w:val="TableText"/>
              <w:spacing w:after="0"/>
            </w:pPr>
            <w:r>
              <w:rPr>
                <w:rFonts w:ascii="Calibri" w:hAnsi="Calibri" w:eastAsia="Calibri"/>
                <w:color w:val="202124"/>
                <w:sz w:val="16"/>
              </w:rPr>
              <w:t>62.5%</w:t>
            </w:r>
          </w:p>
        </w:tc>
        <w:tc>
          <w:tcPr>
            <w:tcW w:type="dxa" w:w="1680"/>
            <w:tcMar>
              <w:top w:w="80" w:type="dxa"/>
              <w:start w:w="120" w:type="dxa"/>
              <w:bottom w:w="80" w:type="dxa"/>
              <w:end w:w="120" w:type="dxa"/>
            </w:tcMar>
            <w:vAlign w:val="center"/>
          </w:tcPr>
          <w:p>
            <w:pPr>
              <w:pStyle w:val="TableText"/>
              <w:spacing w:after="0"/>
            </w:pPr>
            <w:r>
              <w:rPr>
                <w:rFonts w:ascii="Calibri" w:hAnsi="Calibri" w:eastAsia="Calibri"/>
                <w:color w:val="202124"/>
                <w:sz w:val="16"/>
              </w:rPr>
              <w:t>17.0 MeV</w:t>
            </w:r>
          </w:p>
        </w:tc>
      </w:tr>
    </w:tbl>
    <w:tbl>
      <w:tblPr>
        <w:tblStyle w:val="TableGrid"/>
        <w:tblW w:type="dxa" w:w="9360"/>
        <w:jc w:val="center"/>
        <w:tblLayout w:type="fixed"/>
        <w:tblLook w:firstColumn="1" w:firstRow="1" w:lastColumn="0" w:lastRow="0" w:noHBand="0" w:noVBand="1" w:val="04A0"/>
        <w:tblInd w:w="120" w:type="dxa"/>
        <w:tblBorders>
          <w:top w:val="single" w:sz="6" w:space="0" w:color="E8F3EC"/>
          <w:left w:val="single" w:sz="6" w:space="0" w:color="E8F3EC"/>
          <w:bottom w:val="single" w:sz="6" w:space="0" w:color="E8F3EC"/>
          <w:right w:val="single" w:sz="6" w:space="0" w:color="E8F3EC"/>
          <w:insideH w:val="single" w:sz="6" w:space="0" w:color="E8F3EC"/>
          <w:insideV w:val="single" w:sz="6" w:space="0" w:color="E8F3EC"/>
        </w:tblBorders>
      </w:tblPr>
      <w:tblGrid>
        <w:gridCol w:w="9360"/>
      </w:tblGrid>
      <w:tr>
        <w:trPr>
          <w:cantSplit/>
        </w:trPr>
        <w:tc>
          <w:tcPr>
            <w:tcW w:type="dxa" w:w="9360"/>
            <w:tcMar>
              <w:top w:w="80" w:type="dxa"/>
              <w:start w:w="120" w:type="dxa"/>
              <w:bottom w:w="80" w:type="dxa"/>
              <w:end w:w="120" w:type="dxa"/>
            </w:tcMar>
            <w:vAlign w:val="center"/>
            <w:shd w:fill="E8F3EC" w:val="clear"/>
          </w:tcPr>
          <w:p>
            <w:pPr>
              <w:pStyle w:val="TableText"/>
              <w:spacing w:after="80"/>
            </w:pPr>
            <w:r>
              <w:rPr>
                <w:rFonts w:ascii="Calibri" w:hAnsi="Calibri" w:eastAsia="Calibri"/>
                <w:b/>
                <w:color w:val="1F4D78"/>
                <w:sz w:val="21"/>
              </w:rPr>
              <w:t>Result</w:t>
            </w:r>
          </w:p>
          <w:p>
            <w:pPr>
              <w:pStyle w:val="TableText"/>
              <w:spacing w:after="60"/>
            </w:pPr>
            <w:r>
              <w:rPr>
                <w:rFonts w:ascii="Calibri" w:hAnsi="Calibri" w:eastAsia="Calibri"/>
                <w:sz w:val="19"/>
              </w:rPr>
              <w:t>EQR15 meets the preferred ≤5% microcell-nonlinearity target for all normal d–p events at 2–5% optical collection.</w:t>
            </w:r>
          </w:p>
          <w:p>
            <w:pPr>
              <w:pStyle w:val="TableText"/>
              <w:spacing w:after="60"/>
            </w:pPr>
            <w:r>
              <w:rPr>
                <w:rFonts w:ascii="Calibri" w:hAnsi="Calibri" w:eastAsia="Calibri"/>
                <w:sz w:val="19"/>
              </w:rPr>
              <w:t>At 5% collection the conservative unquenched carbon upper point is about 11.9% nonlinear; Birks quenching will reduce the real occupancy, but carbon calibration is still required.</w:t>
            </w:r>
          </w:p>
          <w:p>
            <w:pPr>
              <w:pStyle w:val="TableText"/>
              <w:spacing w:after="60"/>
            </w:pPr>
            <w:r>
              <w:rPr>
                <w:rFonts w:ascii="Calibri" w:hAnsi="Calibri" w:eastAsia="Calibri"/>
                <w:sz w:val="19"/>
              </w:rPr>
              <w:t>The 5 mm candidate provides substantially more SiPM and electronics headroom than the legacy 10 mm case. The 50 µm Ray-Quant device remains a comparison device because of its smaller microcell population.</w:t>
            </w:r>
          </w:p>
        </w:tc>
      </w:tr>
    </w:tbl>
    <w:p>
      <w:pPr>
        <w:spacing w:after="0"/>
      </w:pPr>
    </w:p>
    <w:p>
      <w:pPr>
        <w:pStyle w:val="Heading2"/>
      </w:pPr>
      <w:r>
        <w:t>Front-end dynamic range and channel architecture</w:t>
      </w:r>
    </w:p>
    <w:p>
      <w:pPr>
        <w:keepLines/>
      </w:pPr>
      <w:r>
        <w:rPr>
          <w:rFonts w:ascii="Calibri" w:hAnsi="Calibri" w:eastAsia="Calibri"/>
        </w:rPr>
        <w:t>At 13.93 MeV and 5% collection, the EQR15 calculation gives about 3106 fired cells and 0.199 nC. A 20 ns effective charge window corresponds to an average current near 10.0 mA and a 50 Ω voltage scale near 0.498 V; the real peak depends strongly on SiPM capacitance, cable, bias tee, termination, and shaping. This estimate is sufficient to show that the front-end must be designed from measured waveforms, not from single-photoelectron gain alone.</w:t>
      </w:r>
    </w:p>
    <w:p>
      <w:pPr>
        <w:numPr>
          <w:ilvl w:val="0"/>
          <w:numId w:val="10"/>
        </w:numPr>
        <w:spacing w:after="160" w:line="280" w:lineRule="auto"/>
        <w:keepLines/>
      </w:pPr>
      <w:r>
        <w:rPr>
          <w:rFonts w:ascii="Calibri" w:hAnsi="Calibri" w:eastAsia="Calibri"/>
        </w:rPr>
        <w:t>Provide a fast timing discriminator path and a lower-gain charge path, or digitize one protected broadband path with two calibrated gain ranges.</w:t>
      </w:r>
    </w:p>
    <w:p>
      <w:pPr>
        <w:numPr>
          <w:ilvl w:val="0"/>
          <w:numId w:val="10"/>
        </w:numPr>
        <w:spacing w:after="160" w:line="280" w:lineRule="auto"/>
        <w:keepLines/>
      </w:pPr>
      <w:r>
        <w:rPr>
          <w:rFonts w:ascii="Calibri" w:hAnsi="Calibri" w:eastAsia="Calibri"/>
        </w:rPr>
        <w:t>Set the low-gain integrated-charge range to at least 1.5 nC for the prototype, then revise it after carbon/quenching measurements. Include headroom for correlated avalanches and channel variation.</w:t>
      </w:r>
    </w:p>
    <w:p>
      <w:pPr>
        <w:numPr>
          <w:ilvl w:val="0"/>
          <w:numId w:val="10"/>
        </w:numPr>
        <w:spacing w:after="160" w:line="280" w:lineRule="auto"/>
        <w:keepLines/>
      </w:pPr>
      <w:r>
        <w:rPr>
          <w:rFonts w:ascii="Calibri" w:hAnsi="Calibri" w:eastAsia="Calibri"/>
        </w:rPr>
        <w:t>Use a programmable, low-noise bias supply with temperature compensation. Record sensor temperature and bias voltage in event or run metadata.</w:t>
      </w:r>
    </w:p>
    <w:p>
      <w:pPr>
        <w:numPr>
          <w:ilvl w:val="0"/>
          <w:numId w:val="10"/>
        </w:numPr>
        <w:spacing w:after="160" w:line="280" w:lineRule="auto"/>
        <w:keepLines/>
      </w:pPr>
      <w:r>
        <w:rPr>
          <w:rFonts w:ascii="Calibri" w:hAnsi="Calibri" w:eastAsia="Calibri"/>
        </w:rPr>
        <w:t>Characterize gain, breakdown voltage, PDE proxy, dark count, optical crosstalk, afterpulsing, and recovery time on a statistically useful sample from every production lot.</w:t>
      </w:r>
    </w:p>
    <w:p>
      <w:pPr>
        <w:numPr>
          <w:ilvl w:val="0"/>
          <w:numId w:val="10"/>
        </w:numPr>
        <w:spacing w:after="160" w:line="280" w:lineRule="auto"/>
        <w:keepLines/>
      </w:pPr>
      <w:r>
        <w:rPr>
          <w:rFonts w:ascii="Calibri" w:hAnsi="Calibri" w:eastAsia="Calibri"/>
        </w:rPr>
        <w:t>Measure linearity with a pulsed blue LED or laser over at least 0.5–200% of the expected normal d–p charge, including a two-pulse recovery scan.</w:t>
      </w:r>
    </w:p>
    <w:p>
      <w:pPr>
        <w:numPr>
          <w:ilvl w:val="0"/>
          <w:numId w:val="10"/>
        </w:numPr>
        <w:spacing w:after="160" w:line="280" w:lineRule="auto"/>
        <w:keepLines/>
      </w:pPr>
      <w:r>
        <w:rPr>
          <w:rFonts w:ascii="Calibri" w:hAnsi="Calibri" w:eastAsia="Calibri"/>
        </w:rPr>
        <w:t>Keep preamplifiers and digitizers outside vacuum. Inside vacuum retain only the SiPM, minimal passive bias components, temperature sensing, vacuum-rated cable, and a cleanable carrier.</w:t>
      </w:r>
    </w:p>
    <w:p>
      <w:pPr>
        <w:pStyle w:val="Heading1"/>
        <w:pageBreakBefore/>
      </w:pPr>
      <w:r>
        <w:t>6. Vacuum electrical services, grounding, and thermal design</w:t>
      </w:r>
    </w:p>
    <w:p>
      <w:pPr>
        <w:keepLines/>
      </w:pPr>
      <w:r>
        <w:rPr>
          <w:rFonts w:ascii="Calibri" w:hAnsi="Calibri" w:eastAsia="Calibri"/>
        </w:rPr>
        <w:t>The recommended service architecture uses one shielded 50 Ω coaxial path per detector. The signal and SiPM bias can share the coax through an external bias tee, avoiding a separate high-voltage pin for every channel. Temperature sensors and any housekeeping lines use a separate low-frequency multipin feedthrough.</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1900"/>
        <w:gridCol w:w="4350"/>
        <w:gridCol w:w="3110"/>
      </w:tblGrid>
      <w:tr>
        <w:trPr>
          <w:cantSplit/>
          <w:tblHeader w:val="true"/>
          <w:cantSplit/>
        </w:trPr>
        <w:tc>
          <w:tcPr>
            <w:tcW w:type="dxa" w:w="19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Service</w:t>
            </w:r>
          </w:p>
        </w:tc>
        <w:tc>
          <w:tcPr>
            <w:tcW w:type="dxa" w:w="435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Recommended implementation</w:t>
            </w:r>
          </w:p>
        </w:tc>
        <w:tc>
          <w:tcPr>
            <w:tcW w:type="dxa" w:w="311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Reason / acceptance item</w:t>
            </w:r>
          </w:p>
        </w:tc>
      </w:tr>
      <w:tr>
        <w:trPr>
          <w:cantSplit/>
        </w:trPr>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12 fast SiPM channels</w:t>
            </w:r>
          </w:p>
        </w:tc>
        <w:tc>
          <w:tcPr>
            <w:tcW w:type="dxa" w:w="4350"/>
            <w:tcMar>
              <w:top w:w="80" w:type="dxa"/>
              <w:start w:w="120" w:type="dxa"/>
              <w:bottom w:w="80" w:type="dxa"/>
              <w:end w:w="120" w:type="dxa"/>
            </w:tcMar>
            <w:vAlign w:val="center"/>
          </w:tcPr>
          <w:p>
            <w:pPr>
              <w:pStyle w:val="TableText"/>
              <w:spacing w:after="0"/>
            </w:pPr>
            <w:r>
              <w:rPr>
                <w:rFonts w:ascii="Calibri" w:hAnsi="Calibri" w:eastAsia="Calibri"/>
                <w:color w:val="202124"/>
                <w:sz w:val="16"/>
              </w:rPr>
              <w:t>Three CF40 flanges, each with four 50 Ω double-ended SMA feedthroughs; or equivalent qualified custom service plate</w:t>
            </w:r>
          </w:p>
        </w:tc>
        <w:tc>
          <w:tcPr>
            <w:tcW w:type="dxa" w:w="3110"/>
            <w:tcMar>
              <w:top w:w="80" w:type="dxa"/>
              <w:start w:w="120" w:type="dxa"/>
              <w:bottom w:w="80" w:type="dxa"/>
              <w:end w:w="120" w:type="dxa"/>
            </w:tcMar>
            <w:vAlign w:val="center"/>
          </w:tcPr>
          <w:p>
            <w:pPr>
              <w:pStyle w:val="TableText"/>
              <w:spacing w:after="0"/>
            </w:pPr>
            <w:r>
              <w:rPr>
                <w:rFonts w:ascii="Calibri" w:hAnsi="Calibri" w:eastAsia="Calibri"/>
                <w:color w:val="202124"/>
                <w:sz w:val="16"/>
              </w:rPr>
              <w:t>Shielding, impedance control, replaceability, and commercially specified leak performance</w:t>
            </w:r>
          </w:p>
        </w:tc>
      </w:tr>
      <w:tr>
        <w:trPr>
          <w:cantSplit/>
        </w:trPr>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Bias</w:t>
            </w:r>
          </w:p>
        </w:tc>
        <w:tc>
          <w:tcPr>
            <w:tcW w:type="dxa" w:w="4350"/>
            <w:tcMar>
              <w:top w:w="80" w:type="dxa"/>
              <w:start w:w="120" w:type="dxa"/>
              <w:bottom w:w="80" w:type="dxa"/>
              <w:end w:w="120" w:type="dxa"/>
            </w:tcMar>
            <w:vAlign w:val="center"/>
          </w:tcPr>
          <w:p>
            <w:pPr>
              <w:pStyle w:val="TableText"/>
              <w:spacing w:after="0"/>
            </w:pPr>
            <w:r>
              <w:rPr>
                <w:rFonts w:ascii="Calibri" w:hAnsi="Calibri" w:eastAsia="Calibri"/>
                <w:color w:val="202124"/>
                <w:sz w:val="16"/>
              </w:rPr>
              <w:t>External low-noise supply and bias tee on each coax channel</w:t>
            </w:r>
          </w:p>
        </w:tc>
        <w:tc>
          <w:tcPr>
            <w:tcW w:type="dxa" w:w="3110"/>
            <w:tcMar>
              <w:top w:w="80" w:type="dxa"/>
              <w:start w:w="120" w:type="dxa"/>
              <w:bottom w:w="80" w:type="dxa"/>
              <w:end w:w="120" w:type="dxa"/>
            </w:tcMar>
            <w:vAlign w:val="center"/>
          </w:tcPr>
          <w:p>
            <w:pPr>
              <w:pStyle w:val="TableText"/>
              <w:spacing w:after="0"/>
            </w:pPr>
            <w:r>
              <w:rPr>
                <w:rFonts w:ascii="Calibri" w:hAnsi="Calibri" w:eastAsia="Calibri"/>
                <w:color w:val="202124"/>
                <w:sz w:val="16"/>
              </w:rPr>
              <w:t>Minimizes vacuum conductors and lets electronics remain accessible</w:t>
            </w:r>
          </w:p>
        </w:tc>
      </w:tr>
      <w:tr>
        <w:trPr>
          <w:cantSplit/>
        </w:trPr>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Temperature</w:t>
            </w:r>
          </w:p>
        </w:tc>
        <w:tc>
          <w:tcPr>
            <w:tcW w:type="dxa" w:w="4350"/>
            <w:tcMar>
              <w:top w:w="80" w:type="dxa"/>
              <w:start w:w="120" w:type="dxa"/>
              <w:bottom w:w="80" w:type="dxa"/>
              <w:end w:w="120" w:type="dxa"/>
            </w:tcMar>
            <w:vAlign w:val="center"/>
          </w:tcPr>
          <w:p>
            <w:pPr>
              <w:pStyle w:val="TableText"/>
              <w:spacing w:after="0"/>
            </w:pPr>
            <w:r>
              <w:rPr>
                <w:rFonts w:ascii="Calibri" w:hAnsi="Calibri" w:eastAsia="Calibri"/>
                <w:color w:val="202124"/>
                <w:sz w:val="16"/>
              </w:rPr>
              <w:t>One sensor per cassette or thermally common group through a multipin CF feedthrough</w:t>
            </w:r>
          </w:p>
        </w:tc>
        <w:tc>
          <w:tcPr>
            <w:tcW w:type="dxa" w:w="3110"/>
            <w:tcMar>
              <w:top w:w="80" w:type="dxa"/>
              <w:start w:w="120" w:type="dxa"/>
              <w:bottom w:w="80" w:type="dxa"/>
              <w:end w:w="120" w:type="dxa"/>
            </w:tcMar>
            <w:vAlign w:val="center"/>
          </w:tcPr>
          <w:p>
            <w:pPr>
              <w:pStyle w:val="TableText"/>
              <w:spacing w:after="0"/>
            </w:pPr>
            <w:r>
              <w:rPr>
                <w:rFonts w:ascii="Calibri" w:hAnsi="Calibri" w:eastAsia="Calibri"/>
                <w:color w:val="202124"/>
                <w:sz w:val="16"/>
              </w:rPr>
              <w:t>Required for gain correction and thermal qualification</w:t>
            </w:r>
          </w:p>
        </w:tc>
      </w:tr>
      <w:tr>
        <w:trPr>
          <w:cantSplit/>
        </w:trPr>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Vacuum-side cable</w:t>
            </w:r>
          </w:p>
        </w:tc>
        <w:tc>
          <w:tcPr>
            <w:tcW w:type="dxa" w:w="4350"/>
            <w:tcMar>
              <w:top w:w="80" w:type="dxa"/>
              <w:start w:w="120" w:type="dxa"/>
              <w:bottom w:w="80" w:type="dxa"/>
              <w:end w:w="120" w:type="dxa"/>
            </w:tcMar>
            <w:vAlign w:val="center"/>
          </w:tcPr>
          <w:p>
            <w:pPr>
              <w:pStyle w:val="TableText"/>
              <w:spacing w:after="0"/>
            </w:pPr>
            <w:r>
              <w:rPr>
                <w:rFonts w:ascii="Calibri" w:hAnsi="Calibri" w:eastAsia="Calibri"/>
                <w:color w:val="202124"/>
                <w:sz w:val="16"/>
              </w:rPr>
              <w:t>Short qualified Kapton or PTFE 50 Ω cable with strain relief</w:t>
            </w:r>
          </w:p>
        </w:tc>
        <w:tc>
          <w:tcPr>
            <w:tcW w:type="dxa" w:w="3110"/>
            <w:tcMar>
              <w:top w:w="80" w:type="dxa"/>
              <w:start w:w="120" w:type="dxa"/>
              <w:bottom w:w="80" w:type="dxa"/>
              <w:end w:w="120" w:type="dxa"/>
            </w:tcMar>
            <w:vAlign w:val="center"/>
          </w:tcPr>
          <w:p>
            <w:pPr>
              <w:pStyle w:val="TableText"/>
              <w:spacing w:after="0"/>
            </w:pPr>
            <w:r>
              <w:rPr>
                <w:rFonts w:ascii="Calibri" w:hAnsi="Calibri" w:eastAsia="Calibri"/>
                <w:color w:val="202124"/>
                <w:sz w:val="16"/>
              </w:rPr>
              <w:t>Cable type, bake temperature, capacitance, connector retention, and outgassing to be documented</w:t>
            </w:r>
          </w:p>
        </w:tc>
      </w:tr>
      <w:tr>
        <w:trPr>
          <w:cantSplit/>
        </w:trPr>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Ground</w:t>
            </w:r>
          </w:p>
        </w:tc>
        <w:tc>
          <w:tcPr>
            <w:tcW w:type="dxa" w:w="4350"/>
            <w:tcMar>
              <w:top w:w="80" w:type="dxa"/>
              <w:start w:w="120" w:type="dxa"/>
              <w:bottom w:w="80" w:type="dxa"/>
              <w:end w:w="120" w:type="dxa"/>
            </w:tcMar>
            <w:vAlign w:val="center"/>
          </w:tcPr>
          <w:p>
            <w:pPr>
              <w:pStyle w:val="TableText"/>
              <w:spacing w:after="0"/>
            </w:pPr>
            <w:r>
              <w:rPr>
                <w:rFonts w:ascii="Calibri" w:hAnsi="Calibri" w:eastAsia="Calibri"/>
                <w:color w:val="202124"/>
                <w:sz w:val="16"/>
              </w:rPr>
              <w:t>Single defined chamber/reference ground; avoid parallel shield-return paths</w:t>
            </w:r>
          </w:p>
        </w:tc>
        <w:tc>
          <w:tcPr>
            <w:tcW w:type="dxa" w:w="3110"/>
            <w:tcMar>
              <w:top w:w="80" w:type="dxa"/>
              <w:start w:w="120" w:type="dxa"/>
              <w:bottom w:w="80" w:type="dxa"/>
              <w:end w:w="120" w:type="dxa"/>
            </w:tcMar>
            <w:vAlign w:val="center"/>
          </w:tcPr>
          <w:p>
            <w:pPr>
              <w:pStyle w:val="TableText"/>
              <w:spacing w:after="0"/>
            </w:pPr>
            <w:r>
              <w:rPr>
                <w:rFonts w:ascii="Calibri" w:hAnsi="Calibri" w:eastAsia="Calibri"/>
                <w:color w:val="202124"/>
                <w:sz w:val="16"/>
              </w:rPr>
              <w:t>Verify noise and common-mode behavior with pumps and motors operating</w:t>
            </w:r>
          </w:p>
        </w:tc>
      </w:tr>
      <w:tr>
        <w:trPr>
          <w:cantSplit/>
        </w:trPr>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Rotary motor/encoder</w:t>
            </w:r>
          </w:p>
        </w:tc>
        <w:tc>
          <w:tcPr>
            <w:tcW w:type="dxa" w:w="4350"/>
            <w:tcMar>
              <w:top w:w="80" w:type="dxa"/>
              <w:start w:w="120" w:type="dxa"/>
              <w:bottom w:w="80" w:type="dxa"/>
              <w:end w:w="120" w:type="dxa"/>
            </w:tcMar>
            <w:vAlign w:val="center"/>
          </w:tcPr>
          <w:p>
            <w:pPr>
              <w:pStyle w:val="TableText"/>
              <w:spacing w:after="0"/>
            </w:pPr>
            <w:r>
              <w:rPr>
                <w:rFonts w:ascii="Calibri" w:hAnsi="Calibri" w:eastAsia="Calibri"/>
                <w:color w:val="202124"/>
                <w:sz w:val="16"/>
              </w:rPr>
              <w:t>Separate filtered service path and physical cable separation</w:t>
            </w:r>
          </w:p>
        </w:tc>
        <w:tc>
          <w:tcPr>
            <w:tcW w:type="dxa" w:w="3110"/>
            <w:tcMar>
              <w:top w:w="80" w:type="dxa"/>
              <w:start w:w="120" w:type="dxa"/>
              <w:bottom w:w="80" w:type="dxa"/>
              <w:end w:w="120" w:type="dxa"/>
            </w:tcMar>
            <w:vAlign w:val="center"/>
          </w:tcPr>
          <w:p>
            <w:pPr>
              <w:pStyle w:val="TableText"/>
              <w:spacing w:after="0"/>
            </w:pPr>
            <w:r>
              <w:rPr>
                <w:rFonts w:ascii="Calibri" w:hAnsi="Calibri" w:eastAsia="Calibri"/>
                <w:color w:val="202124"/>
                <w:sz w:val="16"/>
              </w:rPr>
              <w:t>Prevent switching noise from coupling into SiPM channels</w:t>
            </w:r>
          </w:p>
        </w:tc>
      </w:tr>
    </w:tbl>
    <w:p>
      <w:pPr>
        <w:keepLines/>
      </w:pPr>
      <w:r>
        <w:rPr>
          <w:rFonts w:ascii="Calibri" w:hAnsi="Calibri" w:eastAsia="Calibri"/>
        </w:rPr>
        <w:t>Beijing Feedivac publicly lists 50 Ω SMA50/SMAD50 feedthroughs up to 6.5 GHz, one channel on CF16 or up to four channels on CF40, with stated helium leak rate below 1 × 10⁻¹² Pa·m³/s and ultimate vacuum below 1 × 10⁻¹⁰ mbar. These published values make the product family a strong domestic RFQ candidate, but the exact flange, connector gender, cable assembly, bake history, and acceptance certificate must be specified in the purchase order.</w:t>
      </w:r>
    </w:p>
    <w:p>
      <w:pPr>
        <w:pStyle w:val="Heading2"/>
      </w:pPr>
      <w:r>
        <w:t>Thermal limits</w:t>
      </w:r>
    </w:p>
    <w:p>
      <w:pPr>
        <w:numPr>
          <w:ilvl w:val="0"/>
          <w:numId w:val="10"/>
        </w:numPr>
        <w:spacing w:after="160" w:line="280" w:lineRule="auto"/>
        <w:keepLines/>
      </w:pPr>
      <w:r>
        <w:rPr>
          <w:rFonts w:ascii="Calibri" w:hAnsi="Calibri" w:eastAsia="Calibri"/>
        </w:rPr>
        <w:t>Do not treat the vacuum as a heat sink. Provide a conductive path from each SiPM/board to the chamber and calculate the steady-state temperature at operating bias and worst dark current.</w:t>
      </w:r>
    </w:p>
    <w:p>
      <w:pPr>
        <w:numPr>
          <w:ilvl w:val="0"/>
          <w:numId w:val="10"/>
        </w:numPr>
        <w:spacing w:after="160" w:line="280" w:lineRule="auto"/>
        <w:keepLines/>
      </w:pPr>
      <w:r>
        <w:rPr>
          <w:rFonts w:ascii="Calibri" w:hAnsi="Calibri" w:eastAsia="Calibri"/>
        </w:rPr>
        <w:t>Keep the scintillator below its softening and optical-aging limits. The EJ-200 reference has a 75°C softening point and a recommended range up to 60°C; the domestic material must provide its own limit.</w:t>
      </w:r>
    </w:p>
    <w:p>
      <w:pPr>
        <w:numPr>
          <w:ilvl w:val="0"/>
          <w:numId w:val="10"/>
        </w:numPr>
        <w:spacing w:after="160" w:line="280" w:lineRule="auto"/>
        <w:keepLines/>
      </w:pPr>
      <w:r>
        <w:rPr>
          <w:rFonts w:ascii="Calibri" w:hAnsi="Calibri" w:eastAsia="Calibri"/>
        </w:rPr>
        <w:t>Set bake temperature from the least tolerant qualified internal component. A high-temperature stainless chamber does not make the installed detector cassette bakeable at the same temperature.</w:t>
      </w:r>
    </w:p>
    <w:p>
      <w:pPr>
        <w:numPr>
          <w:ilvl w:val="0"/>
          <w:numId w:val="10"/>
        </w:numPr>
        <w:spacing w:after="160" w:line="280" w:lineRule="auto"/>
        <w:keepLines/>
      </w:pPr>
      <w:r>
        <w:rPr>
          <w:rFonts w:ascii="Calibri" w:hAnsi="Calibri" w:eastAsia="Calibri"/>
        </w:rPr>
        <w:t>Run a vacuum thermal cycle with SiPM gain and dark count monitored before authorizing production.</w:t>
      </w:r>
    </w:p>
    <w:p>
      <w:pPr>
        <w:pStyle w:val="Heading1"/>
      </w:pPr>
      <w:r>
        <w:t>7. Chamber, ICF interfaces, and rotary feedthrough</w:t>
      </w:r>
    </w:p>
    <w:p>
      <w:pPr>
        <w:pStyle w:val="Heading2"/>
      </w:pPr>
      <w:r>
        <w:t>Cylinder versus square chamber</w:t>
      </w:r>
    </w:p>
    <w:p>
      <w:pPr>
        <w:keepLines/>
      </w:pPr>
      <w:r>
        <w:rPr>
          <w:rFonts w:ascii="Calibri" w:hAnsi="Calibri" w:eastAsia="Calibri"/>
        </w:rPr>
        <w:t>A cylindrical shell is not incompatible with ICF ports or electrical feedthroughs. Radial ports are normally integrated through welded nozzles or formed bosses. The drawback is manufacturing and metrology: each saddle/nozzle weld needs a controlled angular datum, access can be poor, and many ports around the circumference increase distortion and routing complexity. A square box provides flat mounting faces but is heavier and less efficient under external pressure.</w:t>
      </w:r>
    </w:p>
    <w:tbl>
      <w:tblPr>
        <w:tblStyle w:val="TableGrid"/>
        <w:tblW w:type="dxa" w:w="9360"/>
        <w:jc w:val="center"/>
        <w:tblLayout w:type="fixed"/>
        <w:tblLook w:firstColumn="1" w:firstRow="1" w:lastColumn="0" w:lastRow="0" w:noHBand="0" w:noVBand="1" w:val="04A0"/>
        <w:tblInd w:w="120" w:type="dxa"/>
        <w:tblBorders>
          <w:top w:val="single" w:sz="6" w:space="0" w:color="EAF2F8"/>
          <w:left w:val="single" w:sz="6" w:space="0" w:color="EAF2F8"/>
          <w:bottom w:val="single" w:sz="6" w:space="0" w:color="EAF2F8"/>
          <w:right w:val="single" w:sz="6" w:space="0" w:color="EAF2F8"/>
          <w:insideH w:val="single" w:sz="6" w:space="0" w:color="EAF2F8"/>
          <w:insideV w:val="single" w:sz="6" w:space="0" w:color="EAF2F8"/>
        </w:tblBorders>
      </w:tblPr>
      <w:tblGrid>
        <w:gridCol w:w="9360"/>
      </w:tblGrid>
      <w:tr>
        <w:trPr>
          <w:cantSplit/>
        </w:trPr>
        <w:tc>
          <w:tcPr>
            <w:tcW w:type="dxa" w:w="9360"/>
            <w:tcMar>
              <w:top w:w="80" w:type="dxa"/>
              <w:start w:w="120" w:type="dxa"/>
              <w:bottom w:w="80" w:type="dxa"/>
              <w:end w:w="120" w:type="dxa"/>
            </w:tcMar>
            <w:vAlign w:val="center"/>
            <w:shd w:fill="EAF2F8" w:val="clear"/>
          </w:tcPr>
          <w:p>
            <w:pPr>
              <w:pStyle w:val="TableText"/>
              <w:spacing w:after="80"/>
            </w:pPr>
            <w:r>
              <w:rPr>
                <w:rFonts w:ascii="Calibri" w:hAnsi="Calibri" w:eastAsia="Calibri"/>
                <w:b/>
                <w:color w:val="1F4D78"/>
                <w:sz w:val="21"/>
              </w:rPr>
              <w:t>Preferred mechanical architecture</w:t>
            </w:r>
          </w:p>
          <w:p>
            <w:pPr>
              <w:pStyle w:val="TableText"/>
              <w:spacing w:after="60"/>
            </w:pPr>
            <w:r>
              <w:rPr>
                <w:rFonts w:ascii="Calibri" w:hAnsi="Calibri" w:eastAsia="Calibri"/>
                <w:sz w:val="19"/>
              </w:rPr>
              <w:t>Use a short cylindrical pressure shell for vacuum efficiency and lower mass.</w:t>
            </w:r>
          </w:p>
          <w:p>
            <w:pPr>
              <w:pStyle w:val="TableText"/>
              <w:spacing w:after="60"/>
            </w:pPr>
            <w:r>
              <w:rPr>
                <w:rFonts w:ascii="Calibri" w:hAnsi="Calibri" w:eastAsia="Calibri"/>
                <w:sz w:val="19"/>
              </w:rPr>
              <w:t>Use one removable flat service plate, or an internal faceted detector cartridge with a flat external service manifold, for detector mounting, coax feedthrough grouping, survey datums, and maintenance.</w:t>
            </w:r>
          </w:p>
          <w:p>
            <w:pPr>
              <w:pStyle w:val="TableText"/>
              <w:spacing w:after="60"/>
            </w:pPr>
            <w:r>
              <w:rPr>
                <w:rFonts w:ascii="Calibri" w:hAnsi="Calibri" w:eastAsia="Calibri"/>
                <w:sz w:val="19"/>
              </w:rPr>
              <w:t>Use welded short nozzles only for frozen ICF interfaces and approved services. The afterSRC variant has no extra side vacuum ports; keep the four CompactInVacuum detector sectors internal.</w:t>
            </w:r>
          </w:p>
        </w:tc>
      </w:tr>
    </w:tbl>
    <w:p>
      <w:pPr>
        <w:spacing w:after="0"/>
      </w:pPr>
    </w:p>
    <w:p>
      <w:pPr>
        <w:keepLines/>
      </w:pPr>
      <w:r>
        <w:rPr>
          <w:rFonts w:ascii="Calibri" w:hAnsi="Calibri" w:eastAsia="Calibri"/>
        </w:rPr>
        <w:t>An initial 0.8-scale comparison suggests a body near 372 × 372 × 288 mm if a square shell were retained, with approximately 6.59 L of stainless material (roughly 52 kg). A comparable cylindrical concept was estimated near 5.16 L (roughly 41 kg) before ports, flanges, stiffeners, and covers. These are screening estimates only; pressure-vessel mass must come from final geometry and external-pressure FEA.</w:t>
      </w:r>
    </w:p>
    <w:p>
      <w:pPr>
        <w:pStyle w:val="Heading2"/>
      </w:pPr>
      <w:r>
        <w:t>ICF beam-port decision</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1900"/>
        <w:gridCol w:w="1900"/>
        <w:gridCol w:w="3000"/>
        <w:gridCol w:w="2560"/>
      </w:tblGrid>
      <w:tr>
        <w:trPr>
          <w:cantSplit/>
          <w:tblHeader w:val="true"/>
          <w:cantSplit/>
        </w:trPr>
        <w:tc>
          <w:tcPr>
            <w:tcW w:type="dxa" w:w="19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Instrument / item</w:t>
            </w:r>
          </w:p>
        </w:tc>
        <w:tc>
          <w:tcPr>
            <w:tcW w:type="dxa" w:w="19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Fixed interface</w:t>
            </w:r>
          </w:p>
        </w:tc>
        <w:tc>
          <w:tcPr>
            <w:tcW w:type="dxa" w:w="30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Implementation requirement</w:t>
            </w:r>
          </w:p>
        </w:tc>
        <w:tc>
          <w:tcPr>
            <w:tcW w:type="dxa" w:w="256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Acceptance evidence</w:t>
            </w:r>
          </w:p>
        </w:tc>
      </w:tr>
      <w:tr>
        <w:trPr>
          <w:cantSplit/>
        </w:trPr>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afterSRC beamline</w:t>
            </w:r>
          </w:p>
        </w:tc>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Front ICF114; rear ICF114</w:t>
            </w:r>
          </w:p>
        </w:tc>
        <w:tc>
          <w:tcPr>
            <w:tcW w:type="dxa" w:w="3000"/>
            <w:tcMar>
              <w:top w:w="80" w:type="dxa"/>
              <w:start w:w="120" w:type="dxa"/>
              <w:bottom w:w="80" w:type="dxa"/>
              <w:end w:w="120" w:type="dxa"/>
            </w:tcMar>
            <w:vAlign w:val="center"/>
          </w:tcPr>
          <w:p>
            <w:pPr>
              <w:pStyle w:val="TableText"/>
              <w:spacing w:after="0"/>
            </w:pPr>
            <w:r>
              <w:rPr>
                <w:rFonts w:ascii="Calibri" w:hAnsi="Calibri" w:eastAsia="Calibri"/>
                <w:color w:val="202124"/>
                <w:sz w:val="16"/>
              </w:rPr>
              <w:t>Adapters and bellows permitted; external mating faces remain ICF114</w:t>
            </w:r>
          </w:p>
        </w:tc>
        <w:tc>
          <w:tcPr>
            <w:tcW w:type="dxa" w:w="2560"/>
            <w:tcMar>
              <w:top w:w="80" w:type="dxa"/>
              <w:start w:w="120" w:type="dxa"/>
              <w:bottom w:w="80" w:type="dxa"/>
              <w:end w:w="120" w:type="dxa"/>
            </w:tcMar>
            <w:vAlign w:val="center"/>
          </w:tcPr>
          <w:p>
            <w:pPr>
              <w:pStyle w:val="TableText"/>
              <w:spacing w:after="0"/>
            </w:pPr>
            <w:r>
              <w:rPr>
                <w:rFonts w:ascii="Calibri" w:hAnsi="Calibri" w:eastAsia="Calibri"/>
                <w:color w:val="202124"/>
                <w:sz w:val="16"/>
              </w:rPr>
              <w:t>Certified component drawings, incoming inspection, dimensional report, integrated leak test</w:t>
            </w:r>
          </w:p>
        </w:tc>
      </w:tr>
      <w:tr>
        <w:trPr>
          <w:cantSplit/>
        </w:trPr>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afterSRC target motion</w:t>
            </w:r>
          </w:p>
        </w:tc>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Top ICF70 rotary interface</w:t>
            </w:r>
          </w:p>
        </w:tc>
        <w:tc>
          <w:tcPr>
            <w:tcW w:type="dxa" w:w="3000"/>
            <w:tcMar>
              <w:top w:w="80" w:type="dxa"/>
              <w:start w:w="120" w:type="dxa"/>
              <w:bottom w:w="80" w:type="dxa"/>
              <w:end w:w="120" w:type="dxa"/>
            </w:tcMar>
            <w:vAlign w:val="center"/>
          </w:tcPr>
          <w:p>
            <w:pPr>
              <w:pStyle w:val="TableText"/>
              <w:spacing w:after="0"/>
            </w:pPr>
            <w:r>
              <w:rPr>
                <w:rFonts w:ascii="Calibri" w:hAnsi="Calibri" w:eastAsia="Calibri"/>
                <w:color w:val="202124"/>
                <w:sz w:val="16"/>
              </w:rPr>
              <w:t>Purchase the rotary feedthrough through Shanghai PrMat; freeze the exact part and load case</w:t>
            </w:r>
          </w:p>
        </w:tc>
        <w:tc>
          <w:tcPr>
            <w:tcW w:type="dxa" w:w="2560"/>
            <w:tcMar>
              <w:top w:w="80" w:type="dxa"/>
              <w:start w:w="120" w:type="dxa"/>
              <w:bottom w:w="80" w:type="dxa"/>
              <w:end w:w="120" w:type="dxa"/>
            </w:tcMar>
            <w:vAlign w:val="center"/>
          </w:tcPr>
          <w:p>
            <w:pPr>
              <w:pStyle w:val="TableText"/>
              <w:spacing w:after="0"/>
            </w:pPr>
            <w:r>
              <w:rPr>
                <w:rFonts w:ascii="Calibri" w:hAnsi="Calibri" w:eastAsia="Calibri"/>
                <w:color w:val="202124"/>
                <w:sz w:val="16"/>
              </w:rPr>
              <w:t>OEM drawing, torque/backlash/life/bake/leak data, installed acceptance test</w:t>
            </w:r>
          </w:p>
        </w:tc>
      </w:tr>
      <w:tr>
        <w:trPr>
          <w:cantSplit/>
        </w:trPr>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CompactInVacuum beamline</w:t>
            </w:r>
          </w:p>
        </w:tc>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Front ICF114; rear ICF114</w:t>
            </w:r>
          </w:p>
        </w:tc>
        <w:tc>
          <w:tcPr>
            <w:tcW w:type="dxa" w:w="3000"/>
            <w:tcMar>
              <w:top w:w="80" w:type="dxa"/>
              <w:start w:w="120" w:type="dxa"/>
              <w:bottom w:w="80" w:type="dxa"/>
              <w:end w:w="120" w:type="dxa"/>
            </w:tcMar>
            <w:vAlign w:val="center"/>
          </w:tcPr>
          <w:p>
            <w:pPr>
              <w:pStyle w:val="TableText"/>
              <w:spacing w:after="0"/>
            </w:pPr>
            <w:r>
              <w:rPr>
                <w:rFonts w:ascii="Calibri" w:hAnsi="Calibri" w:eastAsia="Calibri"/>
                <w:color w:val="202124"/>
                <w:sz w:val="16"/>
              </w:rPr>
              <w:t>Correct the placeholder 63 mm stay-clear against actual ICF114 purchased parts</w:t>
            </w:r>
          </w:p>
        </w:tc>
        <w:tc>
          <w:tcPr>
            <w:tcW w:type="dxa" w:w="2560"/>
            <w:tcMar>
              <w:top w:w="80" w:type="dxa"/>
              <w:start w:w="120" w:type="dxa"/>
              <w:bottom w:w="80" w:type="dxa"/>
              <w:end w:w="120" w:type="dxa"/>
            </w:tcMar>
            <w:vAlign w:val="center"/>
          </w:tcPr>
          <w:p>
            <w:pPr>
              <w:pStyle w:val="TableText"/>
              <w:spacing w:after="0"/>
            </w:pPr>
            <w:r>
              <w:rPr>
                <w:rFonts w:ascii="Calibri" w:hAnsi="Calibri" w:eastAsia="Calibri"/>
                <w:color w:val="202124"/>
                <w:sz w:val="16"/>
              </w:rPr>
              <w:t>Interface control drawing, beam-envelope margin, integrated leak test</w:t>
            </w:r>
          </w:p>
        </w:tc>
      </w:tr>
      <w:tr>
        <w:trPr>
          <w:cantSplit/>
        </w:trPr>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Vacuum boundary</w:t>
            </w:r>
          </w:p>
        </w:tc>
        <w:tc>
          <w:tcPr>
            <w:tcW w:type="dxa" w:w="1900"/>
            <w:tcMar>
              <w:top w:w="80" w:type="dxa"/>
              <w:start w:w="120" w:type="dxa"/>
              <w:bottom w:w="80" w:type="dxa"/>
              <w:end w:w="120" w:type="dxa"/>
            </w:tcMar>
            <w:vAlign w:val="center"/>
          </w:tcPr>
          <w:p>
            <w:pPr>
              <w:pStyle w:val="TableText"/>
              <w:spacing w:after="0"/>
            </w:pPr>
            <w:r>
              <w:rPr>
                <w:rFonts w:ascii="Calibri" w:hAnsi="Calibri" w:eastAsia="Calibri"/>
                <w:color w:val="202124"/>
                <w:sz w:val="16"/>
              </w:rPr>
              <w:t>ICF knife edge + OFHC copper gasket</w:t>
            </w:r>
          </w:p>
        </w:tc>
        <w:tc>
          <w:tcPr>
            <w:tcW w:type="dxa" w:w="3000"/>
            <w:tcMar>
              <w:top w:w="80" w:type="dxa"/>
              <w:start w:w="120" w:type="dxa"/>
              <w:bottom w:w="80" w:type="dxa"/>
              <w:end w:w="120" w:type="dxa"/>
            </w:tcMar>
            <w:vAlign w:val="center"/>
          </w:tcPr>
          <w:p>
            <w:pPr>
              <w:pStyle w:val="TableText"/>
              <w:spacing w:after="0"/>
            </w:pPr>
            <w:r>
              <w:rPr>
                <w:rFonts w:ascii="Calibri" w:hAnsi="Calibri" w:eastAsia="Calibri"/>
                <w:color w:val="202124"/>
                <w:sz w:val="16"/>
              </w:rPr>
              <w:t>No elastomer substitution in the primary boundary; adapters/bellows meet the same class</w:t>
            </w:r>
          </w:p>
        </w:tc>
        <w:tc>
          <w:tcPr>
            <w:tcW w:type="dxa" w:w="2560"/>
            <w:tcMar>
              <w:top w:w="80" w:type="dxa"/>
              <w:start w:w="120" w:type="dxa"/>
              <w:bottom w:w="80" w:type="dxa"/>
              <w:end w:w="120" w:type="dxa"/>
            </w:tcMar>
            <w:vAlign w:val="center"/>
          </w:tcPr>
          <w:p>
            <w:pPr>
              <w:pStyle w:val="TableText"/>
              <w:spacing w:after="0"/>
            </w:pPr>
            <w:r>
              <w:rPr>
                <w:rFonts w:ascii="Calibri" w:hAnsi="Calibri" w:eastAsia="Calibri"/>
                <w:color w:val="202124"/>
                <w:sz w:val="16"/>
              </w:rPr>
              <w:t>Integrated helium leak ≤1 × 10⁻¹⁰ Pa·m³/s</w:t>
            </w:r>
          </w:p>
        </w:tc>
      </w:tr>
    </w:tbl>
    <w:p>
      <w:pPr>
        <w:numPr>
          <w:ilvl w:val="0"/>
          <w:numId w:val="10"/>
        </w:numPr>
        <w:spacing w:after="160" w:line="280" w:lineRule="auto"/>
        <w:keepLines/>
      </w:pPr>
      <w:r>
        <w:rPr>
          <w:rFonts w:ascii="Calibri" w:hAnsi="Calibri" w:eastAsia="Calibri"/>
        </w:rPr>
        <w:t>Purchase certified ICF flanges or half nipples from a qualified vacuum-component source. PrMat may weld and integrate them, but should not casually recreate the knife-edge geometry.</w:t>
      </w:r>
    </w:p>
    <w:p>
      <w:pPr>
        <w:numPr>
          <w:ilvl w:val="0"/>
          <w:numId w:val="10"/>
        </w:numPr>
        <w:spacing w:after="160" w:line="280" w:lineRule="auto"/>
        <w:keepLines/>
      </w:pPr>
      <w:r>
        <w:rPr>
          <w:rFonts w:ascii="Calibri" w:hAnsi="Calibri" w:eastAsia="Calibri"/>
        </w:rPr>
        <w:t>Freeze an interface control drawing that states ICF114/ICF70 designation, OD, thickness, bolt-hole pattern, rotatable/fixed configuration, tube OD/ID, knife-edge material, gasket, bolt/nut system, and the exact mating component.</w:t>
      </w:r>
    </w:p>
    <w:p>
      <w:pPr>
        <w:numPr>
          <w:ilvl w:val="0"/>
          <w:numId w:val="10"/>
        </w:numPr>
        <w:spacing w:after="160" w:line="280" w:lineRule="auto"/>
        <w:keepLines/>
      </w:pPr>
      <w:r>
        <w:rPr>
          <w:rFonts w:ascii="Calibri" w:hAnsi="Calibri" w:eastAsia="Calibri"/>
        </w:rPr>
        <w:t>Avoid calling all 4.5-inch CF-style products “ICF114” without a dimensioned drawing. Japanese ICF and other CF naming conventions can hide small but consequential differences.</w:t>
      </w:r>
    </w:p>
    <w:p>
      <w:pPr>
        <w:numPr>
          <w:ilvl w:val="0"/>
          <w:numId w:val="10"/>
        </w:numPr>
        <w:spacing w:after="160" w:line="280" w:lineRule="auto"/>
        <w:keepLines/>
      </w:pPr>
      <w:r>
        <w:rPr>
          <w:rFonts w:ascii="Calibri" w:hAnsi="Calibri" w:eastAsia="Calibri"/>
        </w:rPr>
        <w:t>A bellows or reducing adapter is an installation component, not permission to weaken the vacuum standard. Specify metal seals, compatible materials/cleaning/bake limits, component leak certificate, and a final integrated helium leak test.</w:t>
      </w:r>
    </w:p>
    <w:p>
      <w:pPr>
        <w:pStyle w:val="Heading2"/>
      </w:pPr>
      <w:r>
        <w:t>Rotary feedthrough RFQ data</w:t>
      </w:r>
    </w:p>
    <w:p>
      <w:pPr>
        <w:keepLines/>
      </w:pPr>
      <w:r>
        <w:rPr>
          <w:rFonts w:ascii="Calibri" w:hAnsi="Calibri" w:eastAsia="Calibri"/>
        </w:rPr>
        <w:t>The afterSRC target contract uses a top-mounted ICF70 rotary-feedthrough interface, with an approximately Ø18 mm shaft and 0° beam / 90° parked positions in the present concept. The purchase specification to PrMat must request the following data before model selection:</w:t>
      </w:r>
    </w:p>
    <w:p>
      <w:pPr>
        <w:numPr>
          <w:ilvl w:val="0"/>
          <w:numId w:val="10"/>
        </w:numPr>
        <w:spacing w:after="160" w:line="280" w:lineRule="auto"/>
        <w:keepLines/>
      </w:pPr>
      <w:r>
        <w:rPr>
          <w:rFonts w:ascii="Calibri" w:hAnsi="Calibri" w:eastAsia="Calibri"/>
        </w:rPr>
        <w:t>Flange standard and complete dimensions; shaft diameter, material, usable internal length, external envelope, and coupling details.</w:t>
      </w:r>
    </w:p>
    <w:p>
      <w:pPr>
        <w:numPr>
          <w:ilvl w:val="0"/>
          <w:numId w:val="10"/>
        </w:numPr>
        <w:spacing w:after="160" w:line="280" w:lineRule="auto"/>
        <w:keepLines/>
      </w:pPr>
      <w:r>
        <w:rPr>
          <w:rFonts w:ascii="Calibri" w:hAnsi="Calibri" w:eastAsia="Calibri"/>
        </w:rPr>
        <w:t>Allowable radial, axial, and overturning loads; output torque; breakaway torque; backlash; angular repeatability; hard stops; and position indication or encoder provision.</w:t>
      </w:r>
    </w:p>
    <w:p>
      <w:pPr>
        <w:numPr>
          <w:ilvl w:val="0"/>
          <w:numId w:val="10"/>
        </w:numPr>
        <w:spacing w:after="160" w:line="280" w:lineRule="auto"/>
        <w:keepLines/>
      </w:pPr>
      <w:r>
        <w:rPr>
          <w:rFonts w:ascii="Calibri" w:hAnsi="Calibri" w:eastAsia="Calibri"/>
        </w:rPr>
        <w:t>Seal and bearing technology; continuous versus intermittent rotation; rated cycle life; lubrication; particle generation; magnetic materials; and service/rebuild procedure.</w:t>
      </w:r>
    </w:p>
    <w:p>
      <w:pPr>
        <w:numPr>
          <w:ilvl w:val="0"/>
          <w:numId w:val="10"/>
        </w:numPr>
        <w:spacing w:after="160" w:line="280" w:lineRule="auto"/>
        <w:keepLines/>
      </w:pPr>
      <w:r>
        <w:rPr>
          <w:rFonts w:ascii="Calibri" w:hAnsi="Calibri" w:eastAsia="Calibri"/>
        </w:rPr>
        <w:t>Rated operating and bake temperature, ultimate pressure, certified helium leak rate, motor/manual options, and the test certificate supplied with the unit.</w:t>
      </w:r>
    </w:p>
    <w:p>
      <w:pPr>
        <w:pStyle w:val="Heading1"/>
      </w:pPr>
      <w:r>
        <w:t>8. Chamber manufacturing and acceptance specification</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1600"/>
        <w:gridCol w:w="4870"/>
        <w:gridCol w:w="2890"/>
      </w:tblGrid>
      <w:tr>
        <w:trPr>
          <w:cantSplit/>
          <w:tblHeader w:val="true"/>
          <w:cantSplit/>
        </w:trPr>
        <w:tc>
          <w:tcPr>
            <w:tcW w:type="dxa" w:w="16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Topic</w:t>
            </w:r>
          </w:p>
        </w:tc>
        <w:tc>
          <w:tcPr>
            <w:tcW w:type="dxa" w:w="487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Proposed RFQ requirement</w:t>
            </w:r>
          </w:p>
        </w:tc>
        <w:tc>
          <w:tcPr>
            <w:tcW w:type="dxa" w:w="289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Required evidence</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Material</w:t>
            </w:r>
          </w:p>
        </w:tc>
        <w:tc>
          <w:tcPr>
            <w:tcW w:type="dxa" w:w="4870"/>
            <w:tcMar>
              <w:top w:w="80" w:type="dxa"/>
              <w:start w:w="120" w:type="dxa"/>
              <w:bottom w:w="80" w:type="dxa"/>
              <w:end w:w="120" w:type="dxa"/>
            </w:tcMar>
            <w:vAlign w:val="center"/>
          </w:tcPr>
          <w:p>
            <w:pPr>
              <w:pStyle w:val="TableText"/>
              <w:spacing w:after="0"/>
            </w:pPr>
            <w:r>
              <w:rPr>
                <w:rFonts w:ascii="Calibri" w:hAnsi="Calibri" w:eastAsia="Calibri"/>
                <w:color w:val="202124"/>
                <w:sz w:val="15"/>
              </w:rPr>
              <w:t>304L or 316L stainless selected with the vacuum owner; low-carbon weldable grades</w:t>
            </w:r>
          </w:p>
        </w:tc>
        <w:tc>
          <w:tcPr>
            <w:tcW w:type="dxa" w:w="2890"/>
            <w:tcMar>
              <w:top w:w="80" w:type="dxa"/>
              <w:start w:w="120" w:type="dxa"/>
              <w:bottom w:w="80" w:type="dxa"/>
              <w:end w:w="120" w:type="dxa"/>
            </w:tcMar>
            <w:vAlign w:val="center"/>
          </w:tcPr>
          <w:p>
            <w:pPr>
              <w:pStyle w:val="TableText"/>
              <w:spacing w:after="0"/>
            </w:pPr>
            <w:r>
              <w:rPr>
                <w:rFonts w:ascii="Calibri" w:hAnsi="Calibri" w:eastAsia="Calibri"/>
                <w:color w:val="202124"/>
                <w:sz w:val="15"/>
              </w:rPr>
              <w:t>Mill certificates and material traceability</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Standard interfaces</w:t>
            </w:r>
          </w:p>
        </w:tc>
        <w:tc>
          <w:tcPr>
            <w:tcW w:type="dxa" w:w="4870"/>
            <w:tcMar>
              <w:top w:w="80" w:type="dxa"/>
              <w:start w:w="120" w:type="dxa"/>
              <w:bottom w:w="80" w:type="dxa"/>
              <w:end w:w="120" w:type="dxa"/>
            </w:tcMar>
            <w:vAlign w:val="center"/>
          </w:tcPr>
          <w:p>
            <w:pPr>
              <w:pStyle w:val="TableText"/>
              <w:spacing w:after="0"/>
            </w:pPr>
            <w:r>
              <w:rPr>
                <w:rFonts w:ascii="Calibri" w:hAnsi="Calibri" w:eastAsia="Calibri"/>
                <w:color w:val="202124"/>
                <w:sz w:val="15"/>
              </w:rPr>
              <w:t>Purchased certified ICF flanges/half nipples; no unapproved substitutions</w:t>
            </w:r>
          </w:p>
        </w:tc>
        <w:tc>
          <w:tcPr>
            <w:tcW w:type="dxa" w:w="2890"/>
            <w:tcMar>
              <w:top w:w="80" w:type="dxa"/>
              <w:start w:w="120" w:type="dxa"/>
              <w:bottom w:w="80" w:type="dxa"/>
              <w:end w:w="120" w:type="dxa"/>
            </w:tcMar>
            <w:vAlign w:val="center"/>
          </w:tcPr>
          <w:p>
            <w:pPr>
              <w:pStyle w:val="TableText"/>
              <w:spacing w:after="0"/>
            </w:pPr>
            <w:r>
              <w:rPr>
                <w:rFonts w:ascii="Calibri" w:hAnsi="Calibri" w:eastAsia="Calibri"/>
                <w:color w:val="202124"/>
                <w:sz w:val="15"/>
              </w:rPr>
              <w:t>Supplier drawings, certificates, incoming inspection</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Welding</w:t>
            </w:r>
          </w:p>
        </w:tc>
        <w:tc>
          <w:tcPr>
            <w:tcW w:type="dxa" w:w="4870"/>
            <w:tcMar>
              <w:top w:w="80" w:type="dxa"/>
              <w:start w:w="120" w:type="dxa"/>
              <w:bottom w:w="80" w:type="dxa"/>
              <w:end w:w="120" w:type="dxa"/>
            </w:tcMar>
            <w:vAlign w:val="center"/>
          </w:tcPr>
          <w:p>
            <w:pPr>
              <w:pStyle w:val="TableText"/>
              <w:spacing w:after="0"/>
            </w:pPr>
            <w:r>
              <w:rPr>
                <w:rFonts w:ascii="Calibri" w:hAnsi="Calibri" w:eastAsia="Calibri"/>
                <w:color w:val="202124"/>
                <w:sz w:val="15"/>
              </w:rPr>
              <w:t>Full-penetration GTAW/TIG where applicable; inert purge; documented sequence and fixtures</w:t>
            </w:r>
          </w:p>
        </w:tc>
        <w:tc>
          <w:tcPr>
            <w:tcW w:type="dxa" w:w="2890"/>
            <w:tcMar>
              <w:top w:w="80" w:type="dxa"/>
              <w:start w:w="120" w:type="dxa"/>
              <w:bottom w:w="80" w:type="dxa"/>
              <w:end w:w="120" w:type="dxa"/>
            </w:tcMar>
            <w:vAlign w:val="center"/>
          </w:tcPr>
          <w:p>
            <w:pPr>
              <w:pStyle w:val="TableText"/>
              <w:spacing w:after="0"/>
            </w:pPr>
            <w:r>
              <w:rPr>
                <w:rFonts w:ascii="Calibri" w:hAnsi="Calibri" w:eastAsia="Calibri"/>
                <w:color w:val="202124"/>
                <w:sz w:val="15"/>
              </w:rPr>
              <w:t>Weld map, WPS/PQR or equivalent procedure evidence, welder qualification</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Vacuum design</w:t>
            </w:r>
          </w:p>
        </w:tc>
        <w:tc>
          <w:tcPr>
            <w:tcW w:type="dxa" w:w="4870"/>
            <w:tcMar>
              <w:top w:w="80" w:type="dxa"/>
              <w:start w:w="120" w:type="dxa"/>
              <w:bottom w:w="80" w:type="dxa"/>
              <w:end w:w="120" w:type="dxa"/>
            </w:tcMar>
            <w:vAlign w:val="center"/>
          </w:tcPr>
          <w:p>
            <w:pPr>
              <w:pStyle w:val="TableText"/>
              <w:spacing w:after="0"/>
            </w:pPr>
            <w:r>
              <w:rPr>
                <w:rFonts w:ascii="Calibri" w:hAnsi="Calibri" w:eastAsia="Calibri"/>
                <w:color w:val="202124"/>
                <w:sz w:val="15"/>
              </w:rPr>
              <w:t>No trapped volumes; vented blind holes; cleanable internal geometry; compatible fasteners</w:t>
            </w:r>
          </w:p>
        </w:tc>
        <w:tc>
          <w:tcPr>
            <w:tcW w:type="dxa" w:w="2890"/>
            <w:tcMar>
              <w:top w:w="80" w:type="dxa"/>
              <w:start w:w="120" w:type="dxa"/>
              <w:bottom w:w="80" w:type="dxa"/>
              <w:end w:w="120" w:type="dxa"/>
            </w:tcMar>
            <w:vAlign w:val="center"/>
          </w:tcPr>
          <w:p>
            <w:pPr>
              <w:pStyle w:val="TableText"/>
              <w:spacing w:after="0"/>
            </w:pPr>
            <w:r>
              <w:rPr>
                <w:rFonts w:ascii="Calibri" w:hAnsi="Calibri" w:eastAsia="Calibri"/>
                <w:color w:val="202124"/>
                <w:sz w:val="15"/>
              </w:rPr>
              <w:t>Design review checklist and sectioned drawings</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Surface / cleaning</w:t>
            </w:r>
          </w:p>
        </w:tc>
        <w:tc>
          <w:tcPr>
            <w:tcW w:type="dxa" w:w="4870"/>
            <w:tcMar>
              <w:top w:w="80" w:type="dxa"/>
              <w:start w:w="120" w:type="dxa"/>
              <w:bottom w:w="80" w:type="dxa"/>
              <w:end w:w="120" w:type="dxa"/>
            </w:tcMar>
            <w:vAlign w:val="center"/>
          </w:tcPr>
          <w:p>
            <w:pPr>
              <w:pStyle w:val="TableText"/>
              <w:spacing w:after="0"/>
            </w:pPr>
            <w:r>
              <w:rPr>
                <w:rFonts w:ascii="Calibri" w:hAnsi="Calibri" w:eastAsia="Calibri"/>
                <w:color w:val="202124"/>
                <w:sz w:val="15"/>
              </w:rPr>
              <w:t>Defined roughness where needed; degrease, rinse, dry, bag, and cap knife edges; passivation/electropolish only where justified</w:t>
            </w:r>
          </w:p>
        </w:tc>
        <w:tc>
          <w:tcPr>
            <w:tcW w:type="dxa" w:w="2890"/>
            <w:tcMar>
              <w:top w:w="80" w:type="dxa"/>
              <w:start w:w="120" w:type="dxa"/>
              <w:bottom w:w="80" w:type="dxa"/>
              <w:end w:w="120" w:type="dxa"/>
            </w:tcMar>
            <w:vAlign w:val="center"/>
          </w:tcPr>
          <w:p>
            <w:pPr>
              <w:pStyle w:val="TableText"/>
              <w:spacing w:after="0"/>
            </w:pPr>
            <w:r>
              <w:rPr>
                <w:rFonts w:ascii="Calibri" w:hAnsi="Calibri" w:eastAsia="Calibri"/>
                <w:color w:val="202124"/>
                <w:sz w:val="15"/>
              </w:rPr>
              <w:t>Process travelers and cleaning record</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Structural</w:t>
            </w:r>
          </w:p>
        </w:tc>
        <w:tc>
          <w:tcPr>
            <w:tcW w:type="dxa" w:w="4870"/>
            <w:tcMar>
              <w:top w:w="80" w:type="dxa"/>
              <w:start w:w="120" w:type="dxa"/>
              <w:bottom w:w="80" w:type="dxa"/>
              <w:end w:w="120" w:type="dxa"/>
            </w:tcMar>
            <w:vAlign w:val="center"/>
          </w:tcPr>
          <w:p>
            <w:pPr>
              <w:pStyle w:val="TableText"/>
              <w:spacing w:after="0"/>
            </w:pPr>
            <w:r>
              <w:rPr>
                <w:rFonts w:ascii="Calibri" w:hAnsi="Calibri" w:eastAsia="Calibri"/>
                <w:color w:val="202124"/>
                <w:sz w:val="15"/>
              </w:rPr>
              <w:t>External-pressure buckling FEA including ports, covers, welds, and transport loads</w:t>
            </w:r>
          </w:p>
        </w:tc>
        <w:tc>
          <w:tcPr>
            <w:tcW w:type="dxa" w:w="2890"/>
            <w:tcMar>
              <w:top w:w="80" w:type="dxa"/>
              <w:start w:w="120" w:type="dxa"/>
              <w:bottom w:w="80" w:type="dxa"/>
              <w:end w:w="120" w:type="dxa"/>
            </w:tcMar>
            <w:vAlign w:val="center"/>
          </w:tcPr>
          <w:p>
            <w:pPr>
              <w:pStyle w:val="TableText"/>
              <w:spacing w:after="0"/>
            </w:pPr>
            <w:r>
              <w:rPr>
                <w:rFonts w:ascii="Calibri" w:hAnsi="Calibri" w:eastAsia="Calibri"/>
                <w:color w:val="202124"/>
                <w:sz w:val="15"/>
              </w:rPr>
              <w:t>Calculation report and approved proof/test plan</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Dimensional</w:t>
            </w:r>
          </w:p>
        </w:tc>
        <w:tc>
          <w:tcPr>
            <w:tcW w:type="dxa" w:w="4870"/>
            <w:tcMar>
              <w:top w:w="80" w:type="dxa"/>
              <w:start w:w="120" w:type="dxa"/>
              <w:bottom w:w="80" w:type="dxa"/>
              <w:end w:w="120" w:type="dxa"/>
            </w:tcMar>
            <w:vAlign w:val="center"/>
          </w:tcPr>
          <w:p>
            <w:pPr>
              <w:pStyle w:val="TableText"/>
              <w:spacing w:after="0"/>
            </w:pPr>
            <w:r>
              <w:rPr>
                <w:rFonts w:ascii="Calibri" w:hAnsi="Calibri" w:eastAsia="Calibri"/>
                <w:color w:val="202124"/>
                <w:sz w:val="15"/>
              </w:rPr>
              <w:t>Beam-axis datums, flange-face position/orientation, detector datums, port clocking, and cover flatness under GD&amp;T</w:t>
            </w:r>
          </w:p>
        </w:tc>
        <w:tc>
          <w:tcPr>
            <w:tcW w:type="dxa" w:w="2890"/>
            <w:tcMar>
              <w:top w:w="80" w:type="dxa"/>
              <w:start w:w="120" w:type="dxa"/>
              <w:bottom w:w="80" w:type="dxa"/>
              <w:end w:w="120" w:type="dxa"/>
            </w:tcMar>
            <w:vAlign w:val="center"/>
          </w:tcPr>
          <w:p>
            <w:pPr>
              <w:pStyle w:val="TableText"/>
              <w:spacing w:after="0"/>
            </w:pPr>
            <w:r>
              <w:rPr>
                <w:rFonts w:ascii="Calibri" w:hAnsi="Calibri" w:eastAsia="Calibri"/>
                <w:color w:val="202124"/>
                <w:sz w:val="15"/>
              </w:rPr>
              <w:t>CMM or equivalent dimensional inspection report</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Leak</w:t>
            </w:r>
          </w:p>
        </w:tc>
        <w:tc>
          <w:tcPr>
            <w:tcW w:type="dxa" w:w="4870"/>
            <w:tcMar>
              <w:top w:w="80" w:type="dxa"/>
              <w:start w:w="120" w:type="dxa"/>
              <w:bottom w:w="80" w:type="dxa"/>
              <w:end w:w="120" w:type="dxa"/>
            </w:tcMar>
            <w:vAlign w:val="center"/>
          </w:tcPr>
          <w:p>
            <w:pPr>
              <w:pStyle w:val="TableText"/>
              <w:spacing w:after="0"/>
            </w:pPr>
            <w:r>
              <w:rPr>
                <w:rFonts w:ascii="Calibri" w:hAnsi="Calibri" w:eastAsia="Calibri"/>
                <w:color w:val="202124"/>
                <w:sz w:val="15"/>
              </w:rPr>
              <w:t>Proposed assembly acceptance ≤1 × 10⁻¹⁰ Pa·m³/s helium; tighter component requirements where purchased</w:t>
            </w:r>
          </w:p>
        </w:tc>
        <w:tc>
          <w:tcPr>
            <w:tcW w:type="dxa" w:w="2890"/>
            <w:tcMar>
              <w:top w:w="80" w:type="dxa"/>
              <w:start w:w="120" w:type="dxa"/>
              <w:bottom w:w="80" w:type="dxa"/>
              <w:end w:w="120" w:type="dxa"/>
            </w:tcMar>
            <w:vAlign w:val="center"/>
          </w:tcPr>
          <w:p>
            <w:pPr>
              <w:pStyle w:val="TableText"/>
              <w:spacing w:after="0"/>
            </w:pPr>
            <w:r>
              <w:rPr>
                <w:rFonts w:ascii="Calibri" w:hAnsi="Calibri" w:eastAsia="Calibri"/>
                <w:color w:val="202124"/>
                <w:sz w:val="15"/>
              </w:rPr>
              <w:t>Calibrated helium mass-spectrometer report and test setup</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Vacuum performance</w:t>
            </w:r>
          </w:p>
        </w:tc>
        <w:tc>
          <w:tcPr>
            <w:tcW w:type="dxa" w:w="4870"/>
            <w:tcMar>
              <w:top w:w="80" w:type="dxa"/>
              <w:start w:w="120" w:type="dxa"/>
              <w:bottom w:w="80" w:type="dxa"/>
              <w:end w:w="120" w:type="dxa"/>
            </w:tcMar>
            <w:vAlign w:val="center"/>
          </w:tcPr>
          <w:p>
            <w:pPr>
              <w:pStyle w:val="TableText"/>
              <w:spacing w:after="0"/>
            </w:pPr>
            <w:r>
              <w:rPr>
                <w:rFonts w:ascii="Calibri" w:hAnsi="Calibri" w:eastAsia="Calibri"/>
                <w:color w:val="202124"/>
                <w:sz w:val="15"/>
              </w:rPr>
              <w:t>Base pressure, pump-down, bake, and residual-gas criteria to be frozen by beamline owner</w:t>
            </w:r>
          </w:p>
        </w:tc>
        <w:tc>
          <w:tcPr>
            <w:tcW w:type="dxa" w:w="2890"/>
            <w:tcMar>
              <w:top w:w="80" w:type="dxa"/>
              <w:start w:w="120" w:type="dxa"/>
              <w:bottom w:w="80" w:type="dxa"/>
              <w:end w:w="120" w:type="dxa"/>
            </w:tcMar>
            <w:vAlign w:val="center"/>
          </w:tcPr>
          <w:p>
            <w:pPr>
              <w:pStyle w:val="TableText"/>
              <w:spacing w:after="0"/>
            </w:pPr>
            <w:r>
              <w:rPr>
                <w:rFonts w:ascii="Calibri" w:hAnsi="Calibri" w:eastAsia="Calibri"/>
                <w:color w:val="202124"/>
                <w:sz w:val="15"/>
              </w:rPr>
              <w:t>Witnessed vacuum acceptance test and RGA if required</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Handling</w:t>
            </w:r>
          </w:p>
        </w:tc>
        <w:tc>
          <w:tcPr>
            <w:tcW w:type="dxa" w:w="4870"/>
            <w:tcMar>
              <w:top w:w="80" w:type="dxa"/>
              <w:start w:w="120" w:type="dxa"/>
              <w:bottom w:w="80" w:type="dxa"/>
              <w:end w:w="120" w:type="dxa"/>
            </w:tcMar>
            <w:vAlign w:val="center"/>
          </w:tcPr>
          <w:p>
            <w:pPr>
              <w:pStyle w:val="TableText"/>
              <w:spacing w:after="0"/>
            </w:pPr>
            <w:r>
              <w:rPr>
                <w:rFonts w:ascii="Calibri" w:hAnsi="Calibri" w:eastAsia="Calibri"/>
                <w:color w:val="202124"/>
                <w:sz w:val="15"/>
              </w:rPr>
              <w:t>Defined lifting points, center of gravity, maximum removable-subassembly mass, shipping fixture, and knife-edge protection</w:t>
            </w:r>
          </w:p>
        </w:tc>
        <w:tc>
          <w:tcPr>
            <w:tcW w:type="dxa" w:w="2890"/>
            <w:tcMar>
              <w:top w:w="80" w:type="dxa"/>
              <w:start w:w="120" w:type="dxa"/>
              <w:bottom w:w="80" w:type="dxa"/>
              <w:end w:w="120" w:type="dxa"/>
            </w:tcMar>
            <w:vAlign w:val="center"/>
          </w:tcPr>
          <w:p>
            <w:pPr>
              <w:pStyle w:val="TableText"/>
              <w:spacing w:after="0"/>
            </w:pPr>
            <w:r>
              <w:rPr>
                <w:rFonts w:ascii="Calibri" w:hAnsi="Calibri" w:eastAsia="Calibri"/>
                <w:color w:val="202124"/>
                <w:sz w:val="15"/>
              </w:rPr>
              <w:t>Handling drawing and packing inspection</w:t>
            </w:r>
          </w:p>
        </w:tc>
      </w:tr>
    </w:tbl>
    <w:tbl>
      <w:tblPr>
        <w:tblStyle w:val="TableGrid"/>
        <w:tblW w:type="dxa" w:w="9360"/>
        <w:jc w:val="center"/>
        <w:tblLayout w:type="fixed"/>
        <w:tblLook w:firstColumn="1" w:firstRow="1" w:lastColumn="0" w:lastRow="0" w:noHBand="0" w:noVBand="1" w:val="04A0"/>
        <w:tblInd w:w="120" w:type="dxa"/>
        <w:tblBorders>
          <w:top w:val="single" w:sz="6" w:space="0" w:color="FFF4D6"/>
          <w:left w:val="single" w:sz="6" w:space="0" w:color="FFF4D6"/>
          <w:bottom w:val="single" w:sz="6" w:space="0" w:color="FFF4D6"/>
          <w:right w:val="single" w:sz="6" w:space="0" w:color="FFF4D6"/>
          <w:insideH w:val="single" w:sz="6" w:space="0" w:color="FFF4D6"/>
          <w:insideV w:val="single" w:sz="6" w:space="0" w:color="FFF4D6"/>
        </w:tblBorders>
      </w:tblPr>
      <w:tblGrid>
        <w:gridCol w:w="9360"/>
      </w:tblGrid>
      <w:tr>
        <w:trPr>
          <w:cantSplit/>
        </w:trPr>
        <w:tc>
          <w:tcPr>
            <w:tcW w:type="dxa" w:w="9360"/>
            <w:tcMar>
              <w:top w:w="80" w:type="dxa"/>
              <w:start w:w="120" w:type="dxa"/>
              <w:bottom w:w="80" w:type="dxa"/>
              <w:end w:w="120" w:type="dxa"/>
            </w:tcMar>
            <w:vAlign w:val="center"/>
            <w:shd w:fill="FFF4D6" w:val="clear"/>
          </w:tcPr>
          <w:p>
            <w:pPr>
              <w:pStyle w:val="TableText"/>
              <w:spacing w:after="80"/>
            </w:pPr>
            <w:r>
              <w:rPr>
                <w:rFonts w:ascii="Calibri" w:hAnsi="Calibri" w:eastAsia="Calibri"/>
                <w:b/>
                <w:color w:val="1F4D78"/>
                <w:sz w:val="21"/>
              </w:rPr>
              <w:t>Do not release fabrication from a STEP model alone</w:t>
            </w:r>
          </w:p>
          <w:p>
            <w:pPr>
              <w:pStyle w:val="TableText"/>
              <w:spacing w:after="60"/>
            </w:pPr>
            <w:r>
              <w:rPr>
                <w:rFonts w:ascii="Calibri" w:hAnsi="Calibri" w:eastAsia="Calibri"/>
                <w:sz w:val="19"/>
              </w:rPr>
              <w:t>The fabrication package must contain controlled 2D drawings, GD&amp;T, weld symbols, material and cleaning notes, bought-out component part numbers, acceptance criteria, and revision history.</w:t>
            </w:r>
          </w:p>
          <w:p>
            <w:pPr>
              <w:pStyle w:val="TableText"/>
              <w:spacing w:after="60"/>
            </w:pPr>
            <w:r>
              <w:rPr>
                <w:rFonts w:ascii="Calibri" w:hAnsi="Calibri" w:eastAsia="Calibri"/>
                <w:sz w:val="19"/>
              </w:rPr>
              <w:t>Require PrMat to return a manufacturability review, marked-up drawings, weld sequence, and inspection plan before approval to cut material.</w:t>
            </w:r>
          </w:p>
        </w:tc>
      </w:tr>
    </w:tbl>
    <w:p>
      <w:pPr>
        <w:spacing w:after="0"/>
      </w:pPr>
    </w:p>
    <w:p>
      <w:pPr>
        <w:pStyle w:val="Heading2"/>
      </w:pPr>
      <w:r>
        <w:t>PrMat qualification</w:t>
      </w:r>
    </w:p>
    <w:p>
      <w:pPr>
        <w:keepLines/>
      </w:pPr>
      <w:r>
        <w:rPr>
          <w:rFonts w:ascii="Calibri" w:hAnsi="Calibri" w:eastAsia="Calibri"/>
        </w:rPr>
        <w:t>PrMat’s public website states that it develops vacuum precision components, MBE-related equipment, manipulators, and custom parts. A published K-cell product specifies a DN40CF flange, 200°C maximum bake, and UHV-class operating pressure, which is relevant evidence of vacuum-domain experience. It does not replace project-specific evidence for a large welded chamber or rotary feedthrough.</w:t>
      </w:r>
    </w:p>
    <w:p>
      <w:pPr>
        <w:numPr>
          <w:ilvl w:val="0"/>
          <w:numId w:val="10"/>
        </w:numPr>
        <w:spacing w:after="160" w:line="280" w:lineRule="auto"/>
        <w:keepLines/>
      </w:pPr>
      <w:r>
        <w:rPr>
          <w:rFonts w:ascii="Calibri" w:hAnsi="Calibri" w:eastAsia="Calibri"/>
        </w:rPr>
        <w:t>Request two comparable chamber references, maximum completed chamber size/mass, in-house versus subcontracted welding, CMM capability, helium leak equipment, cleaning facility, and external-pressure analysis capability.</w:t>
      </w:r>
    </w:p>
    <w:p>
      <w:pPr>
        <w:numPr>
          <w:ilvl w:val="0"/>
          <w:numId w:val="10"/>
        </w:numPr>
        <w:spacing w:after="160" w:line="280" w:lineRule="auto"/>
        <w:keepLines/>
      </w:pPr>
      <w:r>
        <w:rPr>
          <w:rFonts w:ascii="Calibri" w:hAnsi="Calibri" w:eastAsia="Calibri"/>
        </w:rPr>
        <w:t>Ask whether the rotary feedthrough is PrMat-designed, OEM, or integrated from another manufacturer. Require the original manufacturer and unaltered certificate if it is an OEM item.</w:t>
      </w:r>
    </w:p>
    <w:p>
      <w:pPr>
        <w:numPr>
          <w:ilvl w:val="0"/>
          <w:numId w:val="10"/>
        </w:numPr>
        <w:spacing w:after="160" w:line="280" w:lineRule="auto"/>
        <w:keepLines/>
      </w:pPr>
      <w:r>
        <w:rPr>
          <w:rFonts w:ascii="Calibri" w:hAnsi="Calibri" w:eastAsia="Calibri"/>
        </w:rPr>
        <w:t>Separate NRE/design, purchased vacuum parts, chamber fabrication, detector cassette machining, assembly, inspection, and shipping into distinct quote lines.</w:t>
      </w:r>
    </w:p>
    <w:p>
      <w:pPr>
        <w:numPr>
          <w:ilvl w:val="0"/>
          <w:numId w:val="10"/>
        </w:numPr>
        <w:spacing w:after="160" w:line="280" w:lineRule="auto"/>
        <w:keepLines/>
      </w:pPr>
      <w:r>
        <w:rPr>
          <w:rFonts w:ascii="Calibri" w:hAnsi="Calibri" w:eastAsia="Calibri"/>
        </w:rPr>
        <w:t>Define ownership and delivery of native CAD, manufacturing drawings, inspection data, and spare/replacement compatibility.</w:t>
      </w:r>
    </w:p>
    <w:p>
      <w:pPr>
        <w:pStyle w:val="Heading1"/>
        <w:pageBreakBefore/>
      </w:pPr>
      <w:r>
        <w:t>9. China-based procurement and workshare</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1600"/>
        <w:gridCol w:w="2250"/>
        <w:gridCol w:w="3410"/>
        <w:gridCol w:w="2100"/>
      </w:tblGrid>
      <w:tr>
        <w:trPr>
          <w:cantSplit/>
          <w:tblHeader w:val="true"/>
          <w:cantSplit/>
        </w:trPr>
        <w:tc>
          <w:tcPr>
            <w:tcW w:type="dxa" w:w="16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Package</w:t>
            </w:r>
          </w:p>
        </w:tc>
        <w:tc>
          <w:tcPr>
            <w:tcW w:type="dxa" w:w="225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Preferred China source / route</w:t>
            </w:r>
          </w:p>
        </w:tc>
        <w:tc>
          <w:tcPr>
            <w:tcW w:type="dxa" w:w="341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Recommended responsibility</w:t>
            </w:r>
          </w:p>
        </w:tc>
        <w:tc>
          <w:tcPr>
            <w:tcW w:type="dxa" w:w="21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Qualification action</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Vacuum chamber and target integration</w:t>
            </w:r>
          </w:p>
        </w:tc>
        <w:tc>
          <w:tcPr>
            <w:tcW w:type="dxa" w:w="2250"/>
            <w:tcMar>
              <w:top w:w="80" w:type="dxa"/>
              <w:start w:w="120" w:type="dxa"/>
              <w:bottom w:w="80" w:type="dxa"/>
              <w:end w:w="120" w:type="dxa"/>
            </w:tcMar>
            <w:vAlign w:val="center"/>
          </w:tcPr>
          <w:p>
            <w:pPr>
              <w:pStyle w:val="TableText"/>
              <w:spacing w:after="0"/>
            </w:pPr>
            <w:r>
              <w:rPr>
                <w:rFonts w:ascii="Calibri" w:hAnsi="Calibri" w:eastAsia="Calibri"/>
                <w:color w:val="202124"/>
                <w:sz w:val="15"/>
              </w:rPr>
              <w:t>Shanghai PrMat</w:t>
            </w:r>
          </w:p>
        </w:tc>
        <w:tc>
          <w:tcPr>
            <w:tcW w:type="dxa" w:w="3410"/>
            <w:tcMar>
              <w:top w:w="80" w:type="dxa"/>
              <w:start w:w="120" w:type="dxa"/>
              <w:bottom w:w="80" w:type="dxa"/>
              <w:end w:w="120" w:type="dxa"/>
            </w:tcMar>
            <w:vAlign w:val="center"/>
          </w:tcPr>
          <w:p>
            <w:pPr>
              <w:pStyle w:val="TableText"/>
              <w:spacing w:after="0"/>
            </w:pPr>
            <w:r>
              <w:rPr>
                <w:rFonts w:ascii="Calibri" w:hAnsi="Calibri" w:eastAsia="Calibri"/>
                <w:color w:val="202124"/>
                <w:sz w:val="15"/>
              </w:rPr>
              <w:t>Chamber design-for-manufacture, welding, machining, assembly, dimensional and leak acceptance</w:t>
            </w:r>
          </w:p>
        </w:tc>
        <w:tc>
          <w:tcPr>
            <w:tcW w:type="dxa" w:w="2100"/>
            <w:tcMar>
              <w:top w:w="80" w:type="dxa"/>
              <w:start w:w="120" w:type="dxa"/>
              <w:bottom w:w="80" w:type="dxa"/>
              <w:end w:w="120" w:type="dxa"/>
            </w:tcMar>
            <w:vAlign w:val="center"/>
          </w:tcPr>
          <w:p>
            <w:pPr>
              <w:pStyle w:val="TableText"/>
              <w:spacing w:after="0"/>
            </w:pPr>
            <w:r>
              <w:rPr>
                <w:rFonts w:ascii="Calibri" w:hAnsi="Calibri" w:eastAsia="Calibri"/>
                <w:color w:val="202124"/>
                <w:sz w:val="15"/>
              </w:rPr>
              <w:t>Formal capability questionnaire; reference projects; process and inspection plan</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Rotary feedthrough</w:t>
            </w:r>
          </w:p>
        </w:tc>
        <w:tc>
          <w:tcPr>
            <w:tcW w:type="dxa" w:w="2250"/>
            <w:tcMar>
              <w:top w:w="80" w:type="dxa"/>
              <w:start w:w="120" w:type="dxa"/>
              <w:bottom w:w="80" w:type="dxa"/>
              <w:end w:w="120" w:type="dxa"/>
            </w:tcMar>
            <w:vAlign w:val="center"/>
          </w:tcPr>
          <w:p>
            <w:pPr>
              <w:pStyle w:val="TableText"/>
              <w:spacing w:after="0"/>
            </w:pPr>
            <w:r>
              <w:rPr>
                <w:rFonts w:ascii="Calibri" w:hAnsi="Calibri" w:eastAsia="Calibri"/>
                <w:color w:val="202124"/>
                <w:sz w:val="15"/>
              </w:rPr>
              <w:t>Shanghai PrMat purchase/integration route</w:t>
            </w:r>
          </w:p>
        </w:tc>
        <w:tc>
          <w:tcPr>
            <w:tcW w:type="dxa" w:w="3410"/>
            <w:tcMar>
              <w:top w:w="80" w:type="dxa"/>
              <w:start w:w="120" w:type="dxa"/>
              <w:bottom w:w="80" w:type="dxa"/>
              <w:end w:w="120" w:type="dxa"/>
            </w:tcMar>
            <w:vAlign w:val="center"/>
          </w:tcPr>
          <w:p>
            <w:pPr>
              <w:pStyle w:val="TableText"/>
              <w:spacing w:after="0"/>
            </w:pPr>
            <w:r>
              <w:rPr>
                <w:rFonts w:ascii="Calibri" w:hAnsi="Calibri" w:eastAsia="Calibri"/>
                <w:color w:val="202124"/>
                <w:sz w:val="15"/>
              </w:rPr>
              <w:t>Supply selected model and complete OEM data; integrate to top ICF interface</w:t>
            </w:r>
          </w:p>
        </w:tc>
        <w:tc>
          <w:tcPr>
            <w:tcW w:type="dxa" w:w="2100"/>
            <w:tcMar>
              <w:top w:w="80" w:type="dxa"/>
              <w:start w:w="120" w:type="dxa"/>
              <w:bottom w:w="80" w:type="dxa"/>
              <w:end w:w="120" w:type="dxa"/>
            </w:tcMar>
            <w:vAlign w:val="center"/>
          </w:tcPr>
          <w:p>
            <w:pPr>
              <w:pStyle w:val="TableText"/>
              <w:spacing w:after="0"/>
            </w:pPr>
            <w:r>
              <w:rPr>
                <w:rFonts w:ascii="Calibri" w:hAnsi="Calibri" w:eastAsia="Calibri"/>
                <w:color w:val="202124"/>
                <w:sz w:val="15"/>
              </w:rPr>
              <w:t>Torque/load/life/leak/bake certificate and incoming inspection</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Plastic scintillator</w:t>
            </w:r>
          </w:p>
        </w:tc>
        <w:tc>
          <w:tcPr>
            <w:tcW w:type="dxa" w:w="2250"/>
            <w:tcMar>
              <w:top w:w="80" w:type="dxa"/>
              <w:start w:w="120" w:type="dxa"/>
              <w:bottom w:w="80" w:type="dxa"/>
              <w:end w:w="120" w:type="dxa"/>
            </w:tcMar>
            <w:vAlign w:val="center"/>
          </w:tcPr>
          <w:p>
            <w:pPr>
              <w:pStyle w:val="TableText"/>
              <w:spacing w:after="0"/>
            </w:pPr>
            <w:r>
              <w:rPr>
                <w:rFonts w:ascii="Calibri" w:hAnsi="Calibri" w:eastAsia="Calibri"/>
                <w:color w:val="202124"/>
                <w:sz w:val="15"/>
              </w:rPr>
              <w:t>Shanghai EPIC Crystal / Shanghai Shuojie or another qualified domestic producer</w:t>
            </w:r>
          </w:p>
        </w:tc>
        <w:tc>
          <w:tcPr>
            <w:tcW w:type="dxa" w:w="3410"/>
            <w:tcMar>
              <w:top w:w="80" w:type="dxa"/>
              <w:start w:w="120" w:type="dxa"/>
              <w:bottom w:w="80" w:type="dxa"/>
              <w:end w:w="120" w:type="dxa"/>
            </w:tcMar>
            <w:vAlign w:val="center"/>
          </w:tcPr>
          <w:p>
            <w:pPr>
              <w:pStyle w:val="TableText"/>
              <w:spacing w:after="0"/>
            </w:pPr>
            <w:r>
              <w:rPr>
                <w:rFonts w:ascii="Calibri" w:hAnsi="Calibri" w:eastAsia="Calibri"/>
                <w:color w:val="202124"/>
                <w:sz w:val="15"/>
              </w:rPr>
              <w:t>Material batch, rough machining, precision finish, polish, reflector/packaging options</w:t>
            </w:r>
          </w:p>
        </w:tc>
        <w:tc>
          <w:tcPr>
            <w:tcW w:type="dxa" w:w="2100"/>
            <w:tcMar>
              <w:top w:w="80" w:type="dxa"/>
              <w:start w:w="120" w:type="dxa"/>
              <w:bottom w:w="80" w:type="dxa"/>
              <w:end w:w="120" w:type="dxa"/>
            </w:tcMar>
            <w:vAlign w:val="center"/>
          </w:tcPr>
          <w:p>
            <w:pPr>
              <w:pStyle w:val="TableText"/>
              <w:spacing w:after="0"/>
            </w:pPr>
            <w:r>
              <w:rPr>
                <w:rFonts w:ascii="Calibri" w:hAnsi="Calibri" w:eastAsia="Calibri"/>
                <w:color w:val="202124"/>
                <w:sz w:val="15"/>
              </w:rPr>
              <w:t>Witness samples; light yield/timing/uniformity; vacuum-material screen</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Primary SiPM</w:t>
            </w:r>
          </w:p>
        </w:tc>
        <w:tc>
          <w:tcPr>
            <w:tcW w:type="dxa" w:w="2250"/>
            <w:tcMar>
              <w:top w:w="80" w:type="dxa"/>
              <w:start w:w="120" w:type="dxa"/>
              <w:bottom w:w="80" w:type="dxa"/>
              <w:end w:w="120" w:type="dxa"/>
            </w:tcMar>
            <w:vAlign w:val="center"/>
          </w:tcPr>
          <w:p>
            <w:pPr>
              <w:pStyle w:val="TableText"/>
              <w:spacing w:after="0"/>
            </w:pPr>
            <w:r>
              <w:rPr>
                <w:rFonts w:ascii="Calibri" w:hAnsi="Calibri" w:eastAsia="Calibri"/>
                <w:color w:val="202124"/>
                <w:sz w:val="15"/>
              </w:rPr>
              <w:t>NDL through Shanghai Centao or an authorized domestic channel</w:t>
            </w:r>
          </w:p>
        </w:tc>
        <w:tc>
          <w:tcPr>
            <w:tcW w:type="dxa" w:w="3410"/>
            <w:tcMar>
              <w:top w:w="80" w:type="dxa"/>
              <w:start w:w="120" w:type="dxa"/>
              <w:bottom w:w="80" w:type="dxa"/>
              <w:end w:w="120" w:type="dxa"/>
            </w:tcMar>
            <w:vAlign w:val="center"/>
          </w:tcPr>
          <w:p>
            <w:pPr>
              <w:pStyle w:val="TableText"/>
              <w:spacing w:after="0"/>
            </w:pPr>
            <w:r>
              <w:rPr>
                <w:rFonts w:ascii="Calibri" w:hAnsi="Calibri" w:eastAsia="Calibri"/>
                <w:color w:val="202124"/>
                <w:sz w:val="15"/>
              </w:rPr>
              <w:t>EQR15 11-6060D-S supply with current datasheet and lot traceability</w:t>
            </w:r>
          </w:p>
        </w:tc>
        <w:tc>
          <w:tcPr>
            <w:tcW w:type="dxa" w:w="2100"/>
            <w:tcMar>
              <w:top w:w="80" w:type="dxa"/>
              <w:start w:w="120" w:type="dxa"/>
              <w:bottom w:w="80" w:type="dxa"/>
              <w:end w:w="120" w:type="dxa"/>
            </w:tcMar>
            <w:vAlign w:val="center"/>
          </w:tcPr>
          <w:p>
            <w:pPr>
              <w:pStyle w:val="TableText"/>
              <w:spacing w:after="0"/>
            </w:pPr>
            <w:r>
              <w:rPr>
                <w:rFonts w:ascii="Calibri" w:hAnsi="Calibri" w:eastAsia="Calibri"/>
                <w:color w:val="202124"/>
                <w:sz w:val="15"/>
              </w:rPr>
              <w:t>Screen breakdown, gain, DCR, crosstalk, afterpulse, linearity, and temperature coefficient</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Backup SiPM</w:t>
            </w:r>
          </w:p>
        </w:tc>
        <w:tc>
          <w:tcPr>
            <w:tcW w:type="dxa" w:w="2250"/>
            <w:tcMar>
              <w:top w:w="80" w:type="dxa"/>
              <w:start w:w="120" w:type="dxa"/>
              <w:bottom w:w="80" w:type="dxa"/>
              <w:end w:w="120" w:type="dxa"/>
            </w:tcMar>
            <w:vAlign w:val="center"/>
          </w:tcPr>
          <w:p>
            <w:pPr>
              <w:pStyle w:val="TableText"/>
              <w:spacing w:after="0"/>
            </w:pPr>
            <w:r>
              <w:rPr>
                <w:rFonts w:ascii="Calibri" w:hAnsi="Calibri" w:eastAsia="Calibri"/>
                <w:color w:val="202124"/>
                <w:sz w:val="15"/>
              </w:rPr>
              <w:t>NDL EQR20 through Shanghai Centao</w:t>
            </w:r>
          </w:p>
        </w:tc>
        <w:tc>
          <w:tcPr>
            <w:tcW w:type="dxa" w:w="3410"/>
            <w:tcMar>
              <w:top w:w="80" w:type="dxa"/>
              <w:start w:w="120" w:type="dxa"/>
              <w:bottom w:w="80" w:type="dxa"/>
              <w:end w:w="120" w:type="dxa"/>
            </w:tcMar>
            <w:vAlign w:val="center"/>
          </w:tcPr>
          <w:p>
            <w:pPr>
              <w:pStyle w:val="TableText"/>
              <w:spacing w:after="0"/>
            </w:pPr>
            <w:r>
              <w:rPr>
                <w:rFonts w:ascii="Calibri" w:hAnsi="Calibri" w:eastAsia="Calibri"/>
                <w:color w:val="202124"/>
                <w:sz w:val="15"/>
              </w:rPr>
              <w:t>Small prototype quantity</w:t>
            </w:r>
          </w:p>
        </w:tc>
        <w:tc>
          <w:tcPr>
            <w:tcW w:type="dxa" w:w="2100"/>
            <w:tcMar>
              <w:top w:w="80" w:type="dxa"/>
              <w:start w:w="120" w:type="dxa"/>
              <w:bottom w:w="80" w:type="dxa"/>
              <w:end w:w="120" w:type="dxa"/>
            </w:tcMar>
            <w:vAlign w:val="center"/>
          </w:tcPr>
          <w:p>
            <w:pPr>
              <w:pStyle w:val="TableText"/>
              <w:spacing w:after="0"/>
            </w:pPr>
            <w:r>
              <w:rPr>
                <w:rFonts w:ascii="Calibri" w:hAnsi="Calibri" w:eastAsia="Calibri"/>
                <w:color w:val="202124"/>
                <w:sz w:val="15"/>
              </w:rPr>
              <w:t>Same screening; compare timing and electronics headroom</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Reference SiPM</w:t>
            </w:r>
          </w:p>
        </w:tc>
        <w:tc>
          <w:tcPr>
            <w:tcW w:type="dxa" w:w="2250"/>
            <w:tcMar>
              <w:top w:w="80" w:type="dxa"/>
              <w:start w:w="120" w:type="dxa"/>
              <w:bottom w:w="80" w:type="dxa"/>
              <w:end w:w="120" w:type="dxa"/>
            </w:tcMar>
            <w:vAlign w:val="center"/>
          </w:tcPr>
          <w:p>
            <w:pPr>
              <w:pStyle w:val="TableText"/>
              <w:spacing w:after="0"/>
            </w:pPr>
            <w:r>
              <w:rPr>
                <w:rFonts w:ascii="Calibri" w:hAnsi="Calibri" w:eastAsia="Calibri"/>
                <w:color w:val="202124"/>
                <w:sz w:val="15"/>
              </w:rPr>
              <w:t>Hamamatsu Photonics China</w:t>
            </w:r>
          </w:p>
        </w:tc>
        <w:tc>
          <w:tcPr>
            <w:tcW w:type="dxa" w:w="3410"/>
            <w:tcMar>
              <w:top w:w="80" w:type="dxa"/>
              <w:start w:w="120" w:type="dxa"/>
              <w:bottom w:w="80" w:type="dxa"/>
              <w:end w:w="120" w:type="dxa"/>
            </w:tcMar>
            <w:vAlign w:val="center"/>
          </w:tcPr>
          <w:p>
            <w:pPr>
              <w:pStyle w:val="TableText"/>
              <w:spacing w:after="0"/>
            </w:pPr>
            <w:r>
              <w:rPr>
                <w:rFonts w:ascii="Calibri" w:hAnsi="Calibri" w:eastAsia="Calibri"/>
                <w:color w:val="202124"/>
                <w:sz w:val="15"/>
              </w:rPr>
              <w:t>Small control quantity of S13360-6025CS</w:t>
            </w:r>
          </w:p>
        </w:tc>
        <w:tc>
          <w:tcPr>
            <w:tcW w:type="dxa" w:w="2100"/>
            <w:tcMar>
              <w:top w:w="80" w:type="dxa"/>
              <w:start w:w="120" w:type="dxa"/>
              <w:bottom w:w="80" w:type="dxa"/>
              <w:end w:w="120" w:type="dxa"/>
            </w:tcMar>
            <w:vAlign w:val="center"/>
          </w:tcPr>
          <w:p>
            <w:pPr>
              <w:pStyle w:val="TableText"/>
              <w:spacing w:after="0"/>
            </w:pPr>
            <w:r>
              <w:rPr>
                <w:rFonts w:ascii="Calibri" w:hAnsi="Calibri" w:eastAsia="Calibri"/>
                <w:color w:val="202124"/>
                <w:sz w:val="15"/>
              </w:rPr>
              <w:t>Use as documented cross-check; not China-origin preference</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Coax feedthroughs</w:t>
            </w:r>
          </w:p>
        </w:tc>
        <w:tc>
          <w:tcPr>
            <w:tcW w:type="dxa" w:w="2250"/>
            <w:tcMar>
              <w:top w:w="80" w:type="dxa"/>
              <w:start w:w="120" w:type="dxa"/>
              <w:bottom w:w="80" w:type="dxa"/>
              <w:end w:w="120" w:type="dxa"/>
            </w:tcMar>
            <w:vAlign w:val="center"/>
          </w:tcPr>
          <w:p>
            <w:pPr>
              <w:pStyle w:val="TableText"/>
              <w:spacing w:after="0"/>
            </w:pPr>
            <w:r>
              <w:rPr>
                <w:rFonts w:ascii="Calibri" w:hAnsi="Calibri" w:eastAsia="Calibri"/>
                <w:color w:val="202124"/>
                <w:sz w:val="15"/>
              </w:rPr>
              <w:t>Beijing Feedivac</w:t>
            </w:r>
          </w:p>
        </w:tc>
        <w:tc>
          <w:tcPr>
            <w:tcW w:type="dxa" w:w="3410"/>
            <w:tcMar>
              <w:top w:w="80" w:type="dxa"/>
              <w:start w:w="120" w:type="dxa"/>
              <w:bottom w:w="80" w:type="dxa"/>
              <w:end w:w="120" w:type="dxa"/>
            </w:tcMar>
            <w:vAlign w:val="center"/>
          </w:tcPr>
          <w:p>
            <w:pPr>
              <w:pStyle w:val="TableText"/>
              <w:spacing w:after="0"/>
            </w:pPr>
            <w:r>
              <w:rPr>
                <w:rFonts w:ascii="Calibri" w:hAnsi="Calibri" w:eastAsia="Calibri"/>
                <w:color w:val="202124"/>
                <w:sz w:val="15"/>
              </w:rPr>
              <w:t>CF40 four-channel 50 Ω feedthrough assemblies and vacuum cables</w:t>
            </w:r>
          </w:p>
        </w:tc>
        <w:tc>
          <w:tcPr>
            <w:tcW w:type="dxa" w:w="2100"/>
            <w:tcMar>
              <w:top w:w="80" w:type="dxa"/>
              <w:start w:w="120" w:type="dxa"/>
              <w:bottom w:w="80" w:type="dxa"/>
              <w:end w:w="120" w:type="dxa"/>
            </w:tcMar>
            <w:vAlign w:val="center"/>
          </w:tcPr>
          <w:p>
            <w:pPr>
              <w:pStyle w:val="TableText"/>
              <w:spacing w:after="0"/>
            </w:pPr>
            <w:r>
              <w:rPr>
                <w:rFonts w:ascii="Calibri" w:hAnsi="Calibri" w:eastAsia="Calibri"/>
                <w:color w:val="202124"/>
                <w:sz w:val="15"/>
              </w:rPr>
              <w:t>Confirm exact part number, connector gender, bake, leak certificate, and spares</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Detector metal cassette</w:t>
            </w:r>
          </w:p>
        </w:tc>
        <w:tc>
          <w:tcPr>
            <w:tcW w:type="dxa" w:w="2250"/>
            <w:tcMar>
              <w:top w:w="80" w:type="dxa"/>
              <w:start w:w="120" w:type="dxa"/>
              <w:bottom w:w="80" w:type="dxa"/>
              <w:end w:w="120" w:type="dxa"/>
            </w:tcMar>
            <w:vAlign w:val="center"/>
          </w:tcPr>
          <w:p>
            <w:pPr>
              <w:pStyle w:val="TableText"/>
              <w:spacing w:after="0"/>
            </w:pPr>
            <w:r>
              <w:rPr>
                <w:rFonts w:ascii="Calibri" w:hAnsi="Calibri" w:eastAsia="Calibri"/>
                <w:color w:val="202124"/>
                <w:sz w:val="15"/>
              </w:rPr>
              <w:t>PrMat after golden-unit drawing freeze</w:t>
            </w:r>
          </w:p>
        </w:tc>
        <w:tc>
          <w:tcPr>
            <w:tcW w:type="dxa" w:w="3410"/>
            <w:tcMar>
              <w:top w:w="80" w:type="dxa"/>
              <w:start w:w="120" w:type="dxa"/>
              <w:bottom w:w="80" w:type="dxa"/>
              <w:end w:w="120" w:type="dxa"/>
            </w:tcMar>
            <w:vAlign w:val="center"/>
          </w:tcPr>
          <w:p>
            <w:pPr>
              <w:pStyle w:val="TableText"/>
              <w:spacing w:after="0"/>
            </w:pPr>
            <w:r>
              <w:rPr>
                <w:rFonts w:ascii="Calibri" w:hAnsi="Calibri" w:eastAsia="Calibri"/>
                <w:color w:val="202124"/>
                <w:sz w:val="15"/>
              </w:rPr>
              <w:t>Precision metal carrier, thermal path, repeatable datum, light-tight shell</w:t>
            </w:r>
          </w:p>
        </w:tc>
        <w:tc>
          <w:tcPr>
            <w:tcW w:type="dxa" w:w="2100"/>
            <w:tcMar>
              <w:top w:w="80" w:type="dxa"/>
              <w:start w:w="120" w:type="dxa"/>
              <w:bottom w:w="80" w:type="dxa"/>
              <w:end w:w="120" w:type="dxa"/>
            </w:tcMar>
            <w:vAlign w:val="center"/>
          </w:tcPr>
          <w:p>
            <w:pPr>
              <w:pStyle w:val="TableText"/>
              <w:spacing w:after="0"/>
            </w:pPr>
            <w:r>
              <w:rPr>
                <w:rFonts w:ascii="Calibri" w:hAnsi="Calibri" w:eastAsia="Calibri"/>
                <w:color w:val="202124"/>
                <w:sz w:val="15"/>
              </w:rPr>
              <w:t>First article inspection and interchangeability test</w:t>
            </w:r>
          </w:p>
        </w:tc>
      </w:tr>
      <w:tr>
        <w:trPr>
          <w:cantSplit/>
        </w:trPr>
        <w:tc>
          <w:tcPr>
            <w:tcW w:type="dxa" w:w="1600"/>
            <w:tcMar>
              <w:top w:w="80" w:type="dxa"/>
              <w:start w:w="120" w:type="dxa"/>
              <w:bottom w:w="80" w:type="dxa"/>
              <w:end w:w="120" w:type="dxa"/>
            </w:tcMar>
            <w:vAlign w:val="center"/>
          </w:tcPr>
          <w:p>
            <w:pPr>
              <w:pStyle w:val="TableText"/>
              <w:spacing w:after="0"/>
            </w:pPr>
            <w:r>
              <w:rPr>
                <w:rFonts w:ascii="Calibri" w:hAnsi="Calibri" w:eastAsia="Calibri"/>
                <w:color w:val="202124"/>
                <w:sz w:val="15"/>
              </w:rPr>
              <w:t>SiPM PCB and front-end</w:t>
            </w:r>
          </w:p>
        </w:tc>
        <w:tc>
          <w:tcPr>
            <w:tcW w:type="dxa" w:w="2250"/>
            <w:tcMar>
              <w:top w:w="80" w:type="dxa"/>
              <w:start w:w="120" w:type="dxa"/>
              <w:bottom w:w="80" w:type="dxa"/>
              <w:end w:w="120" w:type="dxa"/>
            </w:tcMar>
            <w:vAlign w:val="center"/>
          </w:tcPr>
          <w:p>
            <w:pPr>
              <w:pStyle w:val="TableText"/>
              <w:spacing w:after="0"/>
            </w:pPr>
            <w:r>
              <w:rPr>
                <w:rFonts w:ascii="Calibri" w:hAnsi="Calibri" w:eastAsia="Calibri"/>
                <w:color w:val="202124"/>
                <w:sz w:val="15"/>
              </w:rPr>
              <w:t>Project electronics team plus qualified domestic PCB assembly</w:t>
            </w:r>
          </w:p>
        </w:tc>
        <w:tc>
          <w:tcPr>
            <w:tcW w:type="dxa" w:w="3410"/>
            <w:tcMar>
              <w:top w:w="80" w:type="dxa"/>
              <w:start w:w="120" w:type="dxa"/>
              <w:bottom w:w="80" w:type="dxa"/>
              <w:end w:w="120" w:type="dxa"/>
            </w:tcMar>
            <w:vAlign w:val="center"/>
          </w:tcPr>
          <w:p>
            <w:pPr>
              <w:pStyle w:val="TableText"/>
              <w:spacing w:after="0"/>
            </w:pPr>
            <w:r>
              <w:rPr>
                <w:rFonts w:ascii="Calibri" w:hAnsi="Calibri" w:eastAsia="Calibri"/>
                <w:color w:val="202124"/>
                <w:sz w:val="15"/>
              </w:rPr>
              <w:t>Circuit ownership, component selection, screening, calibration, firmware/data format</w:t>
            </w:r>
          </w:p>
        </w:tc>
        <w:tc>
          <w:tcPr>
            <w:tcW w:type="dxa" w:w="2100"/>
            <w:tcMar>
              <w:top w:w="80" w:type="dxa"/>
              <w:start w:w="120" w:type="dxa"/>
              <w:bottom w:w="80" w:type="dxa"/>
              <w:end w:w="120" w:type="dxa"/>
            </w:tcMar>
            <w:vAlign w:val="center"/>
          </w:tcPr>
          <w:p>
            <w:pPr>
              <w:pStyle w:val="TableText"/>
              <w:spacing w:after="0"/>
            </w:pPr>
            <w:r>
              <w:rPr>
                <w:rFonts w:ascii="Calibri" w:hAnsi="Calibri" w:eastAsia="Calibri"/>
                <w:color w:val="202124"/>
                <w:sz w:val="15"/>
              </w:rPr>
              <w:t>Bench qualification before chamber integration</w:t>
            </w:r>
          </w:p>
        </w:tc>
      </w:tr>
    </w:tbl>
    <w:p>
      <w:pPr>
        <w:pStyle w:val="Heading2"/>
      </w:pPr>
      <w:r>
        <w:t>Recommended responsibility split</w:t>
      </w:r>
    </w:p>
    <w:p>
      <w:pPr>
        <w:keepLines/>
      </w:pPr>
      <w:r>
        <w:rPr>
          <w:rFonts w:ascii="Calibri" w:hAnsi="Calibri" w:eastAsia="Calibri"/>
        </w:rPr>
        <w:t>PrMat should own the vacuum boundary, purchased ICF integration, rotary feedthrough installation, metallic cartridge/cassette parts, final chamber dimensional report, and helium leak acceptance. The scintillator supplier should own the optical material and polished part. The project electronics team should own SiPM selection, PCB, dynamic range, bias control, calibration, and data interpretation.</w:t>
      </w:r>
    </w:p>
    <w:p>
      <w:pPr>
        <w:keepLines/>
      </w:pPr>
      <w:r>
        <w:rPr>
          <w:rFonts w:ascii="Calibri" w:hAnsi="Calibri" w:eastAsia="Calibri"/>
        </w:rPr>
        <w:t>PrMat may perform final mechanical assembly after the project supplies an accepted golden detector cassette and a controlled assembly traveler. PrMat should not be assigned responsibility for SiPM saturation, optical coupling, or particle-response calibration unless it demonstrates the required detector-physics capability and accepts quantitative performance criteria.</w:t>
      </w:r>
    </w:p>
    <w:p>
      <w:pPr>
        <w:pStyle w:val="Heading2"/>
      </w:pPr>
      <w:r>
        <w:t>Preliminary purchase phasing</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1550"/>
        <w:gridCol w:w="2900"/>
        <w:gridCol w:w="2850"/>
        <w:gridCol w:w="2060"/>
      </w:tblGrid>
      <w:tr>
        <w:trPr>
          <w:cantSplit/>
          <w:tblHeader w:val="true"/>
          <w:cantSplit/>
        </w:trPr>
        <w:tc>
          <w:tcPr>
            <w:tcW w:type="dxa" w:w="155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Gate</w:t>
            </w:r>
          </w:p>
        </w:tc>
        <w:tc>
          <w:tcPr>
            <w:tcW w:type="dxa" w:w="29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Suggested items</w:t>
            </w:r>
          </w:p>
        </w:tc>
        <w:tc>
          <w:tcPr>
            <w:tcW w:type="dxa" w:w="285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Quantity guidance</w:t>
            </w:r>
          </w:p>
        </w:tc>
        <w:tc>
          <w:tcPr>
            <w:tcW w:type="dxa" w:w="206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Purpose</w:t>
            </w:r>
          </w:p>
        </w:tc>
      </w:tr>
      <w:tr>
        <w:trPr>
          <w:cantSplit/>
        </w:trPr>
        <w:tc>
          <w:tcPr>
            <w:tcW w:type="dxa" w:w="1550"/>
            <w:tcMar>
              <w:top w:w="80" w:type="dxa"/>
              <w:start w:w="120" w:type="dxa"/>
              <w:bottom w:w="80" w:type="dxa"/>
              <w:end w:w="120" w:type="dxa"/>
            </w:tcMar>
            <w:vAlign w:val="center"/>
          </w:tcPr>
          <w:p>
            <w:pPr>
              <w:pStyle w:val="TableText"/>
              <w:spacing w:after="0"/>
            </w:pPr>
            <w:r>
              <w:rPr>
                <w:rFonts w:ascii="Calibri" w:hAnsi="Calibri" w:eastAsia="Calibri"/>
                <w:color w:val="202124"/>
                <w:sz w:val="16"/>
              </w:rPr>
              <w:t>P1 sensor/material study</w:t>
            </w:r>
          </w:p>
        </w:tc>
        <w:tc>
          <w:tcPr>
            <w:tcW w:type="dxa" w:w="2900"/>
            <w:tcMar>
              <w:top w:w="80" w:type="dxa"/>
              <w:start w:w="120" w:type="dxa"/>
              <w:bottom w:w="80" w:type="dxa"/>
              <w:end w:w="120" w:type="dxa"/>
            </w:tcMar>
            <w:vAlign w:val="center"/>
          </w:tcPr>
          <w:p>
            <w:pPr>
              <w:pStyle w:val="TableText"/>
              <w:spacing w:after="0"/>
            </w:pPr>
            <w:r>
              <w:rPr>
                <w:rFonts w:ascii="Calibri" w:hAnsi="Calibri" w:eastAsia="Calibri"/>
                <w:color w:val="202124"/>
                <w:sz w:val="16"/>
              </w:rPr>
              <w:t>EQR15, EQR20, Hamamatsu reference; domestic plastic samples</w:t>
            </w:r>
          </w:p>
        </w:tc>
        <w:tc>
          <w:tcPr>
            <w:tcW w:type="dxa" w:w="2850"/>
            <w:tcMar>
              <w:top w:w="80" w:type="dxa"/>
              <w:start w:w="120" w:type="dxa"/>
              <w:bottom w:w="80" w:type="dxa"/>
              <w:end w:w="120" w:type="dxa"/>
            </w:tcMar>
            <w:vAlign w:val="center"/>
          </w:tcPr>
          <w:p>
            <w:pPr>
              <w:pStyle w:val="TableText"/>
              <w:spacing w:after="0"/>
            </w:pPr>
            <w:r>
              <w:rPr>
                <w:rFonts w:ascii="Calibri" w:hAnsi="Calibri" w:eastAsia="Calibri"/>
                <w:color w:val="202124"/>
                <w:sz w:val="16"/>
              </w:rPr>
              <w:t>EQR15: 10; EQR20: 4; Hamamatsu: 2; plastic variants: 6–10 pieces</w:t>
            </w:r>
          </w:p>
        </w:tc>
        <w:tc>
          <w:tcPr>
            <w:tcW w:type="dxa" w:w="2060"/>
            <w:tcMar>
              <w:top w:w="80" w:type="dxa"/>
              <w:start w:w="120" w:type="dxa"/>
              <w:bottom w:w="80" w:type="dxa"/>
              <w:end w:w="120" w:type="dxa"/>
            </w:tcMar>
            <w:vAlign w:val="center"/>
          </w:tcPr>
          <w:p>
            <w:pPr>
              <w:pStyle w:val="TableText"/>
              <w:spacing w:after="0"/>
            </w:pPr>
            <w:r>
              <w:rPr>
                <w:rFonts w:ascii="Calibri" w:hAnsi="Calibri" w:eastAsia="Calibri"/>
                <w:color w:val="202124"/>
                <w:sz w:val="16"/>
              </w:rPr>
              <w:t>Lot screening, optical variants, electronics and saturation tests</w:t>
            </w:r>
          </w:p>
        </w:tc>
      </w:tr>
      <w:tr>
        <w:trPr>
          <w:cantSplit/>
        </w:trPr>
        <w:tc>
          <w:tcPr>
            <w:tcW w:type="dxa" w:w="1550"/>
            <w:tcMar>
              <w:top w:w="80" w:type="dxa"/>
              <w:start w:w="120" w:type="dxa"/>
              <w:bottom w:w="80" w:type="dxa"/>
              <w:end w:w="120" w:type="dxa"/>
            </w:tcMar>
            <w:vAlign w:val="center"/>
          </w:tcPr>
          <w:p>
            <w:pPr>
              <w:pStyle w:val="TableText"/>
              <w:spacing w:after="0"/>
            </w:pPr>
            <w:r>
              <w:rPr>
                <w:rFonts w:ascii="Calibri" w:hAnsi="Calibri" w:eastAsia="Calibri"/>
                <w:color w:val="202124"/>
                <w:sz w:val="16"/>
              </w:rPr>
              <w:t>P2 one-sector prototype</w:t>
            </w:r>
          </w:p>
        </w:tc>
        <w:tc>
          <w:tcPr>
            <w:tcW w:type="dxa" w:w="2900"/>
            <w:tcMar>
              <w:top w:w="80" w:type="dxa"/>
              <w:start w:w="120" w:type="dxa"/>
              <w:bottom w:w="80" w:type="dxa"/>
              <w:end w:w="120" w:type="dxa"/>
            </w:tcMar>
            <w:vAlign w:val="center"/>
          </w:tcPr>
          <w:p>
            <w:pPr>
              <w:pStyle w:val="TableText"/>
              <w:spacing w:after="0"/>
            </w:pPr>
            <w:r>
              <w:rPr>
                <w:rFonts w:ascii="Calibri" w:hAnsi="Calibri" w:eastAsia="Calibri"/>
                <w:color w:val="202124"/>
                <w:sz w:val="16"/>
              </w:rPr>
              <w:t>One D + P-small + P-large cassettes and cables</w:t>
            </w:r>
          </w:p>
        </w:tc>
        <w:tc>
          <w:tcPr>
            <w:tcW w:type="dxa" w:w="2850"/>
            <w:tcMar>
              <w:top w:w="80" w:type="dxa"/>
              <w:start w:w="120" w:type="dxa"/>
              <w:bottom w:w="80" w:type="dxa"/>
              <w:end w:w="120" w:type="dxa"/>
            </w:tcMar>
            <w:vAlign w:val="center"/>
          </w:tcPr>
          <w:p>
            <w:pPr>
              <w:pStyle w:val="TableText"/>
              <w:spacing w:after="0"/>
            </w:pPr>
            <w:r>
              <w:rPr>
                <w:rFonts w:ascii="Calibri" w:hAnsi="Calibri" w:eastAsia="Calibri"/>
                <w:color w:val="202124"/>
                <w:sz w:val="16"/>
              </w:rPr>
              <w:t>3 operating + at least 2 spare detector assemblies</w:t>
            </w:r>
          </w:p>
        </w:tc>
        <w:tc>
          <w:tcPr>
            <w:tcW w:type="dxa" w:w="2060"/>
            <w:tcMar>
              <w:top w:w="80" w:type="dxa"/>
              <w:start w:w="120" w:type="dxa"/>
              <w:bottom w:w="80" w:type="dxa"/>
              <w:end w:w="120" w:type="dxa"/>
            </w:tcMar>
            <w:vAlign w:val="center"/>
          </w:tcPr>
          <w:p>
            <w:pPr>
              <w:pStyle w:val="TableText"/>
              <w:spacing w:after="0"/>
            </w:pPr>
            <w:r>
              <w:rPr>
                <w:rFonts w:ascii="Calibri" w:hAnsi="Calibri" w:eastAsia="Calibri"/>
                <w:color w:val="202124"/>
                <w:sz w:val="16"/>
              </w:rPr>
              <w:t>Real three-channel coincidence and integration trial</w:t>
            </w:r>
          </w:p>
        </w:tc>
      </w:tr>
      <w:tr>
        <w:trPr>
          <w:cantSplit/>
        </w:trPr>
        <w:tc>
          <w:tcPr>
            <w:tcW w:type="dxa" w:w="1550"/>
            <w:tcMar>
              <w:top w:w="80" w:type="dxa"/>
              <w:start w:w="120" w:type="dxa"/>
              <w:bottom w:w="80" w:type="dxa"/>
              <w:end w:w="120" w:type="dxa"/>
            </w:tcMar>
            <w:vAlign w:val="center"/>
          </w:tcPr>
          <w:p>
            <w:pPr>
              <w:pStyle w:val="TableText"/>
              <w:spacing w:after="0"/>
            </w:pPr>
            <w:r>
              <w:rPr>
                <w:rFonts w:ascii="Calibri" w:hAnsi="Calibri" w:eastAsia="Calibri"/>
                <w:color w:val="202124"/>
                <w:sz w:val="16"/>
              </w:rPr>
              <w:t>P3 chamber prototype</w:t>
            </w:r>
          </w:p>
        </w:tc>
        <w:tc>
          <w:tcPr>
            <w:tcW w:type="dxa" w:w="2900"/>
            <w:tcMar>
              <w:top w:w="80" w:type="dxa"/>
              <w:start w:w="120" w:type="dxa"/>
              <w:bottom w:w="80" w:type="dxa"/>
              <w:end w:w="120" w:type="dxa"/>
            </w:tcMar>
            <w:vAlign w:val="center"/>
          </w:tcPr>
          <w:p>
            <w:pPr>
              <w:pStyle w:val="TableText"/>
              <w:spacing w:after="0"/>
            </w:pPr>
            <w:r>
              <w:rPr>
                <w:rFonts w:ascii="Calibri" w:hAnsi="Calibri" w:eastAsia="Calibri"/>
                <w:color w:val="202124"/>
                <w:sz w:val="16"/>
              </w:rPr>
              <w:t>One engineering chamber, rotary feedthrough, service feedthrough set</w:t>
            </w:r>
          </w:p>
        </w:tc>
        <w:tc>
          <w:tcPr>
            <w:tcW w:type="dxa" w:w="2850"/>
            <w:tcMar>
              <w:top w:w="80" w:type="dxa"/>
              <w:start w:w="120" w:type="dxa"/>
              <w:bottom w:w="80" w:type="dxa"/>
              <w:end w:w="120" w:type="dxa"/>
            </w:tcMar>
            <w:vAlign w:val="center"/>
          </w:tcPr>
          <w:p>
            <w:pPr>
              <w:pStyle w:val="TableText"/>
              <w:spacing w:after="0"/>
            </w:pPr>
            <w:r>
              <w:rPr>
                <w:rFonts w:ascii="Calibri" w:hAnsi="Calibri" w:eastAsia="Calibri"/>
                <w:color w:val="202124"/>
                <w:sz w:val="16"/>
              </w:rPr>
              <w:t>One set; buy critical seals/gaskets and cable spares</w:t>
            </w:r>
          </w:p>
        </w:tc>
        <w:tc>
          <w:tcPr>
            <w:tcW w:type="dxa" w:w="2060"/>
            <w:tcMar>
              <w:top w:w="80" w:type="dxa"/>
              <w:start w:w="120" w:type="dxa"/>
              <w:bottom w:w="80" w:type="dxa"/>
              <w:end w:w="120" w:type="dxa"/>
            </w:tcMar>
            <w:vAlign w:val="center"/>
          </w:tcPr>
          <w:p>
            <w:pPr>
              <w:pStyle w:val="TableText"/>
              <w:spacing w:after="0"/>
            </w:pPr>
            <w:r>
              <w:rPr>
                <w:rFonts w:ascii="Calibri" w:hAnsi="Calibri" w:eastAsia="Calibri"/>
                <w:color w:val="202124"/>
                <w:sz w:val="16"/>
              </w:rPr>
              <w:t>Vacuum, thermal, alignment, handling, and maintenance qualification</w:t>
            </w:r>
          </w:p>
        </w:tc>
      </w:tr>
      <w:tr>
        <w:trPr>
          <w:cantSplit/>
        </w:trPr>
        <w:tc>
          <w:tcPr>
            <w:tcW w:type="dxa" w:w="1550"/>
            <w:tcMar>
              <w:top w:w="80" w:type="dxa"/>
              <w:start w:w="120" w:type="dxa"/>
              <w:bottom w:w="80" w:type="dxa"/>
              <w:end w:w="120" w:type="dxa"/>
            </w:tcMar>
            <w:vAlign w:val="center"/>
          </w:tcPr>
          <w:p>
            <w:pPr>
              <w:pStyle w:val="TableText"/>
              <w:spacing w:after="0"/>
            </w:pPr>
            <w:r>
              <w:rPr>
                <w:rFonts w:ascii="Calibri" w:hAnsi="Calibri" w:eastAsia="Calibri"/>
                <w:color w:val="202124"/>
                <w:sz w:val="16"/>
              </w:rPr>
              <w:t>P4 production</w:t>
            </w:r>
          </w:p>
        </w:tc>
        <w:tc>
          <w:tcPr>
            <w:tcW w:type="dxa" w:w="2900"/>
            <w:tcMar>
              <w:top w:w="80" w:type="dxa"/>
              <w:start w:w="120" w:type="dxa"/>
              <w:bottom w:w="80" w:type="dxa"/>
              <w:end w:w="120" w:type="dxa"/>
            </w:tcMar>
            <w:vAlign w:val="center"/>
          </w:tcPr>
          <w:p>
            <w:pPr>
              <w:pStyle w:val="TableText"/>
              <w:spacing w:after="0"/>
            </w:pPr>
            <w:r>
              <w:rPr>
                <w:rFonts w:ascii="Calibri" w:hAnsi="Calibri" w:eastAsia="Calibri"/>
                <w:color w:val="202124"/>
                <w:sz w:val="16"/>
              </w:rPr>
              <w:t>Twelve operating channels plus spares</w:t>
            </w:r>
          </w:p>
        </w:tc>
        <w:tc>
          <w:tcPr>
            <w:tcW w:type="dxa" w:w="2850"/>
            <w:tcMar>
              <w:top w:w="80" w:type="dxa"/>
              <w:start w:w="120" w:type="dxa"/>
              <w:bottom w:w="80" w:type="dxa"/>
              <w:end w:w="120" w:type="dxa"/>
            </w:tcMar>
            <w:vAlign w:val="center"/>
          </w:tcPr>
          <w:p>
            <w:pPr>
              <w:pStyle w:val="TableText"/>
              <w:spacing w:after="0"/>
            </w:pPr>
            <w:r>
              <w:rPr>
                <w:rFonts w:ascii="Calibri" w:hAnsi="Calibri" w:eastAsia="Calibri"/>
                <w:color w:val="202124"/>
                <w:sz w:val="16"/>
              </w:rPr>
              <w:t>15 scintillators and 15 accepted EQR15 minimum; adjust after screening yield</w:t>
            </w:r>
          </w:p>
        </w:tc>
        <w:tc>
          <w:tcPr>
            <w:tcW w:type="dxa" w:w="2060"/>
            <w:tcMar>
              <w:top w:w="80" w:type="dxa"/>
              <w:start w:w="120" w:type="dxa"/>
              <w:bottom w:w="80" w:type="dxa"/>
              <w:end w:w="120" w:type="dxa"/>
            </w:tcMar>
            <w:vAlign w:val="center"/>
          </w:tcPr>
          <w:p>
            <w:pPr>
              <w:pStyle w:val="TableText"/>
              <w:spacing w:after="0"/>
            </w:pPr>
            <w:r>
              <w:rPr>
                <w:rFonts w:ascii="Calibri" w:hAnsi="Calibri" w:eastAsia="Calibri"/>
                <w:color w:val="202124"/>
                <w:sz w:val="16"/>
              </w:rPr>
              <w:t>Four-sector installation with replaceable spares</w:t>
            </w:r>
          </w:p>
        </w:tc>
      </w:tr>
    </w:tbl>
    <w:p>
      <w:pPr>
        <w:keepLines/>
      </w:pPr>
      <w:r>
        <w:rPr>
          <w:rFonts w:ascii="Calibri" w:hAnsi="Calibri" w:eastAsia="Calibri"/>
        </w:rPr>
        <w:t>Quantities are planning values, not an authorization to purchase. The EQR15 production quantity must include the measured screening yield, and all production sensors should be from a controlled lot where practical.</w:t>
      </w:r>
    </w:p>
    <w:p>
      <w:pPr>
        <w:pStyle w:val="Heading1"/>
      </w:pPr>
      <w:r>
        <w:t>10. Development and verification plan</w:t>
      </w:r>
    </w:p>
    <w:p>
      <w:pPr>
        <w:numPr>
          <w:ilvl w:val="0"/>
          <w:numId w:val="11"/>
        </w:numPr>
        <w:spacing w:after="160" w:line="280" w:lineRule="auto"/>
        <w:keepLines/>
      </w:pPr>
      <w:r>
        <w:rPr>
          <w:rFonts w:ascii="Calibri" w:hAnsi="Calibri" w:eastAsia="Calibri"/>
        </w:rPr>
        <w:t>Gate 0 — freeze physics and interfaces. Keep the ICF114 front/rear and afterSRC ICF70 top contracts fixed; approve beam stay-clear, detector radii/diameters, the thickness-test matrix, target motion envelope, vacuum/bake class, port map, survey datums, and transport limits.</w:t>
      </w:r>
    </w:p>
    <w:p>
      <w:pPr>
        <w:numPr>
          <w:ilvl w:val="0"/>
          <w:numId w:val="11"/>
        </w:numPr>
        <w:spacing w:after="160" w:line="280" w:lineRule="auto"/>
        <w:keepLines/>
      </w:pPr>
      <w:r>
        <w:rPr>
          <w:rFonts w:ascii="Calibri" w:hAnsi="Calibri" w:eastAsia="Calibri"/>
        </w:rPr>
        <w:t>Gate 1 — single-detector optical/electronic prototype. Compare EQR15, EQR20, and the Hamamatsu reference on direct-coupled plastic variants. Complete LED/laser saturation, charge-range, timing, temperature, and 2D uniformity scans.</w:t>
      </w:r>
    </w:p>
    <w:p>
      <w:pPr>
        <w:numPr>
          <w:ilvl w:val="0"/>
          <w:numId w:val="11"/>
        </w:numPr>
        <w:spacing w:after="160" w:line="280" w:lineRule="auto"/>
        <w:keepLines/>
      </w:pPr>
      <w:r>
        <w:rPr>
          <w:rFonts w:ascii="Calibri" w:hAnsi="Calibri" w:eastAsia="Calibri"/>
        </w:rPr>
        <w:t>Gate 2 — one-sector coincidence prototype. Build D, P-small, and P-large channels with final-style cabling and front-end. Validate thresholds, coincidence timing, energy separation, common-mode noise, and calibration metadata.</w:t>
      </w:r>
    </w:p>
    <w:p>
      <w:pPr>
        <w:numPr>
          <w:ilvl w:val="0"/>
          <w:numId w:val="11"/>
        </w:numPr>
        <w:spacing w:after="160" w:line="280" w:lineRule="auto"/>
        <w:keepLines/>
      </w:pPr>
      <w:r>
        <w:rPr>
          <w:rFonts w:ascii="Calibri" w:hAnsi="Calibri" w:eastAsia="Calibri"/>
        </w:rPr>
        <w:t>Gate 3 — vacuum detector cartridge. Run vacuum soak, thermal cycling, dark-rate monitoring, outgassing screening, cable/feedthrough noise testing, and post-vacuum optical remeasurement.</w:t>
      </w:r>
    </w:p>
    <w:p>
      <w:pPr>
        <w:numPr>
          <w:ilvl w:val="0"/>
          <w:numId w:val="11"/>
        </w:numPr>
        <w:spacing w:after="160" w:line="280" w:lineRule="auto"/>
        <w:keepLines/>
      </w:pPr>
      <w:r>
        <w:rPr>
          <w:rFonts w:ascii="Calibri" w:hAnsi="Calibri" w:eastAsia="Calibri"/>
        </w:rPr>
        <w:t>Gate 4 — engineering chamber. Complete PrMat first article, external-pressure review, dimensional inspection, helium leak test, target motion test, detector insertion/removal trial, and transport handling demonstration.</w:t>
      </w:r>
    </w:p>
    <w:p>
      <w:pPr>
        <w:numPr>
          <w:ilvl w:val="0"/>
          <w:numId w:val="11"/>
        </w:numPr>
        <w:spacing w:after="160" w:line="280" w:lineRule="auto"/>
        <w:keepLines/>
      </w:pPr>
      <w:r>
        <w:rPr>
          <w:rFonts w:ascii="Calibri" w:hAnsi="Calibri" w:eastAsia="Calibri"/>
        </w:rPr>
        <w:t>Gate 5 — production release. Freeze drawings and travelers only after the golden sector and engineering chamber pass. Procure twelve operating channels plus approved spares and repeat acceptance tests.</w:t>
      </w:r>
    </w:p>
    <w:p>
      <w:pPr>
        <w:pStyle w:val="Heading2"/>
        <w:pageBreakBefore/>
      </w:pPr>
      <w:r>
        <w:t>Minimum detector acceptance matrix</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1650"/>
        <w:gridCol w:w="2800"/>
        <w:gridCol w:w="3340"/>
        <w:gridCol w:w="1570"/>
      </w:tblGrid>
      <w:tr>
        <w:trPr>
          <w:cantSplit/>
          <w:tblHeader w:val="true"/>
          <w:cantSplit/>
        </w:trPr>
        <w:tc>
          <w:tcPr>
            <w:tcW w:type="dxa" w:w="165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Test</w:t>
            </w:r>
          </w:p>
        </w:tc>
        <w:tc>
          <w:tcPr>
            <w:tcW w:type="dxa" w:w="28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Method</w:t>
            </w:r>
          </w:p>
        </w:tc>
        <w:tc>
          <w:tcPr>
            <w:tcW w:type="dxa" w:w="334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Prototype pass criterion</w:t>
            </w:r>
          </w:p>
        </w:tc>
        <w:tc>
          <w:tcPr>
            <w:tcW w:type="dxa" w:w="157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5"/>
              </w:rPr>
              <w:t>Production record</w:t>
            </w:r>
          </w:p>
        </w:tc>
      </w:tr>
      <w:tr>
        <w:trPr>
          <w:cantSplit/>
        </w:trPr>
        <w:tc>
          <w:tcPr>
            <w:tcW w:type="dxa" w:w="1650"/>
            <w:tcMar>
              <w:top w:w="80" w:type="dxa"/>
              <w:start w:w="120" w:type="dxa"/>
              <w:bottom w:w="80" w:type="dxa"/>
              <w:end w:w="120" w:type="dxa"/>
            </w:tcMar>
            <w:vAlign w:val="center"/>
          </w:tcPr>
          <w:p>
            <w:pPr>
              <w:pStyle w:val="TableText"/>
              <w:spacing w:after="0"/>
            </w:pPr>
            <w:r>
              <w:rPr>
                <w:rFonts w:ascii="Calibri" w:hAnsi="Calibri" w:eastAsia="Calibri"/>
                <w:color w:val="202124"/>
                <w:sz w:val="15"/>
              </w:rPr>
              <w:t>SiPM electrical screen</w:t>
            </w:r>
          </w:p>
        </w:tc>
        <w:tc>
          <w:tcPr>
            <w:tcW w:type="dxa" w:w="2800"/>
            <w:tcMar>
              <w:top w:w="80" w:type="dxa"/>
              <w:start w:w="120" w:type="dxa"/>
              <w:bottom w:w="80" w:type="dxa"/>
              <w:end w:w="120" w:type="dxa"/>
            </w:tcMar>
            <w:vAlign w:val="center"/>
          </w:tcPr>
          <w:p>
            <w:pPr>
              <w:pStyle w:val="TableText"/>
              <w:spacing w:after="0"/>
            </w:pPr>
            <w:r>
              <w:rPr>
                <w:rFonts w:ascii="Calibri" w:hAnsi="Calibri" w:eastAsia="Calibri"/>
                <w:color w:val="202124"/>
                <w:sz w:val="15"/>
              </w:rPr>
              <w:t>Automated I–V, gain, dark count, correlated noise, temperature scan</w:t>
            </w:r>
          </w:p>
        </w:tc>
        <w:tc>
          <w:tcPr>
            <w:tcW w:type="dxa" w:w="3340"/>
            <w:tcMar>
              <w:top w:w="80" w:type="dxa"/>
              <w:start w:w="120" w:type="dxa"/>
              <w:bottom w:w="80" w:type="dxa"/>
              <w:end w:w="120" w:type="dxa"/>
            </w:tcMar>
            <w:vAlign w:val="center"/>
          </w:tcPr>
          <w:p>
            <w:pPr>
              <w:pStyle w:val="TableText"/>
              <w:spacing w:after="0"/>
            </w:pPr>
            <w:r>
              <w:rPr>
                <w:rFonts w:ascii="Calibri" w:hAnsi="Calibri" w:eastAsia="Calibri"/>
                <w:color w:val="202124"/>
                <w:sz w:val="15"/>
              </w:rPr>
              <w:t>Acceptance windows derived from the prototype sample; no unstable devices</w:t>
            </w:r>
          </w:p>
        </w:tc>
        <w:tc>
          <w:tcPr>
            <w:tcW w:type="dxa" w:w="1570"/>
            <w:tcMar>
              <w:top w:w="80" w:type="dxa"/>
              <w:start w:w="120" w:type="dxa"/>
              <w:bottom w:w="80" w:type="dxa"/>
              <w:end w:w="120" w:type="dxa"/>
            </w:tcMar>
            <w:vAlign w:val="center"/>
          </w:tcPr>
          <w:p>
            <w:pPr>
              <w:pStyle w:val="TableText"/>
              <w:spacing w:after="0"/>
            </w:pPr>
            <w:r>
              <w:rPr>
                <w:rFonts w:ascii="Calibri" w:hAnsi="Calibri" w:eastAsia="Calibri"/>
                <w:color w:val="202124"/>
                <w:sz w:val="15"/>
              </w:rPr>
              <w:t>Per-device serial-number data</w:t>
            </w:r>
          </w:p>
        </w:tc>
      </w:tr>
      <w:tr>
        <w:trPr>
          <w:cantSplit/>
        </w:trPr>
        <w:tc>
          <w:tcPr>
            <w:tcW w:type="dxa" w:w="1650"/>
            <w:tcMar>
              <w:top w:w="80" w:type="dxa"/>
              <w:start w:w="120" w:type="dxa"/>
              <w:bottom w:w="80" w:type="dxa"/>
              <w:end w:w="120" w:type="dxa"/>
            </w:tcMar>
            <w:vAlign w:val="center"/>
          </w:tcPr>
          <w:p>
            <w:pPr>
              <w:pStyle w:val="TableText"/>
              <w:spacing w:after="0"/>
            </w:pPr>
            <w:r>
              <w:rPr>
                <w:rFonts w:ascii="Calibri" w:hAnsi="Calibri" w:eastAsia="Calibri"/>
                <w:color w:val="202124"/>
                <w:sz w:val="15"/>
              </w:rPr>
              <w:t>Optical linearity</w:t>
            </w:r>
          </w:p>
        </w:tc>
        <w:tc>
          <w:tcPr>
            <w:tcW w:type="dxa" w:w="2800"/>
            <w:tcMar>
              <w:top w:w="80" w:type="dxa"/>
              <w:start w:w="120" w:type="dxa"/>
              <w:bottom w:w="80" w:type="dxa"/>
              <w:end w:w="120" w:type="dxa"/>
            </w:tcMar>
            <w:vAlign w:val="center"/>
          </w:tcPr>
          <w:p>
            <w:pPr>
              <w:pStyle w:val="TableText"/>
              <w:spacing w:after="0"/>
            </w:pPr>
            <w:r>
              <w:rPr>
                <w:rFonts w:ascii="Calibri" w:hAnsi="Calibri" w:eastAsia="Calibri"/>
                <w:color w:val="202124"/>
                <w:sz w:val="15"/>
              </w:rPr>
              <w:t>Pulsed 415–425 nm source with calibrated intensity steps</w:t>
            </w:r>
          </w:p>
        </w:tc>
        <w:tc>
          <w:tcPr>
            <w:tcW w:type="dxa" w:w="3340"/>
            <w:tcMar>
              <w:top w:w="80" w:type="dxa"/>
              <w:start w:w="120" w:type="dxa"/>
              <w:bottom w:w="80" w:type="dxa"/>
              <w:end w:w="120" w:type="dxa"/>
            </w:tcMar>
            <w:vAlign w:val="center"/>
          </w:tcPr>
          <w:p>
            <w:pPr>
              <w:pStyle w:val="TableText"/>
              <w:spacing w:after="0"/>
            </w:pPr>
            <w:r>
              <w:rPr>
                <w:rFonts w:ascii="Calibri" w:hAnsi="Calibri" w:eastAsia="Calibri"/>
                <w:color w:val="202124"/>
                <w:sz w:val="15"/>
              </w:rPr>
              <w:t>EQR15 corrected residual within project target through normal d–p range; no electronics clipping</w:t>
            </w:r>
          </w:p>
        </w:tc>
        <w:tc>
          <w:tcPr>
            <w:tcW w:type="dxa" w:w="1570"/>
            <w:tcMar>
              <w:top w:w="80" w:type="dxa"/>
              <w:start w:w="120" w:type="dxa"/>
              <w:bottom w:w="80" w:type="dxa"/>
              <w:end w:w="120" w:type="dxa"/>
            </w:tcMar>
            <w:vAlign w:val="center"/>
          </w:tcPr>
          <w:p>
            <w:pPr>
              <w:pStyle w:val="TableText"/>
              <w:spacing w:after="0"/>
            </w:pPr>
            <w:r>
              <w:rPr>
                <w:rFonts w:ascii="Calibri" w:hAnsi="Calibri" w:eastAsia="Calibri"/>
                <w:color w:val="202124"/>
                <w:sz w:val="15"/>
              </w:rPr>
              <w:t>Per-channel correction curve</w:t>
            </w:r>
          </w:p>
        </w:tc>
      </w:tr>
      <w:tr>
        <w:trPr>
          <w:cantSplit/>
        </w:trPr>
        <w:tc>
          <w:tcPr>
            <w:tcW w:type="dxa" w:w="1650"/>
            <w:tcMar>
              <w:top w:w="80" w:type="dxa"/>
              <w:start w:w="120" w:type="dxa"/>
              <w:bottom w:w="80" w:type="dxa"/>
              <w:end w:w="120" w:type="dxa"/>
            </w:tcMar>
            <w:vAlign w:val="center"/>
          </w:tcPr>
          <w:p>
            <w:pPr>
              <w:pStyle w:val="TableText"/>
              <w:spacing w:after="0"/>
            </w:pPr>
            <w:r>
              <w:rPr>
                <w:rFonts w:ascii="Calibri" w:hAnsi="Calibri" w:eastAsia="Calibri"/>
                <w:color w:val="202124"/>
                <w:sz w:val="15"/>
              </w:rPr>
              <w:t>Timing</w:t>
            </w:r>
          </w:p>
        </w:tc>
        <w:tc>
          <w:tcPr>
            <w:tcW w:type="dxa" w:w="2800"/>
            <w:tcMar>
              <w:top w:w="80" w:type="dxa"/>
              <w:start w:w="120" w:type="dxa"/>
              <w:bottom w:w="80" w:type="dxa"/>
              <w:end w:w="120" w:type="dxa"/>
            </w:tcMar>
            <w:vAlign w:val="center"/>
          </w:tcPr>
          <w:p>
            <w:pPr>
              <w:pStyle w:val="TableText"/>
              <w:spacing w:after="0"/>
            </w:pPr>
            <w:r>
              <w:rPr>
                <w:rFonts w:ascii="Calibri" w:hAnsi="Calibri" w:eastAsia="Calibri"/>
                <w:color w:val="202124"/>
                <w:sz w:val="15"/>
              </w:rPr>
              <w:t>Fast pulsed source and coincidence reference</w:t>
            </w:r>
          </w:p>
        </w:tc>
        <w:tc>
          <w:tcPr>
            <w:tcW w:type="dxa" w:w="3340"/>
            <w:tcMar>
              <w:top w:w="80" w:type="dxa"/>
              <w:start w:w="120" w:type="dxa"/>
              <w:bottom w:w="80" w:type="dxa"/>
              <w:end w:w="120" w:type="dxa"/>
            </w:tcMar>
            <w:vAlign w:val="center"/>
          </w:tcPr>
          <w:p>
            <w:pPr>
              <w:pStyle w:val="TableText"/>
              <w:spacing w:after="0"/>
            </w:pPr>
            <w:r>
              <w:rPr>
                <w:rFonts w:ascii="Calibri" w:hAnsi="Calibri" w:eastAsia="Calibri"/>
                <w:color w:val="202124"/>
                <w:sz w:val="15"/>
              </w:rPr>
              <w:t>Threshold and time walk support experiment coincidence requirement</w:t>
            </w:r>
          </w:p>
        </w:tc>
        <w:tc>
          <w:tcPr>
            <w:tcW w:type="dxa" w:w="1570"/>
            <w:tcMar>
              <w:top w:w="80" w:type="dxa"/>
              <w:start w:w="120" w:type="dxa"/>
              <w:bottom w:w="80" w:type="dxa"/>
              <w:end w:w="120" w:type="dxa"/>
            </w:tcMar>
            <w:vAlign w:val="center"/>
          </w:tcPr>
          <w:p>
            <w:pPr>
              <w:pStyle w:val="TableText"/>
              <w:spacing w:after="0"/>
            </w:pPr>
            <w:r>
              <w:rPr>
                <w:rFonts w:ascii="Calibri" w:hAnsi="Calibri" w:eastAsia="Calibri"/>
                <w:color w:val="202124"/>
                <w:sz w:val="15"/>
              </w:rPr>
              <w:t>Per-channel timing calibration</w:t>
            </w:r>
          </w:p>
        </w:tc>
      </w:tr>
      <w:tr>
        <w:trPr>
          <w:cantSplit/>
        </w:trPr>
        <w:tc>
          <w:tcPr>
            <w:tcW w:type="dxa" w:w="1650"/>
            <w:tcMar>
              <w:top w:w="80" w:type="dxa"/>
              <w:start w:w="120" w:type="dxa"/>
              <w:bottom w:w="80" w:type="dxa"/>
              <w:end w:w="120" w:type="dxa"/>
            </w:tcMar>
            <w:vAlign w:val="center"/>
          </w:tcPr>
          <w:p>
            <w:pPr>
              <w:pStyle w:val="TableText"/>
              <w:spacing w:after="0"/>
            </w:pPr>
            <w:r>
              <w:rPr>
                <w:rFonts w:ascii="Calibri" w:hAnsi="Calibri" w:eastAsia="Calibri"/>
                <w:color w:val="202124"/>
                <w:sz w:val="15"/>
              </w:rPr>
              <w:t>Uniformity</w:t>
            </w:r>
          </w:p>
        </w:tc>
        <w:tc>
          <w:tcPr>
            <w:tcW w:type="dxa" w:w="2800"/>
            <w:tcMar>
              <w:top w:w="80" w:type="dxa"/>
              <w:start w:w="120" w:type="dxa"/>
              <w:bottom w:w="80" w:type="dxa"/>
              <w:end w:w="120" w:type="dxa"/>
            </w:tcMar>
            <w:vAlign w:val="center"/>
          </w:tcPr>
          <w:p>
            <w:pPr>
              <w:pStyle w:val="TableText"/>
              <w:spacing w:after="0"/>
            </w:pPr>
            <w:r>
              <w:rPr>
                <w:rFonts w:ascii="Calibri" w:hAnsi="Calibri" w:eastAsia="Calibri"/>
                <w:color w:val="202124"/>
                <w:sz w:val="15"/>
              </w:rPr>
              <w:t>Collimated 2D scan over active face</w:t>
            </w:r>
          </w:p>
        </w:tc>
        <w:tc>
          <w:tcPr>
            <w:tcW w:type="dxa" w:w="3340"/>
            <w:tcMar>
              <w:top w:w="80" w:type="dxa"/>
              <w:start w:w="120" w:type="dxa"/>
              <w:bottom w:w="80" w:type="dxa"/>
              <w:end w:w="120" w:type="dxa"/>
            </w:tcMar>
            <w:vAlign w:val="center"/>
          </w:tcPr>
          <w:p>
            <w:pPr>
              <w:pStyle w:val="TableText"/>
              <w:spacing w:after="0"/>
            </w:pPr>
            <w:r>
              <w:rPr>
                <w:rFonts w:ascii="Calibri" w:hAnsi="Calibri" w:eastAsia="Calibri"/>
                <w:color w:val="202124"/>
                <w:sz w:val="15"/>
              </w:rPr>
              <w:t>Spatial variation within a frozen limit; no edge dead region that changes angular acceptance</w:t>
            </w:r>
          </w:p>
        </w:tc>
        <w:tc>
          <w:tcPr>
            <w:tcW w:type="dxa" w:w="1570"/>
            <w:tcMar>
              <w:top w:w="80" w:type="dxa"/>
              <w:start w:w="120" w:type="dxa"/>
              <w:bottom w:w="80" w:type="dxa"/>
              <w:end w:w="120" w:type="dxa"/>
            </w:tcMar>
            <w:vAlign w:val="center"/>
          </w:tcPr>
          <w:p>
            <w:pPr>
              <w:pStyle w:val="TableText"/>
              <w:spacing w:after="0"/>
            </w:pPr>
            <w:r>
              <w:rPr>
                <w:rFonts w:ascii="Calibri" w:hAnsi="Calibri" w:eastAsia="Calibri"/>
                <w:color w:val="202124"/>
                <w:sz w:val="15"/>
              </w:rPr>
              <w:t>Map for golden design; sampling plan for production</w:t>
            </w:r>
          </w:p>
        </w:tc>
      </w:tr>
      <w:tr>
        <w:trPr>
          <w:cantSplit/>
        </w:trPr>
        <w:tc>
          <w:tcPr>
            <w:tcW w:type="dxa" w:w="1650"/>
            <w:tcMar>
              <w:top w:w="80" w:type="dxa"/>
              <w:start w:w="120" w:type="dxa"/>
              <w:bottom w:w="80" w:type="dxa"/>
              <w:end w:w="120" w:type="dxa"/>
            </w:tcMar>
            <w:vAlign w:val="center"/>
          </w:tcPr>
          <w:p>
            <w:pPr>
              <w:pStyle w:val="TableText"/>
              <w:spacing w:after="0"/>
            </w:pPr>
            <w:r>
              <w:rPr>
                <w:rFonts w:ascii="Calibri" w:hAnsi="Calibri" w:eastAsia="Calibri"/>
                <w:color w:val="202124"/>
                <w:sz w:val="15"/>
              </w:rPr>
              <w:t>Vacuum/thermal</w:t>
            </w:r>
          </w:p>
        </w:tc>
        <w:tc>
          <w:tcPr>
            <w:tcW w:type="dxa" w:w="2800"/>
            <w:tcMar>
              <w:top w:w="80" w:type="dxa"/>
              <w:start w:w="120" w:type="dxa"/>
              <w:bottom w:w="80" w:type="dxa"/>
              <w:end w:w="120" w:type="dxa"/>
            </w:tcMar>
            <w:vAlign w:val="center"/>
          </w:tcPr>
          <w:p>
            <w:pPr>
              <w:pStyle w:val="TableText"/>
              <w:spacing w:after="0"/>
            </w:pPr>
            <w:r>
              <w:rPr>
                <w:rFonts w:ascii="Calibri" w:hAnsi="Calibri" w:eastAsia="Calibri"/>
                <w:color w:val="202124"/>
                <w:sz w:val="15"/>
              </w:rPr>
              <w:t>Soak and cycles at frozen pressure/temperature</w:t>
            </w:r>
          </w:p>
        </w:tc>
        <w:tc>
          <w:tcPr>
            <w:tcW w:type="dxa" w:w="3340"/>
            <w:tcMar>
              <w:top w:w="80" w:type="dxa"/>
              <w:start w:w="120" w:type="dxa"/>
              <w:bottom w:w="80" w:type="dxa"/>
              <w:end w:w="120" w:type="dxa"/>
            </w:tcMar>
            <w:vAlign w:val="center"/>
          </w:tcPr>
          <w:p>
            <w:pPr>
              <w:pStyle w:val="TableText"/>
              <w:spacing w:after="0"/>
            </w:pPr>
            <w:r>
              <w:rPr>
                <w:rFonts w:ascii="Calibri" w:hAnsi="Calibri" w:eastAsia="Calibri"/>
                <w:color w:val="202124"/>
                <w:sz w:val="15"/>
              </w:rPr>
              <w:t>No leak, discharge, gain instability, light-output loss, delamination, or cable failure</w:t>
            </w:r>
          </w:p>
        </w:tc>
        <w:tc>
          <w:tcPr>
            <w:tcW w:type="dxa" w:w="1570"/>
            <w:tcMar>
              <w:top w:w="80" w:type="dxa"/>
              <w:start w:w="120" w:type="dxa"/>
              <w:bottom w:w="80" w:type="dxa"/>
              <w:end w:w="120" w:type="dxa"/>
            </w:tcMar>
            <w:vAlign w:val="center"/>
          </w:tcPr>
          <w:p>
            <w:pPr>
              <w:pStyle w:val="TableText"/>
              <w:spacing w:after="0"/>
            </w:pPr>
            <w:r>
              <w:rPr>
                <w:rFonts w:ascii="Calibri" w:hAnsi="Calibri" w:eastAsia="Calibri"/>
                <w:color w:val="202124"/>
                <w:sz w:val="15"/>
              </w:rPr>
              <w:t>Assembly traveler and before/after data</w:t>
            </w:r>
          </w:p>
        </w:tc>
      </w:tr>
      <w:tr>
        <w:trPr>
          <w:cantSplit/>
        </w:trPr>
        <w:tc>
          <w:tcPr>
            <w:tcW w:type="dxa" w:w="1650"/>
            <w:tcMar>
              <w:top w:w="80" w:type="dxa"/>
              <w:start w:w="120" w:type="dxa"/>
              <w:bottom w:w="80" w:type="dxa"/>
              <w:end w:w="120" w:type="dxa"/>
            </w:tcMar>
            <w:vAlign w:val="center"/>
          </w:tcPr>
          <w:p>
            <w:pPr>
              <w:pStyle w:val="TableText"/>
              <w:spacing w:after="0"/>
            </w:pPr>
            <w:r>
              <w:rPr>
                <w:rFonts w:ascii="Calibri" w:hAnsi="Calibri" w:eastAsia="Calibri"/>
                <w:color w:val="202124"/>
                <w:sz w:val="15"/>
              </w:rPr>
              <w:t>Mechanical interchangeability</w:t>
            </w:r>
          </w:p>
        </w:tc>
        <w:tc>
          <w:tcPr>
            <w:tcW w:type="dxa" w:w="2800"/>
            <w:tcMar>
              <w:top w:w="80" w:type="dxa"/>
              <w:start w:w="120" w:type="dxa"/>
              <w:bottom w:w="80" w:type="dxa"/>
              <w:end w:w="120" w:type="dxa"/>
            </w:tcMar>
            <w:vAlign w:val="center"/>
          </w:tcPr>
          <w:p>
            <w:pPr>
              <w:pStyle w:val="TableText"/>
              <w:spacing w:after="0"/>
            </w:pPr>
            <w:r>
              <w:rPr>
                <w:rFonts w:ascii="Calibri" w:hAnsi="Calibri" w:eastAsia="Calibri"/>
                <w:color w:val="202124"/>
                <w:sz w:val="15"/>
              </w:rPr>
              <w:t>Gauge and repeated cassette swaps</w:t>
            </w:r>
          </w:p>
        </w:tc>
        <w:tc>
          <w:tcPr>
            <w:tcW w:type="dxa" w:w="3340"/>
            <w:tcMar>
              <w:top w:w="80" w:type="dxa"/>
              <w:start w:w="120" w:type="dxa"/>
              <w:bottom w:w="80" w:type="dxa"/>
              <w:end w:w="120" w:type="dxa"/>
            </w:tcMar>
            <w:vAlign w:val="center"/>
          </w:tcPr>
          <w:p>
            <w:pPr>
              <w:pStyle w:val="TableText"/>
              <w:spacing w:after="0"/>
            </w:pPr>
            <w:r>
              <w:rPr>
                <w:rFonts w:ascii="Calibri" w:hAnsi="Calibri" w:eastAsia="Calibri"/>
                <w:color w:val="202124"/>
                <w:sz w:val="15"/>
              </w:rPr>
              <w:t>Datum repeatability within alignment budget; no light leak or connector damage</w:t>
            </w:r>
          </w:p>
        </w:tc>
        <w:tc>
          <w:tcPr>
            <w:tcW w:type="dxa" w:w="1570"/>
            <w:tcMar>
              <w:top w:w="80" w:type="dxa"/>
              <w:start w:w="120" w:type="dxa"/>
              <w:bottom w:w="80" w:type="dxa"/>
              <w:end w:w="120" w:type="dxa"/>
            </w:tcMar>
            <w:vAlign w:val="center"/>
          </w:tcPr>
          <w:p>
            <w:pPr>
              <w:pStyle w:val="TableText"/>
              <w:spacing w:after="0"/>
            </w:pPr>
            <w:r>
              <w:rPr>
                <w:rFonts w:ascii="Calibri" w:hAnsi="Calibri" w:eastAsia="Calibri"/>
                <w:color w:val="202124"/>
                <w:sz w:val="15"/>
              </w:rPr>
              <w:t>First article plus production inspection</w:t>
            </w:r>
          </w:p>
        </w:tc>
      </w:tr>
      <w:tr>
        <w:trPr>
          <w:cantSplit/>
        </w:trPr>
        <w:tc>
          <w:tcPr>
            <w:tcW w:type="dxa" w:w="1650"/>
            <w:tcMar>
              <w:top w:w="80" w:type="dxa"/>
              <w:start w:w="120" w:type="dxa"/>
              <w:bottom w:w="80" w:type="dxa"/>
              <w:end w:w="120" w:type="dxa"/>
            </w:tcMar>
            <w:vAlign w:val="center"/>
          </w:tcPr>
          <w:p>
            <w:pPr>
              <w:pStyle w:val="TableText"/>
              <w:spacing w:after="0"/>
            </w:pPr>
            <w:r>
              <w:rPr>
                <w:rFonts w:ascii="Calibri" w:hAnsi="Calibri" w:eastAsia="Calibri"/>
                <w:color w:val="202124"/>
                <w:sz w:val="15"/>
              </w:rPr>
              <w:t>Coincidence physics</w:t>
            </w:r>
          </w:p>
        </w:tc>
        <w:tc>
          <w:tcPr>
            <w:tcW w:type="dxa" w:w="2800"/>
            <w:tcMar>
              <w:top w:w="80" w:type="dxa"/>
              <w:start w:w="120" w:type="dxa"/>
              <w:bottom w:w="80" w:type="dxa"/>
              <w:end w:w="120" w:type="dxa"/>
            </w:tcMar>
            <w:vAlign w:val="center"/>
          </w:tcPr>
          <w:p>
            <w:pPr>
              <w:pStyle w:val="TableText"/>
              <w:spacing w:after="0"/>
            </w:pPr>
            <w:r>
              <w:rPr>
                <w:rFonts w:ascii="Calibri" w:hAnsi="Calibri" w:eastAsia="Calibri"/>
                <w:color w:val="202124"/>
                <w:sz w:val="15"/>
              </w:rPr>
              <w:t>Source/cosmic commissioning, then beam or validated simulation</w:t>
            </w:r>
          </w:p>
        </w:tc>
        <w:tc>
          <w:tcPr>
            <w:tcW w:type="dxa" w:w="3340"/>
            <w:tcMar>
              <w:top w:w="80" w:type="dxa"/>
              <w:start w:w="120" w:type="dxa"/>
              <w:bottom w:w="80" w:type="dxa"/>
              <w:end w:w="120" w:type="dxa"/>
            </w:tcMar>
            <w:vAlign w:val="center"/>
          </w:tcPr>
          <w:p>
            <w:pPr>
              <w:pStyle w:val="TableText"/>
              <w:spacing w:after="0"/>
            </w:pPr>
            <w:r>
              <w:rPr>
                <w:rFonts w:ascii="Calibri" w:hAnsi="Calibri" w:eastAsia="Calibri"/>
                <w:color w:val="202124"/>
                <w:sz w:val="15"/>
              </w:rPr>
              <w:t>Normal d–p locus retained and d–C background separable at required efficiency</w:t>
            </w:r>
          </w:p>
        </w:tc>
        <w:tc>
          <w:tcPr>
            <w:tcW w:type="dxa" w:w="1570"/>
            <w:tcMar>
              <w:top w:w="80" w:type="dxa"/>
              <w:start w:w="120" w:type="dxa"/>
              <w:bottom w:w="80" w:type="dxa"/>
              <w:end w:w="120" w:type="dxa"/>
            </w:tcMar>
            <w:vAlign w:val="center"/>
          </w:tcPr>
          <w:p>
            <w:pPr>
              <w:pStyle w:val="TableText"/>
              <w:spacing w:after="0"/>
            </w:pPr>
            <w:r>
              <w:rPr>
                <w:rFonts w:ascii="Calibri" w:hAnsi="Calibri" w:eastAsia="Calibri"/>
                <w:color w:val="202124"/>
                <w:sz w:val="15"/>
              </w:rPr>
              <w:t>Configuration, calibration, and analysis version</w:t>
            </w:r>
          </w:p>
        </w:tc>
      </w:tr>
    </w:tbl>
    <w:p>
      <w:pPr>
        <w:pStyle w:val="Heading2"/>
      </w:pPr>
      <w:r>
        <w:t>Software and reproducibility</w:t>
      </w:r>
    </w:p>
    <w:p>
      <w:pPr>
        <w:keepLines/>
      </w:pPr>
      <w:r>
        <w:rPr>
          <w:rFonts w:ascii="Calibri" w:hAnsi="Calibri" w:eastAsia="Calibri"/>
        </w:rPr>
        <w:t>Every reported detector result should record the CAD Git commit, resolved YAML configuration, geometry metrics, Geant4/stopping-power version, SiPM serial number, scintillator batch, bias, temperature, waveform-chain configuration, calibration version, and analysis commit. The desk mini PC remains the reference CAD environment; laptop and labenpg reproduction should compare stable geometry metrics rather than byte-identical STEP or FCStd files.</w:t>
      </w:r>
    </w:p>
    <w:p>
      <w:pPr>
        <w:pStyle w:val="Heading1"/>
      </w:pPr>
      <w:r>
        <w:t>11. Risk register</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3030"/>
        <w:gridCol w:w="1050"/>
        <w:gridCol w:w="950"/>
        <w:gridCol w:w="4330"/>
      </w:tblGrid>
      <w:tr>
        <w:trPr>
          <w:cantSplit/>
          <w:tblHeader w:val="true"/>
          <w:cantSplit/>
        </w:trPr>
        <w:tc>
          <w:tcPr>
            <w:tcW w:type="dxa" w:w="303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Risk</w:t>
            </w:r>
          </w:p>
        </w:tc>
        <w:tc>
          <w:tcPr>
            <w:tcW w:type="dxa" w:w="105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Likelihood</w:t>
            </w:r>
          </w:p>
        </w:tc>
        <w:tc>
          <w:tcPr>
            <w:tcW w:type="dxa" w:w="95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Impact</w:t>
            </w:r>
          </w:p>
        </w:tc>
        <w:tc>
          <w:tcPr>
            <w:tcW w:type="dxa" w:w="433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Control / exit condition</w:t>
            </w:r>
          </w:p>
        </w:tc>
      </w:tr>
      <w:tr>
        <w:trPr>
          <w:cantSplit/>
        </w:trPr>
        <w:tc>
          <w:tcPr>
            <w:tcW w:type="dxa" w:w="3030"/>
            <w:tcMar>
              <w:top w:w="80" w:type="dxa"/>
              <w:start w:w="120" w:type="dxa"/>
              <w:bottom w:w="80" w:type="dxa"/>
              <w:end w:w="120" w:type="dxa"/>
            </w:tcMar>
            <w:vAlign w:val="center"/>
          </w:tcPr>
          <w:p>
            <w:pPr>
              <w:pStyle w:val="TableText"/>
              <w:spacing w:after="0"/>
            </w:pPr>
            <w:r>
              <w:rPr>
                <w:rFonts w:ascii="Calibri" w:hAnsi="Calibri" w:eastAsia="Calibri"/>
                <w:color w:val="202124"/>
                <w:sz w:val="16"/>
              </w:rPr>
              <w:t>Current 63 mm CAD stay-clear conflicts with reference ICF114 purchased-part bore</w:t>
            </w:r>
          </w:p>
        </w:tc>
        <w:tc>
          <w:tcPr>
            <w:tcW w:type="dxa" w:w="1050"/>
            <w:tcMar>
              <w:top w:w="80" w:type="dxa"/>
              <w:start w:w="120" w:type="dxa"/>
              <w:bottom w:w="80" w:type="dxa"/>
              <w:end w:w="120" w:type="dxa"/>
            </w:tcMar>
            <w:vAlign w:val="center"/>
            <w:shd w:fill="FCE8E6" w:val="clear"/>
          </w:tcPr>
          <w:p>
            <w:pPr>
              <w:pStyle w:val="TableText"/>
              <w:spacing w:after="0"/>
            </w:pPr>
            <w:r>
              <w:rPr>
                <w:rFonts w:ascii="Calibri" w:hAnsi="Calibri" w:eastAsia="Calibri"/>
                <w:color w:val="202124"/>
                <w:sz w:val="16"/>
              </w:rPr>
              <w:t>High</w:t>
            </w:r>
          </w:p>
        </w:tc>
        <w:tc>
          <w:tcPr>
            <w:tcW w:type="dxa" w:w="950"/>
            <w:tcMar>
              <w:top w:w="80" w:type="dxa"/>
              <w:start w:w="120" w:type="dxa"/>
              <w:bottom w:w="80" w:type="dxa"/>
              <w:end w:w="120" w:type="dxa"/>
            </w:tcMar>
            <w:vAlign w:val="center"/>
            <w:shd w:fill="FCE8E6" w:val="clear"/>
          </w:tcPr>
          <w:p>
            <w:pPr>
              <w:pStyle w:val="TableText"/>
              <w:spacing w:after="0"/>
            </w:pPr>
            <w:r>
              <w:rPr>
                <w:rFonts w:ascii="Calibri" w:hAnsi="Calibri" w:eastAsia="Calibri"/>
                <w:color w:val="202124"/>
                <w:sz w:val="16"/>
              </w:rPr>
              <w:t>High</w:t>
            </w:r>
          </w:p>
        </w:tc>
        <w:tc>
          <w:tcPr>
            <w:tcW w:type="dxa" w:w="4330"/>
            <w:tcMar>
              <w:top w:w="80" w:type="dxa"/>
              <w:start w:w="120" w:type="dxa"/>
              <w:bottom w:w="80" w:type="dxa"/>
              <w:end w:w="120" w:type="dxa"/>
            </w:tcMar>
            <w:vAlign w:val="center"/>
          </w:tcPr>
          <w:p>
            <w:pPr>
              <w:pStyle w:val="TableText"/>
              <w:spacing w:after="0"/>
            </w:pPr>
            <w:r>
              <w:rPr>
                <w:rFonts w:ascii="Calibri" w:hAnsi="Calibri" w:eastAsia="Calibri"/>
                <w:color w:val="202124"/>
                <w:sz w:val="16"/>
              </w:rPr>
              <w:t>Keep ICF114 fixed; replace placeholder pipe geometry using certified flange, nipple, adapter, and bellows drawings</w:t>
            </w:r>
          </w:p>
        </w:tc>
      </w:tr>
      <w:tr>
        <w:trPr>
          <w:cantSplit/>
        </w:trPr>
        <w:tc>
          <w:tcPr>
            <w:tcW w:type="dxa" w:w="3030"/>
            <w:tcMar>
              <w:top w:w="80" w:type="dxa"/>
              <w:start w:w="120" w:type="dxa"/>
              <w:bottom w:w="80" w:type="dxa"/>
              <w:end w:w="120" w:type="dxa"/>
            </w:tcMar>
            <w:vAlign w:val="center"/>
          </w:tcPr>
          <w:p>
            <w:pPr>
              <w:pStyle w:val="TableText"/>
              <w:spacing w:after="0"/>
            </w:pPr>
            <w:r>
              <w:rPr>
                <w:rFonts w:ascii="Calibri" w:hAnsi="Calibri" w:eastAsia="Calibri"/>
                <w:color w:val="202124"/>
                <w:sz w:val="16"/>
              </w:rPr>
              <w:t>SiPM microcell saturation or uncorrected carbon response</w:t>
            </w:r>
          </w:p>
        </w:tc>
        <w:tc>
          <w:tcPr>
            <w:tcW w:type="dxa" w:w="1050"/>
            <w:tcMar>
              <w:top w:w="80" w:type="dxa"/>
              <w:start w:w="120" w:type="dxa"/>
              <w:bottom w:w="80" w:type="dxa"/>
              <w:end w:w="120" w:type="dxa"/>
            </w:tcMar>
            <w:vAlign w:val="center"/>
            <w:shd w:fill="FFF4D6" w:val="clear"/>
          </w:tcPr>
          <w:p>
            <w:pPr>
              <w:pStyle w:val="TableText"/>
              <w:spacing w:after="0"/>
            </w:pPr>
            <w:r>
              <w:rPr>
                <w:rFonts w:ascii="Calibri" w:hAnsi="Calibri" w:eastAsia="Calibri"/>
                <w:color w:val="202124"/>
                <w:sz w:val="16"/>
              </w:rPr>
              <w:t>Medium</w:t>
            </w:r>
          </w:p>
        </w:tc>
        <w:tc>
          <w:tcPr>
            <w:tcW w:type="dxa" w:w="950"/>
            <w:tcMar>
              <w:top w:w="80" w:type="dxa"/>
              <w:start w:w="120" w:type="dxa"/>
              <w:bottom w:w="80" w:type="dxa"/>
              <w:end w:w="120" w:type="dxa"/>
            </w:tcMar>
            <w:vAlign w:val="center"/>
            <w:shd w:fill="FCE8E6" w:val="clear"/>
          </w:tcPr>
          <w:p>
            <w:pPr>
              <w:pStyle w:val="TableText"/>
              <w:spacing w:after="0"/>
            </w:pPr>
            <w:r>
              <w:rPr>
                <w:rFonts w:ascii="Calibri" w:hAnsi="Calibri" w:eastAsia="Calibri"/>
                <w:color w:val="202124"/>
                <w:sz w:val="16"/>
              </w:rPr>
              <w:t>High</w:t>
            </w:r>
          </w:p>
        </w:tc>
        <w:tc>
          <w:tcPr>
            <w:tcW w:type="dxa" w:w="4330"/>
            <w:tcMar>
              <w:top w:w="80" w:type="dxa"/>
              <w:start w:w="120" w:type="dxa"/>
              <w:bottom w:w="80" w:type="dxa"/>
              <w:end w:w="120" w:type="dxa"/>
            </w:tcMar>
            <w:vAlign w:val="center"/>
          </w:tcPr>
          <w:p>
            <w:pPr>
              <w:pStyle w:val="TableText"/>
              <w:spacing w:after="0"/>
            </w:pPr>
            <w:r>
              <w:rPr>
                <w:rFonts w:ascii="Calibri" w:hAnsi="Calibri" w:eastAsia="Calibri"/>
                <w:color w:val="202124"/>
                <w:sz w:val="16"/>
              </w:rPr>
              <w:t>EQR15, 2–5% collection, 5–6 mm prototype band, LED/particle calibration, saturation correction</w:t>
            </w:r>
          </w:p>
        </w:tc>
      </w:tr>
      <w:tr>
        <w:trPr>
          <w:cantSplit/>
        </w:trPr>
        <w:tc>
          <w:tcPr>
            <w:tcW w:type="dxa" w:w="3030"/>
            <w:tcMar>
              <w:top w:w="80" w:type="dxa"/>
              <w:start w:w="120" w:type="dxa"/>
              <w:bottom w:w="80" w:type="dxa"/>
              <w:end w:w="120" w:type="dxa"/>
            </w:tcMar>
            <w:vAlign w:val="center"/>
          </w:tcPr>
          <w:p>
            <w:pPr>
              <w:pStyle w:val="TableText"/>
              <w:spacing w:after="0"/>
            </w:pPr>
            <w:r>
              <w:rPr>
                <w:rFonts w:ascii="Calibri" w:hAnsi="Calibri" w:eastAsia="Calibri"/>
                <w:color w:val="202124"/>
                <w:sz w:val="16"/>
              </w:rPr>
              <w:t>Front-end or ADC clips before SiPM saturation</w:t>
            </w:r>
          </w:p>
        </w:tc>
        <w:tc>
          <w:tcPr>
            <w:tcW w:type="dxa" w:w="1050"/>
            <w:tcMar>
              <w:top w:w="80" w:type="dxa"/>
              <w:start w:w="120" w:type="dxa"/>
              <w:bottom w:w="80" w:type="dxa"/>
              <w:end w:w="120" w:type="dxa"/>
            </w:tcMar>
            <w:vAlign w:val="center"/>
            <w:shd w:fill="FCE8E6" w:val="clear"/>
          </w:tcPr>
          <w:p>
            <w:pPr>
              <w:pStyle w:val="TableText"/>
              <w:spacing w:after="0"/>
            </w:pPr>
            <w:r>
              <w:rPr>
                <w:rFonts w:ascii="Calibri" w:hAnsi="Calibri" w:eastAsia="Calibri"/>
                <w:color w:val="202124"/>
                <w:sz w:val="16"/>
              </w:rPr>
              <w:t>High</w:t>
            </w:r>
          </w:p>
        </w:tc>
        <w:tc>
          <w:tcPr>
            <w:tcW w:type="dxa" w:w="950"/>
            <w:tcMar>
              <w:top w:w="80" w:type="dxa"/>
              <w:start w:w="120" w:type="dxa"/>
              <w:bottom w:w="80" w:type="dxa"/>
              <w:end w:w="120" w:type="dxa"/>
            </w:tcMar>
            <w:vAlign w:val="center"/>
            <w:shd w:fill="FCE8E6" w:val="clear"/>
          </w:tcPr>
          <w:p>
            <w:pPr>
              <w:pStyle w:val="TableText"/>
              <w:spacing w:after="0"/>
            </w:pPr>
            <w:r>
              <w:rPr>
                <w:rFonts w:ascii="Calibri" w:hAnsi="Calibri" w:eastAsia="Calibri"/>
                <w:color w:val="202124"/>
                <w:sz w:val="16"/>
              </w:rPr>
              <w:t>High</w:t>
            </w:r>
          </w:p>
        </w:tc>
        <w:tc>
          <w:tcPr>
            <w:tcW w:type="dxa" w:w="4330"/>
            <w:tcMar>
              <w:top w:w="80" w:type="dxa"/>
              <w:start w:w="120" w:type="dxa"/>
              <w:bottom w:w="80" w:type="dxa"/>
              <w:end w:w="120" w:type="dxa"/>
            </w:tcMar>
            <w:vAlign w:val="center"/>
          </w:tcPr>
          <w:p>
            <w:pPr>
              <w:pStyle w:val="TableText"/>
              <w:spacing w:after="0"/>
            </w:pPr>
            <w:r>
              <w:rPr>
                <w:rFonts w:ascii="Calibri" w:hAnsi="Calibri" w:eastAsia="Calibri"/>
                <w:color w:val="202124"/>
                <w:sz w:val="16"/>
              </w:rPr>
              <w:t>Low-gain ≥1.5 nC range, protected timing path, measured waveform and pulser scan</w:t>
            </w:r>
          </w:p>
        </w:tc>
      </w:tr>
      <w:tr>
        <w:trPr>
          <w:cantSplit/>
        </w:trPr>
        <w:tc>
          <w:tcPr>
            <w:tcW w:type="dxa" w:w="3030"/>
            <w:tcMar>
              <w:top w:w="80" w:type="dxa"/>
              <w:start w:w="120" w:type="dxa"/>
              <w:bottom w:w="80" w:type="dxa"/>
              <w:end w:w="120" w:type="dxa"/>
            </w:tcMar>
            <w:vAlign w:val="center"/>
          </w:tcPr>
          <w:p>
            <w:pPr>
              <w:pStyle w:val="TableText"/>
              <w:spacing w:after="0"/>
            </w:pPr>
            <w:r>
              <w:rPr>
                <w:rFonts w:ascii="Calibri" w:hAnsi="Calibri" w:eastAsia="Calibri"/>
                <w:color w:val="202124"/>
                <w:sz w:val="16"/>
              </w:rPr>
              <w:t>Domestic plastic differs from EJ-200 reference</w:t>
            </w:r>
          </w:p>
        </w:tc>
        <w:tc>
          <w:tcPr>
            <w:tcW w:type="dxa" w:w="1050"/>
            <w:tcMar>
              <w:top w:w="80" w:type="dxa"/>
              <w:start w:w="120" w:type="dxa"/>
              <w:bottom w:w="80" w:type="dxa"/>
              <w:end w:w="120" w:type="dxa"/>
            </w:tcMar>
            <w:vAlign w:val="center"/>
            <w:shd w:fill="FFF4D6" w:val="clear"/>
          </w:tcPr>
          <w:p>
            <w:pPr>
              <w:pStyle w:val="TableText"/>
              <w:spacing w:after="0"/>
            </w:pPr>
            <w:r>
              <w:rPr>
                <w:rFonts w:ascii="Calibri" w:hAnsi="Calibri" w:eastAsia="Calibri"/>
                <w:color w:val="202124"/>
                <w:sz w:val="16"/>
              </w:rPr>
              <w:t>Medium</w:t>
            </w:r>
          </w:p>
        </w:tc>
        <w:tc>
          <w:tcPr>
            <w:tcW w:type="dxa" w:w="950"/>
            <w:tcMar>
              <w:top w:w="80" w:type="dxa"/>
              <w:start w:w="120" w:type="dxa"/>
              <w:bottom w:w="80" w:type="dxa"/>
              <w:end w:w="120" w:type="dxa"/>
            </w:tcMar>
            <w:vAlign w:val="center"/>
            <w:shd w:fill="FCE8E6" w:val="clear"/>
          </w:tcPr>
          <w:p>
            <w:pPr>
              <w:pStyle w:val="TableText"/>
              <w:spacing w:after="0"/>
            </w:pPr>
            <w:r>
              <w:rPr>
                <w:rFonts w:ascii="Calibri" w:hAnsi="Calibri" w:eastAsia="Calibri"/>
                <w:color w:val="202124"/>
                <w:sz w:val="16"/>
              </w:rPr>
              <w:t>High</w:t>
            </w:r>
          </w:p>
        </w:tc>
        <w:tc>
          <w:tcPr>
            <w:tcW w:type="dxa" w:w="4330"/>
            <w:tcMar>
              <w:top w:w="80" w:type="dxa"/>
              <w:start w:w="120" w:type="dxa"/>
              <w:bottom w:w="80" w:type="dxa"/>
              <w:end w:w="120" w:type="dxa"/>
            </w:tcMar>
            <w:vAlign w:val="center"/>
          </w:tcPr>
          <w:p>
            <w:pPr>
              <w:pStyle w:val="TableText"/>
              <w:spacing w:after="0"/>
            </w:pPr>
            <w:r>
              <w:rPr>
                <w:rFonts w:ascii="Calibri" w:hAnsi="Calibri" w:eastAsia="Calibri"/>
                <w:color w:val="202124"/>
                <w:sz w:val="16"/>
              </w:rPr>
              <w:t>Batch measurements of light, timing, Birks response, machining quality, and vacuum behavior</w:t>
            </w:r>
          </w:p>
        </w:tc>
      </w:tr>
      <w:tr>
        <w:trPr>
          <w:cantSplit/>
        </w:trPr>
        <w:tc>
          <w:tcPr>
            <w:tcW w:type="dxa" w:w="3030"/>
            <w:tcMar>
              <w:top w:w="80" w:type="dxa"/>
              <w:start w:w="120" w:type="dxa"/>
              <w:bottom w:w="80" w:type="dxa"/>
              <w:end w:w="120" w:type="dxa"/>
            </w:tcMar>
            <w:vAlign w:val="center"/>
          </w:tcPr>
          <w:p>
            <w:pPr>
              <w:pStyle w:val="TableText"/>
              <w:spacing w:after="0"/>
            </w:pPr>
            <w:r>
              <w:rPr>
                <w:rFonts w:ascii="Calibri" w:hAnsi="Calibri" w:eastAsia="Calibri"/>
                <w:color w:val="202124"/>
                <w:sz w:val="16"/>
              </w:rPr>
              <w:t>Optical response varies across Ø20–25 mm face</w:t>
            </w:r>
          </w:p>
        </w:tc>
        <w:tc>
          <w:tcPr>
            <w:tcW w:type="dxa" w:w="1050"/>
            <w:tcMar>
              <w:top w:w="80" w:type="dxa"/>
              <w:start w:w="120" w:type="dxa"/>
              <w:bottom w:w="80" w:type="dxa"/>
              <w:end w:w="120" w:type="dxa"/>
            </w:tcMar>
            <w:vAlign w:val="center"/>
          </w:tcPr>
          <w:p>
            <w:pPr>
              <w:pStyle w:val="TableText"/>
              <w:spacing w:after="0"/>
            </w:pPr>
            <w:r>
              <w:rPr>
                <w:rFonts w:ascii="Calibri" w:hAnsi="Calibri" w:eastAsia="Calibri"/>
                <w:color w:val="202124"/>
                <w:sz w:val="16"/>
              </w:rPr>
              <w:t>Medium</w:t>
            </w:r>
          </w:p>
        </w:tc>
        <w:tc>
          <w:tcPr>
            <w:tcW w:type="dxa" w:w="950"/>
            <w:tcMar>
              <w:top w:w="80" w:type="dxa"/>
              <w:start w:w="120" w:type="dxa"/>
              <w:bottom w:w="80" w:type="dxa"/>
              <w:end w:w="120" w:type="dxa"/>
            </w:tcMar>
            <w:vAlign w:val="center"/>
          </w:tcPr>
          <w:p>
            <w:pPr>
              <w:pStyle w:val="TableText"/>
              <w:spacing w:after="0"/>
            </w:pPr>
            <w:r>
              <w:rPr>
                <w:rFonts w:ascii="Calibri" w:hAnsi="Calibri" w:eastAsia="Calibri"/>
                <w:color w:val="202124"/>
                <w:sz w:val="16"/>
              </w:rPr>
              <w:t>Medium</w:t>
            </w:r>
          </w:p>
        </w:tc>
        <w:tc>
          <w:tcPr>
            <w:tcW w:type="dxa" w:w="4330"/>
            <w:tcMar>
              <w:top w:w="80" w:type="dxa"/>
              <w:start w:w="120" w:type="dxa"/>
              <w:bottom w:w="80" w:type="dxa"/>
              <w:end w:w="120" w:type="dxa"/>
            </w:tcMar>
            <w:vAlign w:val="center"/>
          </w:tcPr>
          <w:p>
            <w:pPr>
              <w:pStyle w:val="TableText"/>
              <w:spacing w:after="0"/>
            </w:pPr>
            <w:r>
              <w:rPr>
                <w:rFonts w:ascii="Calibri" w:hAnsi="Calibri" w:eastAsia="Calibri"/>
                <w:color w:val="202124"/>
                <w:sz w:val="16"/>
              </w:rPr>
              <w:t>2D scan of reflector/taper variants; freeze measured optical assembly</w:t>
            </w:r>
          </w:p>
        </w:tc>
      </w:tr>
      <w:tr>
        <w:trPr>
          <w:cantSplit/>
        </w:trPr>
        <w:tc>
          <w:tcPr>
            <w:tcW w:type="dxa" w:w="3030"/>
            <w:tcMar>
              <w:top w:w="80" w:type="dxa"/>
              <w:start w:w="120" w:type="dxa"/>
              <w:bottom w:w="80" w:type="dxa"/>
              <w:end w:w="120" w:type="dxa"/>
            </w:tcMar>
            <w:vAlign w:val="center"/>
          </w:tcPr>
          <w:p>
            <w:pPr>
              <w:pStyle w:val="TableText"/>
              <w:spacing w:after="0"/>
            </w:pPr>
            <w:r>
              <w:rPr>
                <w:rFonts w:ascii="Calibri" w:hAnsi="Calibri" w:eastAsia="Calibri"/>
                <w:color w:val="202124"/>
                <w:sz w:val="16"/>
              </w:rPr>
              <w:t>SiPM gain drifts with temperature</w:t>
            </w:r>
          </w:p>
        </w:tc>
        <w:tc>
          <w:tcPr>
            <w:tcW w:type="dxa" w:w="1050"/>
            <w:tcMar>
              <w:top w:w="80" w:type="dxa"/>
              <w:start w:w="120" w:type="dxa"/>
              <w:bottom w:w="80" w:type="dxa"/>
              <w:end w:w="120" w:type="dxa"/>
            </w:tcMar>
            <w:vAlign w:val="center"/>
            <w:shd w:fill="FCE8E6" w:val="clear"/>
          </w:tcPr>
          <w:p>
            <w:pPr>
              <w:pStyle w:val="TableText"/>
              <w:spacing w:after="0"/>
            </w:pPr>
            <w:r>
              <w:rPr>
                <w:rFonts w:ascii="Calibri" w:hAnsi="Calibri" w:eastAsia="Calibri"/>
                <w:color w:val="202124"/>
                <w:sz w:val="16"/>
              </w:rPr>
              <w:t>High</w:t>
            </w:r>
          </w:p>
        </w:tc>
        <w:tc>
          <w:tcPr>
            <w:tcW w:type="dxa" w:w="950"/>
            <w:tcMar>
              <w:top w:w="80" w:type="dxa"/>
              <w:start w:w="120" w:type="dxa"/>
              <w:bottom w:w="80" w:type="dxa"/>
              <w:end w:w="120" w:type="dxa"/>
            </w:tcMar>
            <w:vAlign w:val="center"/>
            <w:shd w:fill="FFF4D6" w:val="clear"/>
          </w:tcPr>
          <w:p>
            <w:pPr>
              <w:pStyle w:val="TableText"/>
              <w:spacing w:after="0"/>
            </w:pPr>
            <w:r>
              <w:rPr>
                <w:rFonts w:ascii="Calibri" w:hAnsi="Calibri" w:eastAsia="Calibri"/>
                <w:color w:val="202124"/>
                <w:sz w:val="16"/>
              </w:rPr>
              <w:t>Medium</w:t>
            </w:r>
          </w:p>
        </w:tc>
        <w:tc>
          <w:tcPr>
            <w:tcW w:type="dxa" w:w="4330"/>
            <w:tcMar>
              <w:top w:w="80" w:type="dxa"/>
              <w:start w:w="120" w:type="dxa"/>
              <w:bottom w:w="80" w:type="dxa"/>
              <w:end w:w="120" w:type="dxa"/>
            </w:tcMar>
            <w:vAlign w:val="center"/>
          </w:tcPr>
          <w:p>
            <w:pPr>
              <w:pStyle w:val="TableText"/>
              <w:spacing w:after="0"/>
            </w:pPr>
            <w:r>
              <w:rPr>
                <w:rFonts w:ascii="Calibri" w:hAnsi="Calibri" w:eastAsia="Calibri"/>
                <w:color w:val="202124"/>
                <w:sz w:val="16"/>
              </w:rPr>
              <w:t>Conductive thermal path, local temperature sensing, bias compensation, run metadata</w:t>
            </w:r>
          </w:p>
        </w:tc>
      </w:tr>
      <w:tr>
        <w:trPr>
          <w:cantSplit/>
        </w:trPr>
        <w:tc>
          <w:tcPr>
            <w:tcW w:type="dxa" w:w="3030"/>
            <w:tcMar>
              <w:top w:w="80" w:type="dxa"/>
              <w:start w:w="120" w:type="dxa"/>
              <w:bottom w:w="80" w:type="dxa"/>
              <w:end w:w="120" w:type="dxa"/>
            </w:tcMar>
            <w:vAlign w:val="center"/>
          </w:tcPr>
          <w:p>
            <w:pPr>
              <w:pStyle w:val="TableText"/>
              <w:spacing w:after="0"/>
            </w:pPr>
            <w:r>
              <w:rPr>
                <w:rFonts w:ascii="Calibri" w:hAnsi="Calibri" w:eastAsia="Calibri"/>
                <w:color w:val="202124"/>
                <w:sz w:val="16"/>
              </w:rPr>
              <w:t>Organic materials outgas or degrade in vacuum</w:t>
            </w:r>
          </w:p>
        </w:tc>
        <w:tc>
          <w:tcPr>
            <w:tcW w:type="dxa" w:w="1050"/>
            <w:tcMar>
              <w:top w:w="80" w:type="dxa"/>
              <w:start w:w="120" w:type="dxa"/>
              <w:bottom w:w="80" w:type="dxa"/>
              <w:end w:w="120" w:type="dxa"/>
            </w:tcMar>
            <w:vAlign w:val="center"/>
            <w:shd w:fill="FFF4D6" w:val="clear"/>
          </w:tcPr>
          <w:p>
            <w:pPr>
              <w:pStyle w:val="TableText"/>
              <w:spacing w:after="0"/>
            </w:pPr>
            <w:r>
              <w:rPr>
                <w:rFonts w:ascii="Calibri" w:hAnsi="Calibri" w:eastAsia="Calibri"/>
                <w:color w:val="202124"/>
                <w:sz w:val="16"/>
              </w:rPr>
              <w:t>Medium</w:t>
            </w:r>
          </w:p>
        </w:tc>
        <w:tc>
          <w:tcPr>
            <w:tcW w:type="dxa" w:w="950"/>
            <w:tcMar>
              <w:top w:w="80" w:type="dxa"/>
              <w:start w:w="120" w:type="dxa"/>
              <w:bottom w:w="80" w:type="dxa"/>
              <w:end w:w="120" w:type="dxa"/>
            </w:tcMar>
            <w:vAlign w:val="center"/>
            <w:shd w:fill="FCE8E6" w:val="clear"/>
          </w:tcPr>
          <w:p>
            <w:pPr>
              <w:pStyle w:val="TableText"/>
              <w:spacing w:after="0"/>
            </w:pPr>
            <w:r>
              <w:rPr>
                <w:rFonts w:ascii="Calibri" w:hAnsi="Calibri" w:eastAsia="Calibri"/>
                <w:color w:val="202124"/>
                <w:sz w:val="16"/>
              </w:rPr>
              <w:t>High</w:t>
            </w:r>
          </w:p>
        </w:tc>
        <w:tc>
          <w:tcPr>
            <w:tcW w:type="dxa" w:w="4330"/>
            <w:tcMar>
              <w:top w:w="80" w:type="dxa"/>
              <w:start w:w="120" w:type="dxa"/>
              <w:bottom w:w="80" w:type="dxa"/>
              <w:end w:w="120" w:type="dxa"/>
            </w:tcMar>
            <w:vAlign w:val="center"/>
          </w:tcPr>
          <w:p>
            <w:pPr>
              <w:pStyle w:val="TableText"/>
              <w:spacing w:after="0"/>
            </w:pPr>
            <w:r>
              <w:rPr>
                <w:rFonts w:ascii="Calibri" w:hAnsi="Calibri" w:eastAsia="Calibri"/>
                <w:color w:val="202124"/>
                <w:sz w:val="16"/>
              </w:rPr>
              <w:t>Material declaration, vacuum soak/RGA as required, post-soak optical/electrical comparison</w:t>
            </w:r>
          </w:p>
        </w:tc>
      </w:tr>
      <w:tr>
        <w:trPr>
          <w:cantSplit/>
        </w:trPr>
        <w:tc>
          <w:tcPr>
            <w:tcW w:type="dxa" w:w="3030"/>
            <w:tcMar>
              <w:top w:w="80" w:type="dxa"/>
              <w:start w:w="120" w:type="dxa"/>
              <w:bottom w:w="80" w:type="dxa"/>
              <w:end w:w="120" w:type="dxa"/>
            </w:tcMar>
            <w:vAlign w:val="center"/>
          </w:tcPr>
          <w:p>
            <w:pPr>
              <w:pStyle w:val="TableText"/>
              <w:spacing w:after="0"/>
            </w:pPr>
            <w:r>
              <w:rPr>
                <w:rFonts w:ascii="Calibri" w:hAnsi="Calibri" w:eastAsia="Calibri"/>
                <w:color w:val="202124"/>
                <w:sz w:val="16"/>
              </w:rPr>
              <w:t>Curved-shell port welds distort datums</w:t>
            </w:r>
          </w:p>
        </w:tc>
        <w:tc>
          <w:tcPr>
            <w:tcW w:type="dxa" w:w="1050"/>
            <w:tcMar>
              <w:top w:w="80" w:type="dxa"/>
              <w:start w:w="120" w:type="dxa"/>
              <w:bottom w:w="80" w:type="dxa"/>
              <w:end w:w="120" w:type="dxa"/>
            </w:tcMar>
            <w:vAlign w:val="center"/>
            <w:shd w:fill="FFF4D6" w:val="clear"/>
          </w:tcPr>
          <w:p>
            <w:pPr>
              <w:pStyle w:val="TableText"/>
              <w:spacing w:after="0"/>
            </w:pPr>
            <w:r>
              <w:rPr>
                <w:rFonts w:ascii="Calibri" w:hAnsi="Calibri" w:eastAsia="Calibri"/>
                <w:color w:val="202124"/>
                <w:sz w:val="16"/>
              </w:rPr>
              <w:t>Medium</w:t>
            </w:r>
          </w:p>
        </w:tc>
        <w:tc>
          <w:tcPr>
            <w:tcW w:type="dxa" w:w="950"/>
            <w:tcMar>
              <w:top w:w="80" w:type="dxa"/>
              <w:start w:w="120" w:type="dxa"/>
              <w:bottom w:w="80" w:type="dxa"/>
              <w:end w:w="120" w:type="dxa"/>
            </w:tcMar>
            <w:vAlign w:val="center"/>
            <w:shd w:fill="FCE8E6" w:val="clear"/>
          </w:tcPr>
          <w:p>
            <w:pPr>
              <w:pStyle w:val="TableText"/>
              <w:spacing w:after="0"/>
            </w:pPr>
            <w:r>
              <w:rPr>
                <w:rFonts w:ascii="Calibri" w:hAnsi="Calibri" w:eastAsia="Calibri"/>
                <w:color w:val="202124"/>
                <w:sz w:val="16"/>
              </w:rPr>
              <w:t>High</w:t>
            </w:r>
          </w:p>
        </w:tc>
        <w:tc>
          <w:tcPr>
            <w:tcW w:type="dxa" w:w="4330"/>
            <w:tcMar>
              <w:top w:w="80" w:type="dxa"/>
              <w:start w:w="120" w:type="dxa"/>
              <w:bottom w:w="80" w:type="dxa"/>
              <w:end w:w="120" w:type="dxa"/>
            </w:tcMar>
            <w:vAlign w:val="center"/>
          </w:tcPr>
          <w:p>
            <w:pPr>
              <w:pStyle w:val="TableText"/>
              <w:spacing w:after="0"/>
            </w:pPr>
            <w:r>
              <w:rPr>
                <w:rFonts w:ascii="Calibri" w:hAnsi="Calibri" w:eastAsia="Calibri"/>
                <w:color w:val="202124"/>
                <w:sz w:val="16"/>
              </w:rPr>
              <w:t>Group services on a flat plate; weld sequence/fixtures; intermediate and final metrology</w:t>
            </w:r>
          </w:p>
        </w:tc>
      </w:tr>
      <w:tr>
        <w:trPr>
          <w:cantSplit/>
        </w:trPr>
        <w:tc>
          <w:tcPr>
            <w:tcW w:type="dxa" w:w="3030"/>
            <w:tcMar>
              <w:top w:w="80" w:type="dxa"/>
              <w:start w:w="120" w:type="dxa"/>
              <w:bottom w:w="80" w:type="dxa"/>
              <w:end w:w="120" w:type="dxa"/>
            </w:tcMar>
            <w:vAlign w:val="center"/>
          </w:tcPr>
          <w:p>
            <w:pPr>
              <w:pStyle w:val="TableText"/>
              <w:spacing w:after="0"/>
            </w:pPr>
            <w:r>
              <w:rPr>
                <w:rFonts w:ascii="Calibri" w:hAnsi="Calibri" w:eastAsia="Calibri"/>
                <w:color w:val="202124"/>
                <w:sz w:val="16"/>
              </w:rPr>
              <w:t>Rotary feedthrough capability is assumed from a catalog description</w:t>
            </w:r>
          </w:p>
        </w:tc>
        <w:tc>
          <w:tcPr>
            <w:tcW w:type="dxa" w:w="1050"/>
            <w:tcMar>
              <w:top w:w="80" w:type="dxa"/>
              <w:start w:w="120" w:type="dxa"/>
              <w:bottom w:w="80" w:type="dxa"/>
              <w:end w:w="120" w:type="dxa"/>
            </w:tcMar>
            <w:vAlign w:val="center"/>
            <w:shd w:fill="FCE8E6" w:val="clear"/>
          </w:tcPr>
          <w:p>
            <w:pPr>
              <w:pStyle w:val="TableText"/>
              <w:spacing w:after="0"/>
            </w:pPr>
            <w:r>
              <w:rPr>
                <w:rFonts w:ascii="Calibri" w:hAnsi="Calibri" w:eastAsia="Calibri"/>
                <w:color w:val="202124"/>
                <w:sz w:val="16"/>
              </w:rPr>
              <w:t>High</w:t>
            </w:r>
          </w:p>
        </w:tc>
        <w:tc>
          <w:tcPr>
            <w:tcW w:type="dxa" w:w="950"/>
            <w:tcMar>
              <w:top w:w="80" w:type="dxa"/>
              <w:start w:w="120" w:type="dxa"/>
              <w:bottom w:w="80" w:type="dxa"/>
              <w:end w:w="120" w:type="dxa"/>
            </w:tcMar>
            <w:vAlign w:val="center"/>
            <w:shd w:fill="FCE8E6" w:val="clear"/>
          </w:tcPr>
          <w:p>
            <w:pPr>
              <w:pStyle w:val="TableText"/>
              <w:spacing w:after="0"/>
            </w:pPr>
            <w:r>
              <w:rPr>
                <w:rFonts w:ascii="Calibri" w:hAnsi="Calibri" w:eastAsia="Calibri"/>
                <w:color w:val="202124"/>
                <w:sz w:val="16"/>
              </w:rPr>
              <w:t>High</w:t>
            </w:r>
          </w:p>
        </w:tc>
        <w:tc>
          <w:tcPr>
            <w:tcW w:type="dxa" w:w="4330"/>
            <w:tcMar>
              <w:top w:w="80" w:type="dxa"/>
              <w:start w:w="120" w:type="dxa"/>
              <w:bottom w:w="80" w:type="dxa"/>
              <w:end w:w="120" w:type="dxa"/>
            </w:tcMar>
            <w:vAlign w:val="center"/>
          </w:tcPr>
          <w:p>
            <w:pPr>
              <w:pStyle w:val="TableText"/>
              <w:spacing w:after="0"/>
            </w:pPr>
            <w:r>
              <w:rPr>
                <w:rFonts w:ascii="Calibri" w:hAnsi="Calibri" w:eastAsia="Calibri"/>
                <w:color w:val="202124"/>
                <w:sz w:val="16"/>
              </w:rPr>
              <w:t>OEM identification, full load/torque/life/leak data, incoming and integrated acceptance test</w:t>
            </w:r>
          </w:p>
        </w:tc>
      </w:tr>
      <w:tr>
        <w:trPr>
          <w:cantSplit/>
        </w:trPr>
        <w:tc>
          <w:tcPr>
            <w:tcW w:type="dxa" w:w="3030"/>
            <w:tcMar>
              <w:top w:w="80" w:type="dxa"/>
              <w:start w:w="120" w:type="dxa"/>
              <w:bottom w:w="80" w:type="dxa"/>
              <w:end w:w="120" w:type="dxa"/>
            </w:tcMar>
            <w:vAlign w:val="center"/>
          </w:tcPr>
          <w:p>
            <w:pPr>
              <w:pStyle w:val="TableText"/>
              <w:spacing w:after="0"/>
            </w:pPr>
            <w:r>
              <w:rPr>
                <w:rFonts w:ascii="Calibri" w:hAnsi="Calibri" w:eastAsia="Calibri"/>
                <w:color w:val="202124"/>
                <w:sz w:val="16"/>
              </w:rPr>
              <w:t>Supplier scope leaves detector performance unowned</w:t>
            </w:r>
          </w:p>
        </w:tc>
        <w:tc>
          <w:tcPr>
            <w:tcW w:type="dxa" w:w="1050"/>
            <w:tcMar>
              <w:top w:w="80" w:type="dxa"/>
              <w:start w:w="120" w:type="dxa"/>
              <w:bottom w:w="80" w:type="dxa"/>
              <w:end w:w="120" w:type="dxa"/>
            </w:tcMar>
            <w:vAlign w:val="center"/>
            <w:shd w:fill="FCE8E6" w:val="clear"/>
          </w:tcPr>
          <w:p>
            <w:pPr>
              <w:pStyle w:val="TableText"/>
              <w:spacing w:after="0"/>
            </w:pPr>
            <w:r>
              <w:rPr>
                <w:rFonts w:ascii="Calibri" w:hAnsi="Calibri" w:eastAsia="Calibri"/>
                <w:color w:val="202124"/>
                <w:sz w:val="16"/>
              </w:rPr>
              <w:t>High</w:t>
            </w:r>
          </w:p>
        </w:tc>
        <w:tc>
          <w:tcPr>
            <w:tcW w:type="dxa" w:w="950"/>
            <w:tcMar>
              <w:top w:w="80" w:type="dxa"/>
              <w:start w:w="120" w:type="dxa"/>
              <w:bottom w:w="80" w:type="dxa"/>
              <w:end w:w="120" w:type="dxa"/>
            </w:tcMar>
            <w:vAlign w:val="center"/>
            <w:shd w:fill="FCE8E6" w:val="clear"/>
          </w:tcPr>
          <w:p>
            <w:pPr>
              <w:pStyle w:val="TableText"/>
              <w:spacing w:after="0"/>
            </w:pPr>
            <w:r>
              <w:rPr>
                <w:rFonts w:ascii="Calibri" w:hAnsi="Calibri" w:eastAsia="Calibri"/>
                <w:color w:val="202124"/>
                <w:sz w:val="16"/>
              </w:rPr>
              <w:t>High</w:t>
            </w:r>
          </w:p>
        </w:tc>
        <w:tc>
          <w:tcPr>
            <w:tcW w:type="dxa" w:w="4330"/>
            <w:tcMar>
              <w:top w:w="80" w:type="dxa"/>
              <w:start w:w="120" w:type="dxa"/>
              <w:bottom w:w="80" w:type="dxa"/>
              <w:end w:w="120" w:type="dxa"/>
            </w:tcMar>
            <w:vAlign w:val="center"/>
          </w:tcPr>
          <w:p>
            <w:pPr>
              <w:pStyle w:val="TableText"/>
              <w:spacing w:after="0"/>
            </w:pPr>
            <w:r>
              <w:rPr>
                <w:rFonts w:ascii="Calibri" w:hAnsi="Calibri" w:eastAsia="Calibri"/>
                <w:color w:val="202124"/>
                <w:sz w:val="16"/>
              </w:rPr>
              <w:t>Explicit workshare; project owns electronics/calibration; golden cassette before PrMat assembly</w:t>
            </w:r>
          </w:p>
        </w:tc>
      </w:tr>
      <w:tr>
        <w:trPr>
          <w:cantSplit/>
        </w:trPr>
        <w:tc>
          <w:tcPr>
            <w:tcW w:type="dxa" w:w="3030"/>
            <w:tcMar>
              <w:top w:w="80" w:type="dxa"/>
              <w:start w:w="120" w:type="dxa"/>
              <w:bottom w:w="80" w:type="dxa"/>
              <w:end w:w="120" w:type="dxa"/>
            </w:tcMar>
            <w:vAlign w:val="center"/>
          </w:tcPr>
          <w:p>
            <w:pPr>
              <w:pStyle w:val="TableText"/>
              <w:spacing w:after="0"/>
            </w:pPr>
            <w:r>
              <w:rPr>
                <w:rFonts w:ascii="Calibri" w:hAnsi="Calibri" w:eastAsia="Calibri"/>
                <w:color w:val="202124"/>
                <w:sz w:val="16"/>
              </w:rPr>
              <w:t>Production released before one-sector coincidence proof</w:t>
            </w:r>
          </w:p>
        </w:tc>
        <w:tc>
          <w:tcPr>
            <w:tcW w:type="dxa" w:w="1050"/>
            <w:tcMar>
              <w:top w:w="80" w:type="dxa"/>
              <w:start w:w="120" w:type="dxa"/>
              <w:bottom w:w="80" w:type="dxa"/>
              <w:end w:w="120" w:type="dxa"/>
            </w:tcMar>
            <w:vAlign w:val="center"/>
            <w:shd w:fill="FFF4D6" w:val="clear"/>
          </w:tcPr>
          <w:p>
            <w:pPr>
              <w:pStyle w:val="TableText"/>
              <w:spacing w:after="0"/>
            </w:pPr>
            <w:r>
              <w:rPr>
                <w:rFonts w:ascii="Calibri" w:hAnsi="Calibri" w:eastAsia="Calibri"/>
                <w:color w:val="202124"/>
                <w:sz w:val="16"/>
              </w:rPr>
              <w:t>Medium</w:t>
            </w:r>
          </w:p>
        </w:tc>
        <w:tc>
          <w:tcPr>
            <w:tcW w:type="dxa" w:w="950"/>
            <w:tcMar>
              <w:top w:w="80" w:type="dxa"/>
              <w:start w:w="120" w:type="dxa"/>
              <w:bottom w:w="80" w:type="dxa"/>
              <w:end w:w="120" w:type="dxa"/>
            </w:tcMar>
            <w:vAlign w:val="center"/>
            <w:shd w:fill="FCE8E6" w:val="clear"/>
          </w:tcPr>
          <w:p>
            <w:pPr>
              <w:pStyle w:val="TableText"/>
              <w:spacing w:after="0"/>
            </w:pPr>
            <w:r>
              <w:rPr>
                <w:rFonts w:ascii="Calibri" w:hAnsi="Calibri" w:eastAsia="Calibri"/>
                <w:color w:val="202124"/>
                <w:sz w:val="16"/>
              </w:rPr>
              <w:t>High</w:t>
            </w:r>
          </w:p>
        </w:tc>
        <w:tc>
          <w:tcPr>
            <w:tcW w:type="dxa" w:w="4330"/>
            <w:tcMar>
              <w:top w:w="80" w:type="dxa"/>
              <w:start w:w="120" w:type="dxa"/>
              <w:bottom w:w="80" w:type="dxa"/>
              <w:end w:w="120" w:type="dxa"/>
            </w:tcMar>
            <w:vAlign w:val="center"/>
          </w:tcPr>
          <w:p>
            <w:pPr>
              <w:pStyle w:val="TableText"/>
              <w:spacing w:after="0"/>
            </w:pPr>
            <w:r>
              <w:rPr>
                <w:rFonts w:ascii="Calibri" w:hAnsi="Calibri" w:eastAsia="Calibri"/>
                <w:color w:val="202124"/>
                <w:sz w:val="16"/>
              </w:rPr>
              <w:t>Gate reviews and no full-channel PO before Gate 2 pass</w:t>
            </w:r>
          </w:p>
        </w:tc>
      </w:tr>
    </w:tbl>
    <w:p>
      <w:pPr>
        <w:pStyle w:val="Heading2"/>
      </w:pPr>
      <w:r>
        <w:t>Decisions required before any chamber purchase order</w:t>
      </w:r>
    </w:p>
    <w:p>
      <w:pPr>
        <w:numPr>
          <w:ilvl w:val="0"/>
          <w:numId w:val="10"/>
        </w:numPr>
        <w:spacing w:after="160" w:line="280" w:lineRule="auto"/>
        <w:keepLines/>
      </w:pPr>
      <w:r>
        <w:rPr>
          <w:rFonts w:ascii="Calibri" w:hAnsi="Calibri" w:eastAsia="Calibri"/>
        </w:rPr>
        <w:t>Approve the beam stay-clear diameter and tolerance budget against actual certified ICF114 flange, nipple, adapter, and bellows drawings; the ICF114 interface is already fixed.</w:t>
      </w:r>
    </w:p>
    <w:p>
      <w:pPr>
        <w:numPr>
          <w:ilvl w:val="0"/>
          <w:numId w:val="10"/>
        </w:numPr>
        <w:spacing w:after="160" w:line="280" w:lineRule="auto"/>
        <w:keepLines/>
      </w:pPr>
      <w:r>
        <w:rPr>
          <w:rFonts w:ascii="Calibri" w:hAnsi="Calibri" w:eastAsia="Calibri"/>
        </w:rPr>
        <w:t>Approve the 0.8-scale detector radii and Ø20 mm acceptance, or retain present radii and Ø25 mm acceptance.</w:t>
      </w:r>
    </w:p>
    <w:p>
      <w:pPr>
        <w:numPr>
          <w:ilvl w:val="0"/>
          <w:numId w:val="10"/>
        </w:numPr>
        <w:spacing w:after="160" w:line="280" w:lineRule="auto"/>
        <w:keepLines/>
      </w:pPr>
      <w:r>
        <w:rPr>
          <w:rFonts w:ascii="Calibri" w:hAnsi="Calibri" w:eastAsia="Calibri"/>
        </w:rPr>
        <w:t>Approve the 4/5/6/8/10 mm prototype matrix, with 5–6 mm as the first study band, and confirm that the detector is a ΔE counter rather than a stopping calorimeter.</w:t>
      </w:r>
    </w:p>
    <w:p>
      <w:pPr>
        <w:numPr>
          <w:ilvl w:val="0"/>
          <w:numId w:val="10"/>
        </w:numPr>
        <w:spacing w:after="160" w:line="280" w:lineRule="auto"/>
        <w:keepLines/>
      </w:pPr>
      <w:r>
        <w:rPr>
          <w:rFonts w:ascii="Calibri" w:hAnsi="Calibri" w:eastAsia="Calibri"/>
        </w:rPr>
        <w:t>Confirm the integrated helium-leak criterion of ≤1 × 10⁻¹⁰ Pa·m³/s and define operating pressure, allowable gas load, populated/bare bake limits, pump-down time, cleaning class, and RGA requirement.</w:t>
      </w:r>
    </w:p>
    <w:p>
      <w:pPr>
        <w:numPr>
          <w:ilvl w:val="0"/>
          <w:numId w:val="10"/>
        </w:numPr>
        <w:spacing w:after="160" w:line="280" w:lineRule="auto"/>
        <w:keepLines/>
      </w:pPr>
      <w:r>
        <w:rPr>
          <w:rFonts w:ascii="Calibri" w:hAnsi="Calibri" w:eastAsia="Calibri"/>
        </w:rPr>
        <w:t>Provide the rotary target load, center of gravity, required torque, allowed backlash, angular repeatability, cycle life, and manual/motor/encoder preference.</w:t>
      </w:r>
    </w:p>
    <w:p>
      <w:pPr>
        <w:numPr>
          <w:ilvl w:val="0"/>
          <w:numId w:val="10"/>
        </w:numPr>
        <w:spacing w:after="160" w:line="280" w:lineRule="auto"/>
        <w:keepLines/>
      </w:pPr>
      <w:r>
        <w:rPr>
          <w:rFonts w:ascii="Calibri" w:hAnsi="Calibri" w:eastAsia="Calibri"/>
        </w:rPr>
        <w:t>Approve the 12-coax service concept, digitizer input range, timing requirement, grounding architecture, and temperature/bias metadata.</w:t>
      </w:r>
    </w:p>
    <w:p>
      <w:pPr>
        <w:numPr>
          <w:ilvl w:val="0"/>
          <w:numId w:val="10"/>
        </w:numPr>
        <w:spacing w:after="160" w:line="280" w:lineRule="auto"/>
        <w:keepLines/>
      </w:pPr>
      <w:r>
        <w:rPr>
          <w:rFonts w:ascii="Calibri" w:hAnsi="Calibri" w:eastAsia="Calibri"/>
        </w:rPr>
        <w:t>Select the cylinder-plus-flat-service architecture after a port-layout and maintenance review.</w:t>
      </w:r>
    </w:p>
    <w:p>
      <w:pPr>
        <w:numPr>
          <w:ilvl w:val="0"/>
          <w:numId w:val="10"/>
        </w:numPr>
        <w:spacing w:after="160" w:line="280" w:lineRule="auto"/>
        <w:keepLines/>
      </w:pPr>
      <w:r>
        <w:rPr>
          <w:rFonts w:ascii="Calibri" w:hAnsi="Calibri" w:eastAsia="Calibri"/>
        </w:rPr>
        <w:t>Approve PrMat’s capability, quality plan, quotation scope, and acceptance test plan after the formal RFQ response.</w:t>
      </w:r>
    </w:p>
    <w:p>
      <w:pPr>
        <w:pStyle w:val="Heading1"/>
      </w:pPr>
      <w:r>
        <w:t>12. RFQ checklist for Shanghai PrMat</w:t>
      </w:r>
    </w:p>
    <w:p>
      <w:pPr>
        <w:keepLines/>
      </w:pPr>
      <w:r>
        <w:rPr>
          <w:rFonts w:ascii="Calibri" w:hAnsi="Calibri" w:eastAsia="Calibri"/>
        </w:rPr>
        <w:t>The following package should be sent as a controlled RFQ after Gate 0. It is intentionally separable so chamber manufacture, rotary feedthrough supply, and detector cassette machining can be evaluated independently.</w:t>
      </w:r>
    </w:p>
    <w:p>
      <w:pPr>
        <w:pStyle w:val="Heading2"/>
        <w:pageBreakBefore/>
      </w:pPr>
      <w:r>
        <w:t>RFQ response matrix</w:t>
      </w:r>
    </w:p>
    <w:tbl>
      <w:tblPr>
        <w:tblStyle w:val="TableGrid"/>
        <w:tblW w:type="dxa" w:w="9360"/>
        <w:tblLayout w:type="fixed"/>
        <w:tblLook w:firstColumn="1" w:firstRow="1" w:lastColumn="0" w:lastRow="0" w:noHBand="0" w:noVBand="1" w:val="04A0"/>
        <w:jc w:val="center"/>
        <w:tblInd w:w="120" w:type="dxa"/>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Pr>
      <w:tblGrid>
        <w:gridCol w:w="1700"/>
        <w:gridCol w:w="3750"/>
        <w:gridCol w:w="3910"/>
      </w:tblGrid>
      <w:tr>
        <w:trPr>
          <w:cantSplit/>
          <w:tblHeader w:val="true"/>
          <w:cantSplit/>
        </w:trPr>
        <w:tc>
          <w:tcPr>
            <w:tcW w:type="dxa" w:w="170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RFQ section</w:t>
            </w:r>
          </w:p>
        </w:tc>
        <w:tc>
          <w:tcPr>
            <w:tcW w:type="dxa" w:w="375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Information to provide to PrMat</w:t>
            </w:r>
          </w:p>
        </w:tc>
        <w:tc>
          <w:tcPr>
            <w:tcW w:type="dxa" w:w="3910"/>
            <w:tcMar>
              <w:top w:w="80" w:type="dxa"/>
              <w:start w:w="120" w:type="dxa"/>
              <w:bottom w:w="80" w:type="dxa"/>
              <w:end w:w="120" w:type="dxa"/>
            </w:tcMar>
            <w:vAlign w:val="center"/>
            <w:shd w:fill="F2F4F7" w:val="clear"/>
          </w:tcPr>
          <w:p>
            <w:pPr>
              <w:pStyle w:val="TableText"/>
              <w:spacing w:after="0"/>
            </w:pPr>
            <w:r>
              <w:rPr>
                <w:rFonts w:ascii="Calibri" w:hAnsi="Calibri" w:eastAsia="Calibri"/>
                <w:b/>
                <w:color w:val="202124"/>
                <w:sz w:val="16"/>
              </w:rPr>
              <w:t>Information PrMat must return</w:t>
            </w:r>
          </w:p>
        </w:tc>
      </w:tr>
      <w:tr>
        <w:trPr>
          <w:cantSplit/>
        </w:trPr>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6"/>
              </w:rPr>
              <w:t>System envelope</w:t>
            </w:r>
          </w:p>
        </w:tc>
        <w:tc>
          <w:tcPr>
            <w:tcW w:type="dxa" w:w="3750"/>
            <w:tcMar>
              <w:top w:w="80" w:type="dxa"/>
              <w:start w:w="120" w:type="dxa"/>
              <w:bottom w:w="80" w:type="dxa"/>
              <w:end w:w="120" w:type="dxa"/>
            </w:tcMar>
            <w:vAlign w:val="center"/>
          </w:tcPr>
          <w:p>
            <w:pPr>
              <w:pStyle w:val="TableText"/>
              <w:spacing w:after="0"/>
            </w:pPr>
            <w:r>
              <w:rPr>
                <w:rFonts w:ascii="Calibri" w:hAnsi="Calibri" w:eastAsia="Calibri"/>
                <w:color w:val="202124"/>
                <w:sz w:val="16"/>
              </w:rPr>
              <w:t>Approved 3D envelope, beam axis, service zones, handling limits, installed orientation</w:t>
            </w:r>
          </w:p>
        </w:tc>
        <w:tc>
          <w:tcPr>
            <w:tcW w:type="dxa" w:w="3910"/>
            <w:tcMar>
              <w:top w:w="80" w:type="dxa"/>
              <w:start w:w="120" w:type="dxa"/>
              <w:bottom w:w="80" w:type="dxa"/>
              <w:end w:w="120" w:type="dxa"/>
            </w:tcMar>
            <w:vAlign w:val="center"/>
          </w:tcPr>
          <w:p>
            <w:pPr>
              <w:pStyle w:val="TableText"/>
              <w:spacing w:after="0"/>
            </w:pPr>
            <w:r>
              <w:rPr>
                <w:rFonts w:ascii="Calibri" w:hAnsi="Calibri" w:eastAsia="Calibri"/>
                <w:color w:val="202124"/>
                <w:sz w:val="16"/>
              </w:rPr>
              <w:t>Manufacturability comments, final mass/CoG estimate, access and lifting proposal</w:t>
            </w:r>
          </w:p>
        </w:tc>
      </w:tr>
      <w:tr>
        <w:trPr>
          <w:cantSplit/>
        </w:trPr>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6"/>
              </w:rPr>
              <w:t>Vacuum boundary</w:t>
            </w:r>
          </w:p>
        </w:tc>
        <w:tc>
          <w:tcPr>
            <w:tcW w:type="dxa" w:w="3750"/>
            <w:tcMar>
              <w:top w:w="80" w:type="dxa"/>
              <w:start w:w="120" w:type="dxa"/>
              <w:bottom w:w="80" w:type="dxa"/>
              <w:end w:w="120" w:type="dxa"/>
            </w:tcMar>
            <w:vAlign w:val="center"/>
          </w:tcPr>
          <w:p>
            <w:pPr>
              <w:pStyle w:val="TableText"/>
              <w:spacing w:after="0"/>
            </w:pPr>
            <w:r>
              <w:rPr>
                <w:rFonts w:ascii="Calibri" w:hAnsi="Calibri" w:eastAsia="Calibri"/>
                <w:color w:val="202124"/>
                <w:sz w:val="16"/>
              </w:rPr>
              <w:t>Material, pressure/bake, leak target, cleaning, prohibited materials, standard ICF list</w:t>
            </w:r>
          </w:p>
        </w:tc>
        <w:tc>
          <w:tcPr>
            <w:tcW w:type="dxa" w:w="3910"/>
            <w:tcMar>
              <w:top w:w="80" w:type="dxa"/>
              <w:start w:w="120" w:type="dxa"/>
              <w:bottom w:w="80" w:type="dxa"/>
              <w:end w:w="120" w:type="dxa"/>
            </w:tcMar>
            <w:vAlign w:val="center"/>
          </w:tcPr>
          <w:p>
            <w:pPr>
              <w:pStyle w:val="TableText"/>
              <w:spacing w:after="0"/>
            </w:pPr>
            <w:r>
              <w:rPr>
                <w:rFonts w:ascii="Calibri" w:hAnsi="Calibri" w:eastAsia="Calibri"/>
                <w:color w:val="202124"/>
                <w:sz w:val="16"/>
              </w:rPr>
              <w:t>Material route, bought-out parts, weld map/procedure, FEA plan, cleaning and leak procedure</w:t>
            </w:r>
          </w:p>
        </w:tc>
      </w:tr>
      <w:tr>
        <w:trPr>
          <w:cantSplit/>
        </w:trPr>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6"/>
              </w:rPr>
              <w:t>Interfaces / GD&amp;T</w:t>
            </w:r>
          </w:p>
        </w:tc>
        <w:tc>
          <w:tcPr>
            <w:tcW w:type="dxa" w:w="3750"/>
            <w:tcMar>
              <w:top w:w="80" w:type="dxa"/>
              <w:start w:w="120" w:type="dxa"/>
              <w:bottom w:w="80" w:type="dxa"/>
              <w:end w:w="120" w:type="dxa"/>
            </w:tcMar>
            <w:vAlign w:val="center"/>
          </w:tcPr>
          <w:p>
            <w:pPr>
              <w:pStyle w:val="TableText"/>
              <w:spacing w:after="0"/>
            </w:pPr>
            <w:r>
              <w:rPr>
                <w:rFonts w:ascii="Calibri" w:hAnsi="Calibri" w:eastAsia="Calibri"/>
                <w:color w:val="202124"/>
                <w:sz w:val="16"/>
              </w:rPr>
              <w:t>Controlled 2D interface drawings and datum hierarchy</w:t>
            </w:r>
          </w:p>
        </w:tc>
        <w:tc>
          <w:tcPr>
            <w:tcW w:type="dxa" w:w="3910"/>
            <w:tcMar>
              <w:top w:w="80" w:type="dxa"/>
              <w:start w:w="120" w:type="dxa"/>
              <w:bottom w:w="80" w:type="dxa"/>
              <w:end w:w="120" w:type="dxa"/>
            </w:tcMar>
            <w:vAlign w:val="center"/>
          </w:tcPr>
          <w:p>
            <w:pPr>
              <w:pStyle w:val="TableText"/>
              <w:spacing w:after="0"/>
            </w:pPr>
            <w:r>
              <w:rPr>
                <w:rFonts w:ascii="Calibri" w:hAnsi="Calibri" w:eastAsia="Calibri"/>
                <w:color w:val="202124"/>
                <w:sz w:val="16"/>
              </w:rPr>
              <w:t>Production drawings, tolerance feasibility, inspection equipment, sample report format</w:t>
            </w:r>
          </w:p>
        </w:tc>
      </w:tr>
      <w:tr>
        <w:trPr>
          <w:cantSplit/>
        </w:trPr>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6"/>
              </w:rPr>
              <w:t>Rotary target</w:t>
            </w:r>
          </w:p>
        </w:tc>
        <w:tc>
          <w:tcPr>
            <w:tcW w:type="dxa" w:w="3750"/>
            <w:tcMar>
              <w:top w:w="80" w:type="dxa"/>
              <w:start w:w="120" w:type="dxa"/>
              <w:bottom w:w="80" w:type="dxa"/>
              <w:end w:w="120" w:type="dxa"/>
            </w:tcMar>
            <w:vAlign w:val="center"/>
          </w:tcPr>
          <w:p>
            <w:pPr>
              <w:pStyle w:val="TableText"/>
              <w:spacing w:after="0"/>
            </w:pPr>
            <w:r>
              <w:rPr>
                <w:rFonts w:ascii="Calibri" w:hAnsi="Calibri" w:eastAsia="Calibri"/>
                <w:color w:val="202124"/>
                <w:sz w:val="16"/>
              </w:rPr>
              <w:t>Load case, travel, shaft/interface, angular performance, environment, cable/motor needs</w:t>
            </w:r>
          </w:p>
        </w:tc>
        <w:tc>
          <w:tcPr>
            <w:tcW w:type="dxa" w:w="3910"/>
            <w:tcMar>
              <w:top w:w="80" w:type="dxa"/>
              <w:start w:w="120" w:type="dxa"/>
              <w:bottom w:w="80" w:type="dxa"/>
              <w:end w:w="120" w:type="dxa"/>
            </w:tcMar>
            <w:vAlign w:val="center"/>
          </w:tcPr>
          <w:p>
            <w:pPr>
              <w:pStyle w:val="TableText"/>
              <w:spacing w:after="0"/>
            </w:pPr>
            <w:r>
              <w:rPr>
                <w:rFonts w:ascii="Calibri" w:hAnsi="Calibri" w:eastAsia="Calibri"/>
                <w:color w:val="202124"/>
                <w:sz w:val="16"/>
              </w:rPr>
              <w:t>Exact model/OEM, complete datasheet, life/load/torque/backlash, leak/bake certificate, service plan</w:t>
            </w:r>
          </w:p>
        </w:tc>
      </w:tr>
      <w:tr>
        <w:trPr>
          <w:cantSplit/>
        </w:trPr>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6"/>
              </w:rPr>
              <w:t>Detector cartridge</w:t>
            </w:r>
          </w:p>
        </w:tc>
        <w:tc>
          <w:tcPr>
            <w:tcW w:type="dxa" w:w="3750"/>
            <w:tcMar>
              <w:top w:w="80" w:type="dxa"/>
              <w:start w:w="120" w:type="dxa"/>
              <w:bottom w:w="80" w:type="dxa"/>
              <w:end w:w="120" w:type="dxa"/>
            </w:tcMar>
            <w:vAlign w:val="center"/>
          </w:tcPr>
          <w:p>
            <w:pPr>
              <w:pStyle w:val="TableText"/>
              <w:spacing w:after="0"/>
            </w:pPr>
            <w:r>
              <w:rPr>
                <w:rFonts w:ascii="Calibri" w:hAnsi="Calibri" w:eastAsia="Calibri"/>
                <w:color w:val="202124"/>
                <w:sz w:val="16"/>
              </w:rPr>
              <w:t>Golden-cassette interface, optical keep-out, thermal path, cable routing, interchangeability</w:t>
            </w:r>
          </w:p>
        </w:tc>
        <w:tc>
          <w:tcPr>
            <w:tcW w:type="dxa" w:w="3910"/>
            <w:tcMar>
              <w:top w:w="80" w:type="dxa"/>
              <w:start w:w="120" w:type="dxa"/>
              <w:bottom w:w="80" w:type="dxa"/>
              <w:end w:w="120" w:type="dxa"/>
            </w:tcMar>
            <w:vAlign w:val="center"/>
          </w:tcPr>
          <w:p>
            <w:pPr>
              <w:pStyle w:val="TableText"/>
              <w:spacing w:after="0"/>
            </w:pPr>
            <w:r>
              <w:rPr>
                <w:rFonts w:ascii="Calibri" w:hAnsi="Calibri" w:eastAsia="Calibri"/>
                <w:color w:val="202124"/>
                <w:sz w:val="16"/>
              </w:rPr>
              <w:t>Material and finish, machining tolerances, first article plan, assembly traveler</w:t>
            </w:r>
          </w:p>
        </w:tc>
      </w:tr>
      <w:tr>
        <w:trPr>
          <w:cantSplit/>
        </w:trPr>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6"/>
              </w:rPr>
              <w:t>Electrical feedthroughs</w:t>
            </w:r>
          </w:p>
        </w:tc>
        <w:tc>
          <w:tcPr>
            <w:tcW w:type="dxa" w:w="3750"/>
            <w:tcMar>
              <w:top w:w="80" w:type="dxa"/>
              <w:start w:w="120" w:type="dxa"/>
              <w:bottom w:w="80" w:type="dxa"/>
              <w:end w:w="120" w:type="dxa"/>
            </w:tcMar>
            <w:vAlign w:val="center"/>
          </w:tcPr>
          <w:p>
            <w:pPr>
              <w:pStyle w:val="TableText"/>
              <w:spacing w:after="0"/>
            </w:pPr>
            <w:r>
              <w:rPr>
                <w:rFonts w:ascii="Calibri" w:hAnsi="Calibri" w:eastAsia="Calibri"/>
                <w:color w:val="202124"/>
                <w:sz w:val="16"/>
              </w:rPr>
              <w:t>12 × 50 Ω coax concept plus housekeeping requirements</w:t>
            </w:r>
          </w:p>
        </w:tc>
        <w:tc>
          <w:tcPr>
            <w:tcW w:type="dxa" w:w="3910"/>
            <w:tcMar>
              <w:top w:w="80" w:type="dxa"/>
              <w:start w:w="120" w:type="dxa"/>
              <w:bottom w:w="80" w:type="dxa"/>
              <w:end w:w="120" w:type="dxa"/>
            </w:tcMar>
            <w:vAlign w:val="center"/>
          </w:tcPr>
          <w:p>
            <w:pPr>
              <w:pStyle w:val="TableText"/>
              <w:spacing w:after="0"/>
            </w:pPr>
            <w:r>
              <w:rPr>
                <w:rFonts w:ascii="Calibri" w:hAnsi="Calibri" w:eastAsia="Calibri"/>
                <w:color w:val="202124"/>
                <w:sz w:val="16"/>
              </w:rPr>
              <w:t>Selected Feedivac/equivalent part numbers, connector/cable drawings, certificates and spares</w:t>
            </w:r>
          </w:p>
        </w:tc>
      </w:tr>
      <w:tr>
        <w:trPr>
          <w:cantSplit/>
        </w:trPr>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6"/>
              </w:rPr>
              <w:t>Acceptance</w:t>
            </w:r>
          </w:p>
        </w:tc>
        <w:tc>
          <w:tcPr>
            <w:tcW w:type="dxa" w:w="3750"/>
            <w:tcMar>
              <w:top w:w="80" w:type="dxa"/>
              <w:start w:w="120" w:type="dxa"/>
              <w:bottom w:w="80" w:type="dxa"/>
              <w:end w:w="120" w:type="dxa"/>
            </w:tcMar>
            <w:vAlign w:val="center"/>
          </w:tcPr>
          <w:p>
            <w:pPr>
              <w:pStyle w:val="TableText"/>
              <w:spacing w:after="0"/>
            </w:pPr>
            <w:r>
              <w:rPr>
                <w:rFonts w:ascii="Calibri" w:hAnsi="Calibri" w:eastAsia="Calibri"/>
                <w:color w:val="202124"/>
                <w:sz w:val="16"/>
              </w:rPr>
              <w:t>Witness points, leak/dimensional/test criteria, documentation language and format</w:t>
            </w:r>
          </w:p>
        </w:tc>
        <w:tc>
          <w:tcPr>
            <w:tcW w:type="dxa" w:w="3910"/>
            <w:tcMar>
              <w:top w:w="80" w:type="dxa"/>
              <w:start w:w="120" w:type="dxa"/>
              <w:bottom w:w="80" w:type="dxa"/>
              <w:end w:w="120" w:type="dxa"/>
            </w:tcMar>
            <w:vAlign w:val="center"/>
          </w:tcPr>
          <w:p>
            <w:pPr>
              <w:pStyle w:val="TableText"/>
              <w:spacing w:after="0"/>
            </w:pPr>
            <w:r>
              <w:rPr>
                <w:rFonts w:ascii="Calibri" w:hAnsi="Calibri" w:eastAsia="Calibri"/>
                <w:color w:val="202124"/>
                <w:sz w:val="16"/>
              </w:rPr>
              <w:t>Inspection and test plan, nonconformance process, certificate package</w:t>
            </w:r>
          </w:p>
        </w:tc>
      </w:tr>
      <w:tr>
        <w:trPr>
          <w:cantSplit/>
        </w:trPr>
        <w:tc>
          <w:tcPr>
            <w:tcW w:type="dxa" w:w="1700"/>
            <w:tcMar>
              <w:top w:w="80" w:type="dxa"/>
              <w:start w:w="120" w:type="dxa"/>
              <w:bottom w:w="80" w:type="dxa"/>
              <w:end w:w="120" w:type="dxa"/>
            </w:tcMar>
            <w:vAlign w:val="center"/>
          </w:tcPr>
          <w:p>
            <w:pPr>
              <w:pStyle w:val="TableText"/>
              <w:spacing w:after="0"/>
            </w:pPr>
            <w:r>
              <w:rPr>
                <w:rFonts w:ascii="Calibri" w:hAnsi="Calibri" w:eastAsia="Calibri"/>
                <w:color w:val="202124"/>
                <w:sz w:val="16"/>
              </w:rPr>
              <w:t>Commercial</w:t>
            </w:r>
          </w:p>
        </w:tc>
        <w:tc>
          <w:tcPr>
            <w:tcW w:type="dxa" w:w="3750"/>
            <w:tcMar>
              <w:top w:w="80" w:type="dxa"/>
              <w:start w:w="120" w:type="dxa"/>
              <w:bottom w:w="80" w:type="dxa"/>
              <w:end w:w="120" w:type="dxa"/>
            </w:tcMar>
            <w:vAlign w:val="center"/>
          </w:tcPr>
          <w:p>
            <w:pPr>
              <w:pStyle w:val="TableText"/>
              <w:spacing w:after="0"/>
            </w:pPr>
            <w:r>
              <w:rPr>
                <w:rFonts w:ascii="Calibri" w:hAnsi="Calibri" w:eastAsia="Calibri"/>
                <w:color w:val="202124"/>
                <w:sz w:val="16"/>
              </w:rPr>
              <w:t>Prototype and production quantities, requested line-item structure, drawing/data ownership</w:t>
            </w:r>
          </w:p>
        </w:tc>
        <w:tc>
          <w:tcPr>
            <w:tcW w:type="dxa" w:w="3910"/>
            <w:tcMar>
              <w:top w:w="80" w:type="dxa"/>
              <w:start w:w="120" w:type="dxa"/>
              <w:bottom w:w="80" w:type="dxa"/>
              <w:end w:w="120" w:type="dxa"/>
            </w:tcMar>
            <w:vAlign w:val="center"/>
          </w:tcPr>
          <w:p>
            <w:pPr>
              <w:pStyle w:val="TableText"/>
              <w:spacing w:after="0"/>
            </w:pPr>
            <w:r>
              <w:rPr>
                <w:rFonts w:ascii="Calibri" w:hAnsi="Calibri" w:eastAsia="Calibri"/>
                <w:color w:val="202124"/>
                <w:sz w:val="16"/>
              </w:rPr>
              <w:t>NRE, parts, fabrication, inspection, packing, lead time, warranty, replacement/spare terms</w:t>
            </w:r>
          </w:p>
        </w:tc>
      </w:tr>
    </w:tbl>
    <w:tbl>
      <w:tblPr>
        <w:tblStyle w:val="TableGrid"/>
        <w:tblW w:type="dxa" w:w="9360"/>
        <w:jc w:val="center"/>
        <w:tblLayout w:type="fixed"/>
        <w:tblLook w:firstColumn="1" w:firstRow="1" w:lastColumn="0" w:lastRow="0" w:noHBand="0" w:noVBand="1" w:val="04A0"/>
        <w:tblInd w:w="120" w:type="dxa"/>
        <w:tblBorders>
          <w:top w:val="single" w:sz="6" w:space="0" w:color="FFF4D6"/>
          <w:left w:val="single" w:sz="6" w:space="0" w:color="FFF4D6"/>
          <w:bottom w:val="single" w:sz="6" w:space="0" w:color="FFF4D6"/>
          <w:right w:val="single" w:sz="6" w:space="0" w:color="FFF4D6"/>
          <w:insideH w:val="single" w:sz="6" w:space="0" w:color="FFF4D6"/>
          <w:insideV w:val="single" w:sz="6" w:space="0" w:color="FFF4D6"/>
        </w:tblBorders>
      </w:tblPr>
      <w:tblGrid>
        <w:gridCol w:w="9360"/>
      </w:tblGrid>
      <w:tr>
        <w:trPr>
          <w:cantSplit/>
        </w:trPr>
        <w:tc>
          <w:tcPr>
            <w:tcW w:type="dxa" w:w="9360"/>
            <w:tcMar>
              <w:top w:w="80" w:type="dxa"/>
              <w:start w:w="120" w:type="dxa"/>
              <w:bottom w:w="80" w:type="dxa"/>
              <w:end w:w="120" w:type="dxa"/>
            </w:tcMar>
            <w:vAlign w:val="center"/>
            <w:shd w:fill="FFF4D6" w:val="clear"/>
          </w:tcPr>
          <w:p>
            <w:pPr>
              <w:pStyle w:val="TableText"/>
              <w:spacing w:after="80"/>
            </w:pPr>
            <w:r>
              <w:rPr>
                <w:rFonts w:ascii="Calibri" w:hAnsi="Calibri" w:eastAsia="Calibri"/>
                <w:b/>
                <w:color w:val="1F4D78"/>
                <w:sz w:val="21"/>
              </w:rPr>
              <w:t>Recommended order sequence</w:t>
            </w:r>
          </w:p>
          <w:p>
            <w:pPr>
              <w:pStyle w:val="TableText"/>
              <w:spacing w:after="60"/>
            </w:pPr>
            <w:r>
              <w:rPr>
                <w:rFonts w:ascii="Calibri" w:hAnsi="Calibri" w:eastAsia="Calibri"/>
                <w:sz w:val="19"/>
              </w:rPr>
              <w:t>First order: rotary feedthrough data review plus one detector-cassette machining trial and, if useful, a chamber design-for-manufacture study.</w:t>
            </w:r>
          </w:p>
          <w:p>
            <w:pPr>
              <w:pStyle w:val="TableText"/>
              <w:spacing w:after="60"/>
            </w:pPr>
            <w:r>
              <w:rPr>
                <w:rFonts w:ascii="Calibri" w:hAnsi="Calibri" w:eastAsia="Calibri"/>
                <w:sz w:val="19"/>
              </w:rPr>
              <w:t>Second order: one engineering chamber only after beam aperture, ports, vacuum class, and detector cartridge are frozen.</w:t>
            </w:r>
          </w:p>
          <w:p>
            <w:pPr>
              <w:pStyle w:val="TableText"/>
              <w:spacing w:after="60"/>
            </w:pPr>
            <w:r>
              <w:rPr>
                <w:rFonts w:ascii="Calibri" w:hAnsi="Calibri" w:eastAsia="Calibri"/>
                <w:sz w:val="19"/>
              </w:rPr>
              <w:t>Production order: only after the chamber first article and one-sector detector prototype pass their acceptance gates.</w:t>
            </w:r>
          </w:p>
        </w:tc>
      </w:tr>
    </w:tbl>
    <w:p>
      <w:pPr>
        <w:spacing w:after="0"/>
      </w:pPr>
    </w:p>
    <w:p>
      <w:pPr>
        <w:pStyle w:val="Heading1"/>
      </w:pPr>
      <w:r>
        <w:t>13. References and supplier evidence</w:t>
      </w:r>
    </w:p>
    <w:p>
      <w:pPr>
        <w:keepLines/>
      </w:pPr>
      <w:r>
        <w:rPr>
          <w:rFonts w:ascii="Calibri" w:hAnsi="Calibri" w:eastAsia="Calibri"/>
        </w:rPr>
        <w:t>Supplier webpages are evidence for candidate selection only. Current signed datasheets, drawings, quotations, lot traceability, and certificates must govern procurement.</w:t>
      </w:r>
    </w:p>
    <w:p>
      <w:pPr>
        <w:pStyle w:val="SmallNote"/>
      </w:pPr>
      <w:r>
        <w:rPr>
          <w:rFonts w:ascii="Calibri" w:hAnsi="Calibri" w:eastAsia="Calibri"/>
          <w:color w:val="202124"/>
          <w:sz w:val="18"/>
        </w:rPr>
        <w:t xml:space="preserve">[1] Shanghai PrMat, “About PrMat.” </w:t>
      </w:r>
      <w:hyperlink r:id="rId12">
        <w:r>
          <w:rPr>
            <w:rFonts w:ascii="Calibri" w:hAnsi="Calibri"/>
            <w:color w:val="2E74B5"/>
            <w:u w:val="single"/>
            <w:sz w:val="17"/>
          </w:rPr>
          <w:t>https://www.prmat.com/Home/About/index.html</w:t>
        </w:r>
      </w:hyperlink>
      <w:r>
        <w:rPr>
          <w:rFonts w:ascii="Calibri" w:hAnsi="Calibri" w:eastAsia="Calibri"/>
          <w:color w:val="5F6368"/>
          <w:sz w:val="18"/>
        </w:rPr>
        <w:t xml:space="preserve"> Public statement of vacuum precision components and custom design/manufacturing capability. Accessed 26 July 2026.</w:t>
      </w:r>
    </w:p>
    <w:p>
      <w:pPr>
        <w:pStyle w:val="SmallNote"/>
      </w:pPr>
      <w:r>
        <w:rPr>
          <w:rFonts w:ascii="Calibri" w:hAnsi="Calibri" w:eastAsia="Calibri"/>
          <w:color w:val="202124"/>
          <w:sz w:val="18"/>
        </w:rPr>
        <w:t xml:space="preserve">[2] Shanghai PrMat, “K-cell thermal evaporation source.” </w:t>
      </w:r>
      <w:hyperlink r:id="rId13">
        <w:r>
          <w:rPr>
            <w:rFonts w:ascii="Calibri" w:hAnsi="Calibri"/>
            <w:color w:val="2E74B5"/>
            <w:u w:val="single"/>
            <w:sz w:val="17"/>
          </w:rPr>
          <w:t>https://www.prmat.com/Home/Product/detail/id/702.html</w:t>
        </w:r>
      </w:hyperlink>
      <w:r>
        <w:rPr>
          <w:rFonts w:ascii="Calibri" w:hAnsi="Calibri" w:eastAsia="Calibri"/>
          <w:color w:val="5F6368"/>
          <w:sz w:val="18"/>
        </w:rPr>
        <w:t xml:space="preserve"> Public example of a DN40CF, bakeable UHV-domain product. Accessed 26 July 2026.</w:t>
      </w:r>
    </w:p>
    <w:p>
      <w:pPr>
        <w:pStyle w:val="SmallNote"/>
      </w:pPr>
      <w:r>
        <w:rPr>
          <w:rFonts w:ascii="Calibri" w:hAnsi="Calibri" w:eastAsia="Calibri"/>
          <w:color w:val="202124"/>
          <w:sz w:val="18"/>
        </w:rPr>
        <w:t xml:space="preserve">[3] Shanghai Centao / NDL, “NDL EQR15 series SiPM datasheet.” </w:t>
      </w:r>
      <w:hyperlink r:id="rId14">
        <w:r>
          <w:rPr>
            <w:rFonts w:ascii="Calibri" w:hAnsi="Calibri"/>
            <w:color w:val="2E74B5"/>
            <w:u w:val="single"/>
            <w:sz w:val="17"/>
          </w:rPr>
          <w:t>https://www.laser-opto.com/uploadfile/202412/f4cdac169ae58dc.pdf</w:t>
        </w:r>
      </w:hyperlink>
      <w:r>
        <w:rPr>
          <w:rFonts w:ascii="Calibri" w:hAnsi="Calibri" w:eastAsia="Calibri"/>
          <w:color w:val="5F6368"/>
          <w:sz w:val="18"/>
        </w:rPr>
        <w:t xml:space="preserve"> EQR15 device family and EQR15 11-6060D-S data. Accessed 26 July 2026.</w:t>
      </w:r>
    </w:p>
    <w:p>
      <w:pPr>
        <w:pStyle w:val="SmallNote"/>
      </w:pPr>
      <w:r>
        <w:rPr>
          <w:rFonts w:ascii="Calibri" w:hAnsi="Calibri" w:eastAsia="Calibri"/>
          <w:color w:val="202124"/>
          <w:sz w:val="18"/>
        </w:rPr>
        <w:t xml:space="preserve">[4] Shanghai Centao / NDL, “NDL EQR20 11-6060D-S product page.” </w:t>
      </w:r>
      <w:hyperlink r:id="rId15">
        <w:r>
          <w:rPr>
            <w:rFonts w:ascii="Calibri" w:hAnsi="Calibri"/>
            <w:color w:val="2E74B5"/>
            <w:u w:val="single"/>
            <w:sz w:val="17"/>
          </w:rPr>
          <w:t>https://www.laser-opto.com/Single_Channel_SiPM_detectors/1899/NDL_EQR20_11_6060D_S_%E5%A4%96%E5%BB%B6%E7%94%B5%E9%98%BB%E6%B7%AC%E7%81%AD%E7%A1%85%E5%85%89%E7%94%B5%E5%80%8D%E5%A2%9E%E5%99%A8%EF%BC%88EQR_SiPM%EF%BC%89</w:t>
        </w:r>
      </w:hyperlink>
      <w:r>
        <w:rPr>
          <w:rFonts w:ascii="Calibri" w:hAnsi="Calibri" w:eastAsia="Calibri"/>
          <w:color w:val="5F6368"/>
          <w:sz w:val="18"/>
        </w:rPr>
        <w:t xml:space="preserve"> 6.24 mm active area, 20 µm pitch, 97,344 cells, gain and PDE listing. Accessed 26 July 2026.</w:t>
      </w:r>
    </w:p>
    <w:p>
      <w:pPr>
        <w:pStyle w:val="SmallNote"/>
      </w:pPr>
      <w:r>
        <w:rPr>
          <w:rFonts w:ascii="Calibri" w:hAnsi="Calibri" w:eastAsia="Calibri"/>
          <w:color w:val="202124"/>
          <w:sz w:val="18"/>
        </w:rPr>
        <w:t xml:space="preserve">[5] Hamamatsu Photonics China, “S13360-6025CS product page.” </w:t>
      </w:r>
      <w:hyperlink r:id="rId16">
        <w:r>
          <w:rPr>
            <w:rFonts w:ascii="Calibri" w:hAnsi="Calibri"/>
            <w:color w:val="2E74B5"/>
            <w:u w:val="single"/>
            <w:sz w:val="17"/>
          </w:rPr>
          <w:t>https://www.hamamatsu.com.cn/cn/zh-cn/product/optical-sensors/mppc/mppc_mppc-array/S13360-6025CS.html</w:t>
        </w:r>
      </w:hyperlink>
      <w:r>
        <w:rPr>
          <w:rFonts w:ascii="Calibri" w:hAnsi="Calibri" w:eastAsia="Calibri"/>
          <w:color w:val="5F6368"/>
          <w:sz w:val="18"/>
        </w:rPr>
        <w:t xml:space="preserve"> 6 × 6 mm, 25 µm pitch, 57,600 pixels, gain, dark count, and capacitance. Accessed 26 July 2026.</w:t>
      </w:r>
    </w:p>
    <w:p>
      <w:pPr>
        <w:pStyle w:val="SmallNote"/>
      </w:pPr>
      <w:r>
        <w:rPr>
          <w:rFonts w:ascii="Calibri" w:hAnsi="Calibri" w:eastAsia="Calibri"/>
          <w:color w:val="202124"/>
          <w:sz w:val="18"/>
        </w:rPr>
        <w:t xml:space="preserve">[6] Hamamatsu Photonics, “Physics and operation of the MPPC silicon photomultiplier.” </w:t>
      </w:r>
      <w:hyperlink r:id="rId17">
        <w:r>
          <w:rPr>
            <w:rFonts w:ascii="Calibri" w:hAnsi="Calibri"/>
            <w:color w:val="2E74B5"/>
            <w:u w:val="single"/>
            <w:sz w:val="17"/>
          </w:rPr>
          <w:t>https://hub.hamamatsu.com/us/en/technical-notes/mppc-sipms/physics-and-operation-of-the-MPPC-silicon-photomultiplier.html</w:t>
        </w:r>
      </w:hyperlink>
      <w:r>
        <w:rPr>
          <w:rFonts w:ascii="Calibri" w:hAnsi="Calibri" w:eastAsia="Calibri"/>
          <w:color w:val="5F6368"/>
          <w:sz w:val="18"/>
        </w:rPr>
        <w:t xml:space="preserve"> Short-pulse microcell occupancy and dynamic-range model. Accessed 26 July 2026.</w:t>
      </w:r>
    </w:p>
    <w:p>
      <w:pPr>
        <w:pStyle w:val="SmallNote"/>
      </w:pPr>
      <w:r>
        <w:rPr>
          <w:rFonts w:ascii="Calibri" w:hAnsi="Calibri" w:eastAsia="Calibri"/>
          <w:color w:val="202124"/>
          <w:sz w:val="18"/>
        </w:rPr>
        <w:t xml:space="preserve">[7] Eljen Technology, “General-purpose plastic scintillator EJ-200 / EJ-204 / EJ-208 / EJ-212.” </w:t>
      </w:r>
      <w:hyperlink r:id="rId18">
        <w:r>
          <w:rPr>
            <w:rFonts w:ascii="Calibri" w:hAnsi="Calibri"/>
            <w:color w:val="2E74B5"/>
            <w:u w:val="single"/>
            <w:sz w:val="17"/>
          </w:rPr>
          <w:t>https://eljentechnology.com/images/products/data_sheets/EJ-200_EJ-204_EJ-208_EJ-212.pdf</w:t>
        </w:r>
      </w:hyperlink>
      <w:r>
        <w:rPr>
          <w:rFonts w:ascii="Calibri" w:hAnsi="Calibri" w:eastAsia="Calibri"/>
          <w:color w:val="5F6368"/>
          <w:sz w:val="18"/>
        </w:rPr>
        <w:t xml:space="preserve"> Reference light yield, emission wavelength, timing, density, and vacuum compatibility. Accessed 26 July 2026.</w:t>
      </w:r>
    </w:p>
    <w:p>
      <w:pPr>
        <w:pStyle w:val="SmallNote"/>
      </w:pPr>
      <w:r>
        <w:rPr>
          <w:rFonts w:ascii="Calibri" w:hAnsi="Calibri" w:eastAsia="Calibri"/>
          <w:color w:val="202124"/>
          <w:sz w:val="18"/>
        </w:rPr>
        <w:t xml:space="preserve">[8] Shanghai EPIC Crystal / Shanghai Shuojie, “Plastic scintillator.” </w:t>
      </w:r>
      <w:hyperlink r:id="rId19">
        <w:r>
          <w:rPr>
            <w:rFonts w:ascii="Calibri" w:hAnsi="Calibri"/>
            <w:color w:val="2E74B5"/>
            <w:u w:val="single"/>
            <w:sz w:val="17"/>
          </w:rPr>
          <w:t>https://www.epic-crystal.com.cn/scintillation-crystals/plastic-scintillator.html</w:t>
        </w:r>
      </w:hyperlink>
      <w:r>
        <w:rPr>
          <w:rFonts w:ascii="Calibri" w:hAnsi="Calibri" w:eastAsia="Calibri"/>
          <w:color w:val="5F6368"/>
          <w:sz w:val="18"/>
        </w:rPr>
        <w:t xml:space="preserve"> Domestic plastic scintillator properties, forms, and customization. Accessed 26 July 2026.</w:t>
      </w:r>
    </w:p>
    <w:p>
      <w:pPr>
        <w:pStyle w:val="SmallNote"/>
      </w:pPr>
      <w:r>
        <w:rPr>
          <w:rFonts w:ascii="Calibri" w:hAnsi="Calibri" w:eastAsia="Calibri"/>
          <w:color w:val="202124"/>
          <w:sz w:val="18"/>
        </w:rPr>
        <w:t xml:space="preserve">[9] Beijing Feedivac, “SMA50/SMAD50 coaxial feedthrough.” </w:t>
      </w:r>
      <w:hyperlink r:id="rId20">
        <w:r>
          <w:rPr>
            <w:rFonts w:ascii="Calibri" w:hAnsi="Calibri"/>
            <w:color w:val="2E74B5"/>
            <w:u w:val="single"/>
            <w:sz w:val="17"/>
          </w:rPr>
          <w:t>https://www.feedivac.com/bsma/168.html</w:t>
        </w:r>
      </w:hyperlink>
      <w:r>
        <w:rPr>
          <w:rFonts w:ascii="Calibri" w:hAnsi="Calibri" w:eastAsia="Calibri"/>
          <w:color w:val="5F6368"/>
          <w:sz w:val="18"/>
        </w:rPr>
        <w:t xml:space="preserve"> 50 Ω, CF16/CF40 channel configurations, frequency, temperature, vacuum, and leak specifications. Accessed 26 July 2026.</w:t>
      </w:r>
    </w:p>
    <w:p>
      <w:pPr>
        <w:pStyle w:val="SmallNote"/>
      </w:pPr>
      <w:r>
        <w:rPr>
          <w:rFonts w:ascii="Calibri" w:hAnsi="Calibri" w:eastAsia="Calibri"/>
          <w:color w:val="202124"/>
          <w:sz w:val="18"/>
        </w:rPr>
        <w:t xml:space="preserve">[10] Cosmotec, “ICF vacuum component family.” </w:t>
      </w:r>
      <w:hyperlink r:id="rId21">
        <w:r>
          <w:rPr>
            <w:rFonts w:ascii="Calibri" w:hAnsi="Calibri"/>
            <w:color w:val="2E74B5"/>
            <w:u w:val="single"/>
            <w:sz w:val="17"/>
          </w:rPr>
          <w:t>https://en.cosmotec-co.jp/products/list?category_id=64</w:t>
        </w:r>
      </w:hyperlink>
      <w:r>
        <w:rPr>
          <w:rFonts w:ascii="Calibri" w:hAnsi="Calibri" w:eastAsia="Calibri"/>
          <w:color w:val="5F6368"/>
          <w:sz w:val="18"/>
        </w:rPr>
        <w:t xml:space="preserve"> Official ICF component family and representative ultra-high-vacuum leak specifications. Accessed 26 July 2026.</w:t>
      </w:r>
    </w:p>
    <w:p>
      <w:pPr>
        <w:pStyle w:val="SmallNote"/>
      </w:pPr>
      <w:r>
        <w:rPr>
          <w:rFonts w:ascii="Calibri" w:hAnsi="Calibri" w:eastAsia="Calibri"/>
          <w:color w:val="202124"/>
          <w:sz w:val="18"/>
        </w:rPr>
        <w:t xml:space="preserve">[11] Cosmotec, “Motion feedthrough family.” </w:t>
      </w:r>
      <w:hyperlink r:id="rId22">
        <w:r>
          <w:rPr>
            <w:rFonts w:ascii="Calibri" w:hAnsi="Calibri"/>
            <w:color w:val="2E74B5"/>
            <w:u w:val="single"/>
            <w:sz w:val="17"/>
          </w:rPr>
          <w:t>https://en.cosmotec-co.jp/products/list?category_id=383</w:t>
        </w:r>
      </w:hyperlink>
      <w:r>
        <w:rPr>
          <w:rFonts w:ascii="Calibri" w:hAnsi="Calibri" w:eastAsia="Calibri"/>
          <w:color w:val="5F6368"/>
          <w:sz w:val="18"/>
        </w:rPr>
        <w:t xml:space="preserve"> Official rotary, bellows, and magnetic motion-feedthrough families for vacuum service. Accessed 26 July 2026.</w:t>
      </w:r>
    </w:p>
    <w:p>
      <w:pPr>
        <w:pStyle w:val="SmallNote"/>
      </w:pPr>
      <w:r>
        <w:rPr>
          <w:rFonts w:ascii="Calibri" w:hAnsi="Calibri" w:eastAsia="Calibri"/>
          <w:color w:val="202124"/>
          <w:sz w:val="18"/>
        </w:rPr>
        <w:t xml:space="preserve">[12] Leybold, “CF vacuum hardware.” </w:t>
      </w:r>
      <w:hyperlink r:id="rId23">
        <w:r>
          <w:rPr>
            <w:rFonts w:ascii="Calibri" w:hAnsi="Calibri"/>
            <w:color w:val="2E74B5"/>
            <w:u w:val="single"/>
            <w:sz w:val="17"/>
          </w:rPr>
          <w:t>https://www.leybold.com/content/leybold/es/products/vacuum-hardware-and-valves/hardware.html</w:t>
        </w:r>
      </w:hyperlink>
      <w:r>
        <w:rPr>
          <w:rFonts w:ascii="Calibri" w:hAnsi="Calibri" w:eastAsia="Calibri"/>
          <w:color w:val="5F6368"/>
          <w:sz w:val="18"/>
        </w:rPr>
        <w:t xml:space="preserve"> Official CF hardware guidance covering OFHC copper gaskets and ultra-high-vacuum construction. Accessed 26 July 2026.</w:t>
      </w:r>
    </w:p>
    <w:p>
      <w:pPr>
        <w:pStyle w:val="SmallNote"/>
      </w:pPr>
      <w:r>
        <w:rPr>
          <w:rFonts w:ascii="Calibri" w:hAnsi="Calibri" w:eastAsia="Calibri"/>
          <w:color w:val="202124"/>
          <w:sz w:val="18"/>
        </w:rPr>
        <w:t xml:space="preserve">[13] Hubei Ray-Quant / Joinbon, “JSP-TP6050 SiPM.” </w:t>
      </w:r>
      <w:hyperlink r:id="rId24">
        <w:r>
          <w:rPr>
            <w:rFonts w:ascii="Calibri" w:hAnsi="Calibri"/>
            <w:color w:val="2E74B5"/>
            <w:u w:val="single"/>
            <w:sz w:val="17"/>
          </w:rPr>
          <w:t>https://www.ray-quant.com/en/show-55.html</w:t>
        </w:r>
      </w:hyperlink>
      <w:r>
        <w:rPr>
          <w:rFonts w:ascii="Calibri" w:hAnsi="Calibri" w:eastAsia="Calibri"/>
          <w:color w:val="5F6368"/>
          <w:sz w:val="18"/>
        </w:rPr>
        <w:t xml:space="preserve"> Domestic 6 × 6 mm, 50 µm-pitch comparison device. Accessed 26 July 2026.</w:t>
      </w:r>
    </w:p>
    <w:p>
      <w:pPr>
        <w:pStyle w:val="SmallNote"/>
      </w:pPr>
      <w:r>
        <w:rPr>
          <w:rFonts w:ascii="Calibri" w:hAnsi="Calibri" w:eastAsia="Calibri"/>
          <w:color w:val="202124"/>
          <w:sz w:val="18"/>
        </w:rPr>
        <w:t xml:space="preserve">[14] polarimeter repository, “CompactInVacuum default configuration.” </w:t>
      </w:r>
      <w:hyperlink r:id="rId25">
        <w:r>
          <w:rPr>
            <w:rFonts w:ascii="Calibri" w:hAnsi="Calibri"/>
            <w:color w:val="2E74B5"/>
            <w:u w:val="single"/>
            <w:sz w:val="17"/>
          </w:rPr>
          <w:t>https://github.com/tianbaiting/polarimeter</w:t>
        </w:r>
      </w:hyperlink>
      <w:r>
        <w:rPr>
          <w:rFonts w:ascii="Calibri" w:hAnsi="Calibri" w:eastAsia="Calibri"/>
          <w:color w:val="5F6368"/>
          <w:sz w:val="18"/>
        </w:rPr>
        <w:t xml:space="preserve"> CAD and detector configuration reference at commit d1fc28f96a2018a212be7de07d94d80ad435ba9f. Accessed 26 July 2026.</w:t>
      </w:r>
    </w:p>
    <w:p>
      <w:pPr>
        <w:pStyle w:val="Heading2"/>
      </w:pPr>
      <w:r>
        <w:t>Calculation provenance</w:t>
      </w:r>
    </w:p>
    <w:p>
      <w:pPr>
        <w:keepLines/>
      </w:pPr>
      <w:r>
        <w:rPr>
          <w:rFonts w:ascii="Calibri" w:hAnsi="Calibri" w:eastAsia="Calibri"/>
        </w:rPr>
        <w:t>Energy-deposition ranges in this report were generated from the project’s elastic d–p/d–C kinematics and LISE++ range tables at 1, 2, 3, 4, 5, 6, 8, and 10 mm thickness. ATIMA 1.2 LS is the primary estimate and Hubert 1990, Ziegler low energy, ATIMA 1.2 without LS, and ATIMA 1.4 mean charge form the comparison envelope. The machine-readable sources are generated/thickness_summary.csv, generated/thickness_scan.csv, generated/derived_results.json, and generated/verification_summary.txt. These are engineering screening values and must be cross-checked by a version-controlled Geant4 result before production release.</w:t>
      </w:r>
    </w:p>
    <w:p>
      <w:pPr>
        <w:keepLines/>
      </w:pPr>
      <w:r>
        <w:rPr>
          <w:rFonts w:ascii="Calibri" w:hAnsi="Calibri" w:eastAsia="Calibri"/>
        </w:rPr>
        <w:t>SiPM saturation values were recalculated directly from the equations in Section 5 with the listed cell counts, PDE values, gains, a 10,000 photons/MeV electron-equivalent reference yield, and the stated optical efficiencies. The report intentionally does not apply an assumed Birks constant.</w:t>
      </w:r>
    </w:p>
    <w:p/>
    <w:p>
      <w:pPr>
        <w:jc w:val="center"/>
      </w:pPr>
      <w:r>
        <w:rPr>
          <w:rFonts w:ascii="Calibri" w:hAnsi="Calibri" w:eastAsia="Calibri"/>
          <w:b/>
          <w:color w:val="5F6368"/>
          <w:sz w:val="18"/>
        </w:rPr>
        <w:t>END OF PRELIMINARY REPORT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368"/>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368"/>
        <w:sz w:val="17"/>
      </w:rPr>
      <w:t>COMPACTINVACUUM POLARIMETER  |  PRELIMINARY ENGINEERING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eastAsia="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40" w:lineRule="auto" w:before="0"/>
      <w:contextualSpacing/>
    </w:pPr>
    <w:rPr>
      <w:rFonts w:asciiTheme="majorHAnsi" w:eastAsiaTheme="majorEastAsia" w:hAnsiTheme="majorHAnsi" w:cstheme="majorBidi" w:ascii="Calibri" w:hAnsi="Calibri" w:eastAsia="Calibri"/>
      <w:b/>
      <w:color w:val="20212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Calibri" w:hAnsi="Calibri" w:eastAsia="Calibri"/>
      <w:b w:val="0"/>
      <w:i/>
      <w:iCs/>
      <w:color w:val="5F63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pPr>
    <w:rPr>
      <w:rFonts w:ascii="Calibri" w:hAnsi="Calibri" w:eastAsia="Calibri"/>
      <w:b/>
      <w:bCs/>
      <w:i/>
      <w:color w:val="5F63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after="40" w:line="240" w:lineRule="auto"/>
    </w:pPr>
    <w:rPr>
      <w:rFonts w:ascii="Calibri" w:hAnsi="Calibri" w:eastAsia="Calibri"/>
      <w:color w:val="202124"/>
      <w:sz w:val="18"/>
    </w:rPr>
  </w:style>
  <w:style w:type="paragraph" w:customStyle="1" w:styleId="SmallNote">
    <w:name w:val="Small Note"/>
    <w:pPr>
      <w:spacing w:after="100" w:line="252" w:lineRule="auto"/>
    </w:pPr>
    <w:rPr>
      <w:rFonts w:ascii="Calibri" w:hAnsi="Calibri" w:eastAsia="Calibri"/>
      <w:color w:val="5F636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prmat.com/Home/About/index.html" TargetMode="External"/><Relationship Id="rId13" Type="http://schemas.openxmlformats.org/officeDocument/2006/relationships/hyperlink" Target="https://www.prmat.com/Home/Product/detail/id/702.html" TargetMode="External"/><Relationship Id="rId14" Type="http://schemas.openxmlformats.org/officeDocument/2006/relationships/hyperlink" Target="https://www.laser-opto.com/uploadfile/202412/f4cdac169ae58dc.pdf" TargetMode="External"/><Relationship Id="rId15" Type="http://schemas.openxmlformats.org/officeDocument/2006/relationships/hyperlink" Target="https://www.laser-opto.com/Single_Channel_SiPM_detectors/1899/NDL_EQR20_11_6060D_S_%E5%A4%96%E5%BB%B6%E7%94%B5%E9%98%BB%E6%B7%AC%E7%81%AD%E7%A1%85%E5%85%89%E7%94%B5%E5%80%8D%E5%A2%9E%E5%99%A8%EF%BC%88EQR_SiPM%EF%BC%89" TargetMode="External"/><Relationship Id="rId16" Type="http://schemas.openxmlformats.org/officeDocument/2006/relationships/hyperlink" Target="https://www.hamamatsu.com.cn/cn/zh-cn/product/optical-sensors/mppc/mppc_mppc-array/S13360-6025CS.html" TargetMode="External"/><Relationship Id="rId17" Type="http://schemas.openxmlformats.org/officeDocument/2006/relationships/hyperlink" Target="https://hub.hamamatsu.com/us/en/technical-notes/mppc-sipms/physics-and-operation-of-the-MPPC-silicon-photomultiplier.html" TargetMode="External"/><Relationship Id="rId18" Type="http://schemas.openxmlformats.org/officeDocument/2006/relationships/hyperlink" Target="https://eljentechnology.com/images/products/data_sheets/EJ-200_EJ-204_EJ-208_EJ-212.pdf" TargetMode="External"/><Relationship Id="rId19" Type="http://schemas.openxmlformats.org/officeDocument/2006/relationships/hyperlink" Target="https://www.epic-crystal.com.cn/scintillation-crystals/plastic-scintillator.html" TargetMode="External"/><Relationship Id="rId20" Type="http://schemas.openxmlformats.org/officeDocument/2006/relationships/hyperlink" Target="https://www.feedivac.com/bsma/168.html" TargetMode="External"/><Relationship Id="rId21" Type="http://schemas.openxmlformats.org/officeDocument/2006/relationships/hyperlink" Target="https://en.cosmotec-co.jp/products/list?category_id=64" TargetMode="External"/><Relationship Id="rId22" Type="http://schemas.openxmlformats.org/officeDocument/2006/relationships/hyperlink" Target="https://en.cosmotec-co.jp/products/list?category_id=383" TargetMode="External"/><Relationship Id="rId23" Type="http://schemas.openxmlformats.org/officeDocument/2006/relationships/hyperlink" Target="https://www.leybold.com/content/leybold/es/products/vacuum-hardware-and-valves/hardware.html" TargetMode="External"/><Relationship Id="rId24" Type="http://schemas.openxmlformats.org/officeDocument/2006/relationships/hyperlink" Target="https://www.ray-quant.com/en/show-55.html" TargetMode="External"/><Relationship Id="rId25" Type="http://schemas.openxmlformats.org/officeDocument/2006/relationships/hyperlink" Target="https://github.com/tianbaiting/polarime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CompactInVacuum Polarimeter: SiPM Detector, Vacuum Chamber, and China Procurement Engineering Report</dc:title>
  <dc:subject>Preliminary design review and procurement planning</dc:subject>
  <dc:creator>CompactInVacuum project engineering</dc:creator>
  <cp:keywords>polarimeter, SiPM, plastic scintillator, ICF, vacuum chamber, China procurement</cp:keywords>
  <dc:description>Preliminary; not for fabrication or purchase order release.</dc:description>
  <cp:lastModifiedBy/>
  <cp:revision>1</cp:revision>
  <dcterms:created xsi:type="dcterms:W3CDTF">2013-12-23T23:15:00Z</dcterms:created>
  <dcterms:modified xsi:type="dcterms:W3CDTF">2013-12-23T23:15:00Z</dcterms:modified>
  <cp:category/>
</cp:coreProperties>
</file>