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支付API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541"/>
        <w:gridCol w:w="1424"/>
        <w:gridCol w:w="1136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Endpoint</w:t>
            </w:r>
          </w:p>
        </w:tc>
        <w:tc>
          <w:tcPr>
            <w:tcW w:w="6407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http://121.33.253.75/inner/perform_payment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Method</w:t>
            </w:r>
          </w:p>
        </w:tc>
        <w:tc>
          <w:tcPr>
            <w:tcW w:w="6407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Content Type</w:t>
            </w:r>
          </w:p>
        </w:tc>
        <w:tc>
          <w:tcPr>
            <w:tcW w:w="6407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application/json;charset=UTF-8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2" w:type="dxa"/>
            <w:gridSpan w:val="5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Element 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Name</w:t>
            </w:r>
          </w:p>
        </w:tc>
        <w:tc>
          <w:tcPr>
            <w:tcW w:w="1541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424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Existence</w:t>
            </w:r>
          </w:p>
        </w:tc>
        <w:tc>
          <w:tcPr>
            <w:tcW w:w="1136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Macing</w:t>
            </w:r>
          </w:p>
        </w:tc>
        <w:tc>
          <w:tcPr>
            <w:tcW w:w="2306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appId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String(22)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应用号，区分广州校区和清水湾校区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merUid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String(36)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jc w:val="left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订单类型，</w:t>
            </w:r>
          </w:p>
          <w:p>
            <w:pPr>
              <w:pStyle w:val="3"/>
              <w:jc w:val="left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境内-DOMES，包括微信，支付宝；</w:t>
            </w:r>
          </w:p>
          <w:p>
            <w:pPr>
              <w:pStyle w:val="3"/>
              <w:jc w:val="left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境外- OVERS，外卡支付；</w:t>
            </w:r>
          </w:p>
          <w:p>
            <w:pPr>
              <w:pStyle w:val="3"/>
              <w:jc w:val="left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银联-UPAY；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invNo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String(18)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txnTime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String(19)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订单的交易时间yyyyMMddHHmmss+0800，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txnCcyCde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String(3)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固定填</w:t>
            </w:r>
            <w:r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CNY</w:t>
            </w:r>
            <w:r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txnAmt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String(12)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订单金额，单位：元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inAppFlg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In-app payment flag (Y/N), when set to'Y','callbackDispUrl' is ignored.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callbackDispUrl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String(1024)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支付成功后跳转到商户页面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callbackAckUrl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String(1024)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goodsName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String(40)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goodsAddress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String(100)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goodsNum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goodsId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customPhone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String(20)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买家联系电话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customId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String(100)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default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买家用户名，学号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orderRemark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String(100)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merHint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String(40)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商城提示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hmac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String(128)</w:t>
            </w:r>
          </w:p>
        </w:tc>
        <w:tc>
          <w:tcPr>
            <w:tcW w:w="1424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113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30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Hexadecimal values generated using HMAC (SHA-512) algorithm by using an assigned key.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callbackDispUrl: If inAppFlg=N and the URL is provided, the URL will be called by the payment system for displaying the result after the process finished, ex: payment success/failure/error page. (The data passed to this URL should only be used for displaying, for record updating in your application please use the data return by "callbackAckUrl"), else inAppFlg=Y, fill in a one character space string.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callbackAckUrl: The URL to be called by the payment system for acknowledging the payment result, ex: payment success/failure/error result for record updating in your application. The retry duration calling to "callbackAckUrl" is 15/15/30/180/1800/1800/1800/3600 (seconds) until the application returns "ACK" (case sensitive) in the response body to payment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500"/>
        <w:gridCol w:w="1431"/>
        <w:gridCol w:w="805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2" w:type="dxa"/>
            <w:gridSpan w:val="5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Content Type</w:t>
            </w:r>
          </w:p>
        </w:tc>
        <w:tc>
          <w:tcPr>
            <w:tcW w:w="6202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application/json;charset=UTF8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2" w:type="dxa"/>
            <w:gridSpan w:val="5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Element 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Name</w:t>
            </w:r>
          </w:p>
        </w:tc>
        <w:tc>
          <w:tcPr>
            <w:tcW w:w="1500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431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Existence</w:t>
            </w:r>
          </w:p>
        </w:tc>
        <w:tc>
          <w:tcPr>
            <w:tcW w:w="805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Macing</w:t>
            </w:r>
          </w:p>
        </w:tc>
        <w:tc>
          <w:tcPr>
            <w:tcW w:w="2466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appId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String(22)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应用号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merUid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String(36)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订单类型，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境内-DOMES；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境外-OVERS；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银联-UPAY;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invNo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String(18)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txnCcyCde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String(3)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固定值CNY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txnAmt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String(17)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txnTime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String(19)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订单的交易时间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inAppFlg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In-app payment flag (Y/N), when set to 'Y', 'checkoutUrl' will be filled with a one character space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merId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String(20)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checkoutUrl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String(1024)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If inAppFlg=Y or errorFlg=Y, this field will be filled with a one character space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errorFlg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'Y': Process payment encountered error, for detail please refer to 'errorCde' and 'errorMsg'.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'N': Process payment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errorCde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String(7)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If errorFlg=Y, then this field will include the error code for reference.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errorMsg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String(no limit)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If errorFlg=Y, then this field will include the relevant error message for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hmac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String(128)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Hexadecimal values generated using HMAC (SHA-512) algorithm by using an assigned key.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查询订单API</w:t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541"/>
        <w:gridCol w:w="1623"/>
        <w:gridCol w:w="995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Endpoint</w:t>
            </w:r>
          </w:p>
        </w:tc>
        <w:tc>
          <w:tcPr>
            <w:tcW w:w="6407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http://121.33.253.75/inner/query_order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Method</w:t>
            </w:r>
          </w:p>
        </w:tc>
        <w:tc>
          <w:tcPr>
            <w:tcW w:w="6407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Content Type</w:t>
            </w:r>
          </w:p>
        </w:tc>
        <w:tc>
          <w:tcPr>
            <w:tcW w:w="6407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application/json;charset=UTF-8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2" w:type="dxa"/>
            <w:gridSpan w:val="5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Element 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Name</w:t>
            </w:r>
          </w:p>
        </w:tc>
        <w:tc>
          <w:tcPr>
            <w:tcW w:w="1541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623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Existence</w:t>
            </w:r>
          </w:p>
        </w:tc>
        <w:tc>
          <w:tcPr>
            <w:tcW w:w="995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Macing</w:t>
            </w:r>
          </w:p>
        </w:tc>
        <w:tc>
          <w:tcPr>
            <w:tcW w:w="2248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appId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String(22)</w:t>
            </w:r>
          </w:p>
        </w:tc>
        <w:tc>
          <w:tcPr>
            <w:tcW w:w="1623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99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248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应用号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merUid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String(36)</w:t>
            </w:r>
          </w:p>
        </w:tc>
        <w:tc>
          <w:tcPr>
            <w:tcW w:w="1623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99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248" w:type="dxa"/>
            <w:noWrap w:val="0"/>
            <w:vAlign w:val="top"/>
          </w:tcPr>
          <w:p>
            <w:pPr>
              <w:pStyle w:val="3"/>
              <w:jc w:val="left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订单类型，</w:t>
            </w:r>
          </w:p>
          <w:p>
            <w:pPr>
              <w:pStyle w:val="3"/>
              <w:jc w:val="left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境内-DOMES；</w:t>
            </w:r>
          </w:p>
          <w:p>
            <w:pPr>
              <w:pStyle w:val="3"/>
              <w:jc w:val="left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境外- OVERS；</w:t>
            </w:r>
          </w:p>
          <w:p>
            <w:pPr>
              <w:pStyle w:val="3"/>
              <w:jc w:val="left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银联-UPAY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invNo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String(18)</w:t>
            </w:r>
          </w:p>
        </w:tc>
        <w:tc>
          <w:tcPr>
            <w:tcW w:w="1623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99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248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txnTime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String(19)</w:t>
            </w:r>
          </w:p>
        </w:tc>
        <w:tc>
          <w:tcPr>
            <w:tcW w:w="1623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99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248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订单的交易时间yyyyMMddHHmmss+0800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7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hmac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String(128)</w:t>
            </w:r>
          </w:p>
        </w:tc>
        <w:tc>
          <w:tcPr>
            <w:tcW w:w="1623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99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248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333333"/>
                <w:kern w:val="2"/>
                <w:sz w:val="21"/>
                <w:szCs w:val="21"/>
                <w:lang w:val="en-US" w:eastAsia="zh-CN" w:bidi="ar-SA"/>
              </w:rPr>
              <w:t>Hexadecimal values generated using HMAC (SHA-512) algorithm by using an assigned key.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tbl>
      <w:tblPr>
        <w:tblStyle w:val="5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500"/>
        <w:gridCol w:w="1431"/>
        <w:gridCol w:w="805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2" w:type="dxa"/>
            <w:gridSpan w:val="5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Content Type</w:t>
            </w:r>
          </w:p>
        </w:tc>
        <w:tc>
          <w:tcPr>
            <w:tcW w:w="6202" w:type="dxa"/>
            <w:gridSpan w:val="4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application/json;charset=UTF8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2" w:type="dxa"/>
            <w:gridSpan w:val="5"/>
            <w:shd w:val="clear" w:color="auto" w:fill="auto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Element 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Name</w:t>
            </w:r>
          </w:p>
        </w:tc>
        <w:tc>
          <w:tcPr>
            <w:tcW w:w="1500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1431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Existence</w:t>
            </w:r>
          </w:p>
        </w:tc>
        <w:tc>
          <w:tcPr>
            <w:tcW w:w="805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Macing</w:t>
            </w:r>
          </w:p>
        </w:tc>
        <w:tc>
          <w:tcPr>
            <w:tcW w:w="2466" w:type="dxa"/>
            <w:shd w:val="clear" w:color="auto" w:fill="CCCCCC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appId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String(22)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应用号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merUid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String(36)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订单类型，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境内-DOMES；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境外-OVERS；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银联-UPAY;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invNo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String(18)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txnCcyCde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String(3)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固定值CNY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txnAmt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String(17)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payAmt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String(17)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用户实际支付金额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txnTime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String(19)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payTime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String(19)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支付完成时间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 xml:space="preserve">如果errorFlg是Y， 则payTime=""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payStatus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String(2)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支付状态，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成功；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失败；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未知;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如果payStatus = 2， 则payTime="";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payType="";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如果errorFlg是Y， 则payStatus="" ;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payType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String(2)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支付方式：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UnionPay / 银联卡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工行卡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Visa/Master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Wechat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Alipay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如果errorFlg是Y， 则payType=""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errorFlg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'Y': Process query encountered error, for detail please refer to 'errorCde' and 'errorMsg'.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  <w:t>'N': Process query successfully, 见queryMsg详细信息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errorCde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String(7)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If errorFlg=Y, then this field will include the error code for reference.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errorMsg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String(no limit)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If errorFlg=Y, then this field will include the relevant error message for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queryMsg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String(1024)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  <w:t>支付状态详情。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  <w:t>errorFlg=“N”时有可能有值。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queryCode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String(20)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Optional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  <w:t>支付状态码。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2"/>
                <w:sz w:val="21"/>
                <w:szCs w:val="21"/>
                <w:lang w:val="en-US" w:eastAsia="zh-CN" w:bidi="ar-SA"/>
              </w:rPr>
              <w:t>errorFlg=“N”时有可能有值。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hmac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String(128)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Mandatory</w:t>
            </w:r>
          </w:p>
        </w:tc>
        <w:tc>
          <w:tcPr>
            <w:tcW w:w="805" w:type="dxa"/>
            <w:noWrap w:val="0"/>
            <w:vAlign w:val="top"/>
          </w:tcPr>
          <w:p>
            <w:pPr>
              <w:pStyle w:val="3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2466" w:type="dxa"/>
            <w:noWrap w:val="0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2"/>
                <w:sz w:val="21"/>
                <w:szCs w:val="21"/>
                <w:lang w:val="en-US" w:eastAsia="zh-CN" w:bidi="ar-SA"/>
              </w:rPr>
              <w:t>Hexadecimal values generated using HMAC (SHA-512) algorithm by using an assigned key.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errorCde &amp; errorMsg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errorCde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errorMsg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Your hmac was wrong.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-200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MerUid was wrong.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-300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An exception occurred during hmac computing.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-400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An exception occurred calling checkout.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-500</w:t>
            </w:r>
          </w:p>
        </w:tc>
        <w:tc>
          <w:tcPr>
            <w:tcW w:w="426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Gateway: 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  <w:t>Redis don</w:t>
            </w:r>
            <w:r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  <w:t>’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  <w:t>t have this order.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-600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Your MacData was not passed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-1000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Database error occurred.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-2000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Database don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t have this order.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-10000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The response of UnionPay was not obtained.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-10001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The certificate needs to be updated, signature verification fails.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-10002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Check the request, order query failed or the order was not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-10003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order query failed, please check the cause.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-10004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Gateway: order needs to be re-requested.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支付方式</w:t>
      </w:r>
    </w:p>
    <w:tbl>
      <w:tblPr>
        <w:tblStyle w:val="6"/>
        <w:tblW w:w="63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TW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TW" w:bidi="ar"/>
              </w:rPr>
              <w:t>merUId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sz w:val="21"/>
                <w:szCs w:val="21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TW" w:bidi="ar"/>
              </w:rPr>
              <w:t>payType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DOMES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Wechat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DOMES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Alipay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DOMES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UnionPay / 银联卡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DOMES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9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工行卡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OVERS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9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Visa/Master/JCB/大来卡 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UPAY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75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UnionPay / 银联卡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关于测试用的IE浏览器安装控件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>访问https://mybank.icbc.com.cn/icbc/newperbank/perbank3/frame/frame_index.jsp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按提示安装控件 </w:t>
      </w:r>
    </w:p>
    <w:p>
      <w:pP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或者 </w:t>
      </w:r>
    </w:p>
    <w:p>
      <w:pPr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下载安装网银助手  </w:t>
      </w:r>
      <w:r>
        <w:rPr>
          <w:rFonts w:hint="eastAsia" w:ascii="微软雅黑 Light" w:hAnsi="微软雅黑 Light" w:eastAsia="微软雅黑 Light" w:cs="微软雅黑 Light"/>
          <w:sz w:val="18"/>
          <w:szCs w:val="18"/>
          <w:lang w:val="en-US" w:eastAsia="zh-CN"/>
        </w:rPr>
        <w:t>http://www.icbc.com.cn/icbc/html/download/EbankToolsSoftware/ICBCSetupIntegration.msi</w:t>
      </w:r>
      <w:r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0"/>
        </w:rPr>
        <w:t>我行线上收银台支持的浏览器：</w:t>
      </w:r>
      <w:r>
        <w:rPr>
          <w:rFonts w:hint="eastAsia" w:ascii="宋体" w:hAnsi="宋体"/>
          <w:color w:val="000000"/>
          <w:sz w:val="24"/>
        </w:rPr>
        <w:t xml:space="preserve"> </w:t>
      </w:r>
    </w:p>
    <w:tbl>
      <w:tblPr>
        <w:tblStyle w:val="5"/>
        <w:tblW w:w="4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9"/>
        <w:gridCol w:w="1734"/>
        <w:gridCol w:w="1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操作系统</w:t>
            </w:r>
          </w:p>
        </w:tc>
        <w:tc>
          <w:tcPr>
            <w:tcW w:w="17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支持浏览器类型</w:t>
            </w:r>
          </w:p>
        </w:tc>
        <w:tc>
          <w:tcPr>
            <w:tcW w:w="1602" w:type="dxa"/>
            <w:tcBorders>
              <w:left w:val="single" w:color="auto" w:sz="6" w:space="0"/>
              <w:bottom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支持版本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windows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IE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IE 7-11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mac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safari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safari 7以上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9" w:type="dxa"/>
            <w:tcBorders>
              <w:top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windows、mac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chrome</w:t>
            </w:r>
          </w:p>
        </w:tc>
        <w:tc>
          <w:tcPr>
            <w:tcW w:w="1602" w:type="dxa"/>
            <w:tcBorders>
              <w:top w:val="single" w:color="auto" w:sz="6" w:space="0"/>
              <w:left w:val="single" w:color="auto" w:sz="6" w:space="0"/>
              <w:tl2br w:val="nil"/>
              <w:tr2bl w:val="nil"/>
            </w:tcBorders>
            <w:noWrap w:val="0"/>
            <w:vAlign w:val="top"/>
          </w:tcPr>
          <w:p>
            <w:pPr>
              <w:keepNext/>
              <w:keepLines/>
              <w:spacing w:beforeLines="0" w:afterLines="0"/>
              <w:ind w:left="15"/>
              <w:jc w:val="left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chrome 21-24.9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银联支付测试用卡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招商银行借记卡：6226090000000048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手机号：18100000000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密码：111101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短信验证码：111111（先点获取验证码之后再输入）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证件类型：01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证件号：510265790128303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姓名：张三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华夏银行贷记卡：6226388000000095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手机号：18100000000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cvn2：248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有效期：1225（12月25年）（后台接口注意格式YYMM需倒一下，应为2512）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短信验证码：111111（先点获取验证码之后再输入）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证件类型：01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证件号：510265790128303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姓名：张三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平安银行借记卡：6216261000000000018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手机号：13552535506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证件类型：01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证件号：341126197709218366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密码：123456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姓名：全渠道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短信验证码：111111（先点获取验证码之后再输入）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平安银行贷记卡：6221558812340000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手机号：13552535506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cvn2：123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有效期：1123（11月23年）（后台接口注意格式YYMM需倒一下，应为2311）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短信验证码：111111（先点获取验证码之后再输入）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姓名：互联网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证件类型：01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证件号：341126197709218366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E89BB"/>
    <w:multiLevelType w:val="singleLevel"/>
    <w:tmpl w:val="86DE89BB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B9AD6432"/>
    <w:multiLevelType w:val="singleLevel"/>
    <w:tmpl w:val="B9AD6432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C3218BAB"/>
    <w:multiLevelType w:val="singleLevel"/>
    <w:tmpl w:val="C3218BAB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F3ECA2F7"/>
    <w:multiLevelType w:val="singleLevel"/>
    <w:tmpl w:val="F3ECA2F7"/>
    <w:lvl w:ilvl="0" w:tentative="0">
      <w:start w:val="9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0EE5"/>
    <w:rsid w:val="021877A2"/>
    <w:rsid w:val="02EE2D1A"/>
    <w:rsid w:val="045B10CE"/>
    <w:rsid w:val="046B730A"/>
    <w:rsid w:val="05E13018"/>
    <w:rsid w:val="07C01F3C"/>
    <w:rsid w:val="08F97752"/>
    <w:rsid w:val="096B5A80"/>
    <w:rsid w:val="0A6611AC"/>
    <w:rsid w:val="0A980512"/>
    <w:rsid w:val="0B0308FE"/>
    <w:rsid w:val="0BCA146E"/>
    <w:rsid w:val="0C3D6FC3"/>
    <w:rsid w:val="0D614A9D"/>
    <w:rsid w:val="0D977662"/>
    <w:rsid w:val="0E6F2AEE"/>
    <w:rsid w:val="0EB53DC4"/>
    <w:rsid w:val="0EEF0ECB"/>
    <w:rsid w:val="10256666"/>
    <w:rsid w:val="10BB2C31"/>
    <w:rsid w:val="110510AA"/>
    <w:rsid w:val="12314507"/>
    <w:rsid w:val="12D919DC"/>
    <w:rsid w:val="13C84A28"/>
    <w:rsid w:val="14016219"/>
    <w:rsid w:val="1416479B"/>
    <w:rsid w:val="14A24778"/>
    <w:rsid w:val="14AC4E9D"/>
    <w:rsid w:val="157D0FCE"/>
    <w:rsid w:val="177D11F8"/>
    <w:rsid w:val="182774FF"/>
    <w:rsid w:val="18A82945"/>
    <w:rsid w:val="18BE30AF"/>
    <w:rsid w:val="1995238E"/>
    <w:rsid w:val="1A307581"/>
    <w:rsid w:val="1A4B7298"/>
    <w:rsid w:val="1A6D6E0B"/>
    <w:rsid w:val="1BDF3196"/>
    <w:rsid w:val="1C827565"/>
    <w:rsid w:val="1CD804EB"/>
    <w:rsid w:val="1E0C222B"/>
    <w:rsid w:val="1E9B7FB1"/>
    <w:rsid w:val="1ED17A3A"/>
    <w:rsid w:val="208170C7"/>
    <w:rsid w:val="20AA4372"/>
    <w:rsid w:val="20E635AC"/>
    <w:rsid w:val="21E53CCE"/>
    <w:rsid w:val="2247169B"/>
    <w:rsid w:val="226678B7"/>
    <w:rsid w:val="22EB62B5"/>
    <w:rsid w:val="233B7381"/>
    <w:rsid w:val="24F51EBE"/>
    <w:rsid w:val="2537060B"/>
    <w:rsid w:val="25A10387"/>
    <w:rsid w:val="25B155FE"/>
    <w:rsid w:val="25C01D37"/>
    <w:rsid w:val="25CC470F"/>
    <w:rsid w:val="28380415"/>
    <w:rsid w:val="283D33AB"/>
    <w:rsid w:val="285D4ED1"/>
    <w:rsid w:val="28C65D86"/>
    <w:rsid w:val="28CF61BB"/>
    <w:rsid w:val="29011CDE"/>
    <w:rsid w:val="29544615"/>
    <w:rsid w:val="29B17E25"/>
    <w:rsid w:val="2AEE069B"/>
    <w:rsid w:val="2B74383A"/>
    <w:rsid w:val="2C117DE6"/>
    <w:rsid w:val="2D4D4BCB"/>
    <w:rsid w:val="2DD043CD"/>
    <w:rsid w:val="2E850453"/>
    <w:rsid w:val="2EBA316F"/>
    <w:rsid w:val="2F1C03A6"/>
    <w:rsid w:val="2FA059F4"/>
    <w:rsid w:val="2FD54A62"/>
    <w:rsid w:val="2FDB66D6"/>
    <w:rsid w:val="301F18D2"/>
    <w:rsid w:val="306F0BDC"/>
    <w:rsid w:val="314C69DB"/>
    <w:rsid w:val="318F2660"/>
    <w:rsid w:val="319015D4"/>
    <w:rsid w:val="32721B07"/>
    <w:rsid w:val="33680414"/>
    <w:rsid w:val="33F06AE6"/>
    <w:rsid w:val="33FA0689"/>
    <w:rsid w:val="3417001E"/>
    <w:rsid w:val="34437A6E"/>
    <w:rsid w:val="346B0135"/>
    <w:rsid w:val="35F828B6"/>
    <w:rsid w:val="36585D19"/>
    <w:rsid w:val="36995677"/>
    <w:rsid w:val="37B20E03"/>
    <w:rsid w:val="37D95947"/>
    <w:rsid w:val="3815575B"/>
    <w:rsid w:val="38AF3A96"/>
    <w:rsid w:val="39227BBC"/>
    <w:rsid w:val="392520E0"/>
    <w:rsid w:val="394A3194"/>
    <w:rsid w:val="397A6436"/>
    <w:rsid w:val="39CA2BF5"/>
    <w:rsid w:val="3A5602D3"/>
    <w:rsid w:val="3ADA0A2B"/>
    <w:rsid w:val="3DA5182D"/>
    <w:rsid w:val="3E3215A2"/>
    <w:rsid w:val="3E7D7D68"/>
    <w:rsid w:val="3F0418F1"/>
    <w:rsid w:val="3F3323D9"/>
    <w:rsid w:val="3F71037D"/>
    <w:rsid w:val="3FCA05E4"/>
    <w:rsid w:val="4030543F"/>
    <w:rsid w:val="41BF3715"/>
    <w:rsid w:val="42142056"/>
    <w:rsid w:val="427F57FB"/>
    <w:rsid w:val="4300794B"/>
    <w:rsid w:val="435175FF"/>
    <w:rsid w:val="436044FA"/>
    <w:rsid w:val="43E85760"/>
    <w:rsid w:val="44074B34"/>
    <w:rsid w:val="45D659F3"/>
    <w:rsid w:val="47D679F3"/>
    <w:rsid w:val="47D95A21"/>
    <w:rsid w:val="49706277"/>
    <w:rsid w:val="4AD06B37"/>
    <w:rsid w:val="4ADF368A"/>
    <w:rsid w:val="4B0C7714"/>
    <w:rsid w:val="4B36655B"/>
    <w:rsid w:val="4B970CB1"/>
    <w:rsid w:val="4BA605BB"/>
    <w:rsid w:val="4BA70E02"/>
    <w:rsid w:val="4CF0177C"/>
    <w:rsid w:val="4E3827BE"/>
    <w:rsid w:val="4F864FA4"/>
    <w:rsid w:val="501A6EEE"/>
    <w:rsid w:val="50297153"/>
    <w:rsid w:val="505C4299"/>
    <w:rsid w:val="507918F7"/>
    <w:rsid w:val="51C45B54"/>
    <w:rsid w:val="52110C1D"/>
    <w:rsid w:val="53264142"/>
    <w:rsid w:val="53ED38A3"/>
    <w:rsid w:val="5416152B"/>
    <w:rsid w:val="54C71267"/>
    <w:rsid w:val="54EC78C0"/>
    <w:rsid w:val="55F513C4"/>
    <w:rsid w:val="562149BC"/>
    <w:rsid w:val="56766D5F"/>
    <w:rsid w:val="56A3103C"/>
    <w:rsid w:val="56BC0C6B"/>
    <w:rsid w:val="56BD0DDE"/>
    <w:rsid w:val="58A93287"/>
    <w:rsid w:val="59965F3D"/>
    <w:rsid w:val="599E08E5"/>
    <w:rsid w:val="59D536D9"/>
    <w:rsid w:val="5A3B3237"/>
    <w:rsid w:val="5ADD1E61"/>
    <w:rsid w:val="5B601A86"/>
    <w:rsid w:val="5C831234"/>
    <w:rsid w:val="5E313DF5"/>
    <w:rsid w:val="5EA7128B"/>
    <w:rsid w:val="639576B0"/>
    <w:rsid w:val="63ED32BF"/>
    <w:rsid w:val="640C233C"/>
    <w:rsid w:val="64DC444C"/>
    <w:rsid w:val="658419E2"/>
    <w:rsid w:val="65DE0262"/>
    <w:rsid w:val="663E3387"/>
    <w:rsid w:val="67803C98"/>
    <w:rsid w:val="679F4BD5"/>
    <w:rsid w:val="67F41E50"/>
    <w:rsid w:val="68DB2095"/>
    <w:rsid w:val="692C2137"/>
    <w:rsid w:val="69B9374B"/>
    <w:rsid w:val="69F22903"/>
    <w:rsid w:val="6A23340C"/>
    <w:rsid w:val="6A2E04E4"/>
    <w:rsid w:val="6AFF6908"/>
    <w:rsid w:val="6B2D17CA"/>
    <w:rsid w:val="6B615CD3"/>
    <w:rsid w:val="6C3E1531"/>
    <w:rsid w:val="6C606C57"/>
    <w:rsid w:val="6C9C62B5"/>
    <w:rsid w:val="6CC27356"/>
    <w:rsid w:val="6CDF020C"/>
    <w:rsid w:val="6CE95254"/>
    <w:rsid w:val="6D1B258C"/>
    <w:rsid w:val="6E577BC3"/>
    <w:rsid w:val="6E6503FF"/>
    <w:rsid w:val="6ED017C6"/>
    <w:rsid w:val="6F85062B"/>
    <w:rsid w:val="6FDB0EBE"/>
    <w:rsid w:val="6FEF2959"/>
    <w:rsid w:val="6FFE070D"/>
    <w:rsid w:val="70206BDD"/>
    <w:rsid w:val="709E2271"/>
    <w:rsid w:val="71386340"/>
    <w:rsid w:val="72676632"/>
    <w:rsid w:val="7349166E"/>
    <w:rsid w:val="739F23DD"/>
    <w:rsid w:val="74A07CEE"/>
    <w:rsid w:val="74CA6C43"/>
    <w:rsid w:val="755B7F50"/>
    <w:rsid w:val="762F29A0"/>
    <w:rsid w:val="76480CDF"/>
    <w:rsid w:val="76D14B1C"/>
    <w:rsid w:val="77143B76"/>
    <w:rsid w:val="78143B47"/>
    <w:rsid w:val="78AF07FF"/>
    <w:rsid w:val="79296352"/>
    <w:rsid w:val="79465E9A"/>
    <w:rsid w:val="7AB47D36"/>
    <w:rsid w:val="7AD43311"/>
    <w:rsid w:val="7B464BD4"/>
    <w:rsid w:val="7B973C9D"/>
    <w:rsid w:val="7C7F4E58"/>
    <w:rsid w:val="7C9359CC"/>
    <w:rsid w:val="7CD622C6"/>
    <w:rsid w:val="7D7C7D61"/>
    <w:rsid w:val="7E05555D"/>
    <w:rsid w:val="7E1E4E88"/>
    <w:rsid w:val="7E6C6B68"/>
    <w:rsid w:val="7EE349FE"/>
    <w:rsid w:val="7F7B1377"/>
    <w:rsid w:val="7F8307EF"/>
    <w:rsid w:val="7FA3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2589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2021-04-27T12:03:00Z</dcterms:created>
  <dc:creator>gdfh-tangmm</dc:creator>
  <cp:lastModifiedBy>gdfh-tangmm</cp:lastModifiedBy>
  <dcterms:modified xsi:type="dcterms:W3CDTF">2022-02-23T07:49:29Z</dcterms:modified>
  <dc:title>1.1 支付API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