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57F" w:rsidRDefault="00FB0D6B">
      <w:pPr>
        <w:spacing w:after="0" w:line="240" w:lineRule="auto"/>
        <w:ind w:left="0" w:rightChars="404" w:right="1131" w:firstLine="0"/>
        <w:jc w:val="center"/>
        <w:rPr>
          <w:sz w:val="20"/>
        </w:rPr>
      </w:pPr>
      <w:r>
        <w:rPr>
          <w:rFonts w:ascii="黑体" w:eastAsia="黑体" w:hAnsi="黑体" w:cs="黑体"/>
        </w:rPr>
        <w:t>202</w:t>
      </w:r>
      <w:r>
        <w:rPr>
          <w:rFonts w:ascii="黑体" w:eastAsia="黑体" w:hAnsi="黑体" w:cs="黑体" w:hint="eastAsia"/>
        </w:rPr>
        <w:t>5</w:t>
      </w:r>
      <w:r>
        <w:rPr>
          <w:rFonts w:ascii="黑体" w:eastAsia="黑体" w:hAnsi="黑体" w:cs="黑体"/>
        </w:rPr>
        <w:t>年本科生转入工科试验班（工程与能源类）工作实施细则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80"/>
        <w:jc w:val="both"/>
        <w:rPr>
          <w:sz w:val="20"/>
        </w:rPr>
      </w:pPr>
      <w:r>
        <w:rPr>
          <w:rFonts w:ascii="黑体" w:eastAsia="黑体" w:hAnsi="黑体" w:cs="黑体"/>
          <w:sz w:val="24"/>
        </w:rPr>
        <w:t xml:space="preserve"> </w:t>
      </w:r>
    </w:p>
    <w:p w:rsidR="00C8457F" w:rsidRDefault="00FB0D6B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一、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制订依据和适用对象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根据《重庆大学全日制普通本科学生转专业管理办法》（重大校发〔</w:t>
      </w:r>
      <w:r>
        <w:rPr>
          <w:sz w:val="20"/>
        </w:rPr>
        <w:t>2021</w:t>
      </w:r>
      <w:r>
        <w:rPr>
          <w:sz w:val="20"/>
        </w:rPr>
        <w:t>〕</w:t>
      </w:r>
      <w:r>
        <w:rPr>
          <w:sz w:val="20"/>
        </w:rPr>
        <w:t>61</w:t>
      </w:r>
      <w:r>
        <w:rPr>
          <w:sz w:val="20"/>
        </w:rPr>
        <w:t>号）制订本细则。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本细则的适用对象是</w:t>
      </w:r>
      <w:r>
        <w:rPr>
          <w:sz w:val="20"/>
        </w:rPr>
        <w:t>202</w:t>
      </w:r>
      <w:r>
        <w:rPr>
          <w:rFonts w:hint="eastAsia"/>
          <w:sz w:val="20"/>
        </w:rPr>
        <w:t>4</w:t>
      </w:r>
      <w:r>
        <w:rPr>
          <w:sz w:val="20"/>
        </w:rPr>
        <w:t>级本科学生，且学生在原专业学习时间已满一个学期。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rFonts w:ascii="黑体" w:eastAsia="黑体" w:hAnsi="黑体" w:cs="黑体"/>
          <w:sz w:val="20"/>
        </w:rPr>
        <w:t>二、</w:t>
      </w:r>
      <w:r>
        <w:rPr>
          <w:sz w:val="20"/>
        </w:rPr>
        <w:t xml:space="preserve"> </w:t>
      </w:r>
      <w:r>
        <w:rPr>
          <w:rFonts w:ascii="黑体" w:eastAsia="黑体" w:hAnsi="黑体" w:cs="黑体"/>
          <w:sz w:val="20"/>
        </w:rPr>
        <w:t>转入计划人数</w:t>
      </w:r>
      <w:r>
        <w:rPr>
          <w:rFonts w:ascii="黑体" w:eastAsia="黑体" w:hAnsi="黑体" w:cs="黑体"/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接收</w:t>
      </w:r>
      <w:r>
        <w:rPr>
          <w:sz w:val="20"/>
        </w:rPr>
        <w:t>202</w:t>
      </w:r>
      <w:r>
        <w:rPr>
          <w:rFonts w:hint="eastAsia"/>
          <w:sz w:val="20"/>
        </w:rPr>
        <w:t>4</w:t>
      </w:r>
      <w:r>
        <w:rPr>
          <w:sz w:val="20"/>
        </w:rPr>
        <w:t>级转入工程与能源类的人数：不超过</w:t>
      </w:r>
      <w:r>
        <w:rPr>
          <w:sz w:val="20"/>
        </w:rPr>
        <w:t>1</w:t>
      </w:r>
      <w:r>
        <w:rPr>
          <w:sz w:val="20"/>
        </w:rPr>
        <w:t>5</w:t>
      </w:r>
      <w:r>
        <w:rPr>
          <w:sz w:val="20"/>
        </w:rPr>
        <w:t>人</w:t>
      </w:r>
      <w:r>
        <w:rPr>
          <w:rFonts w:ascii="黑体" w:eastAsia="黑体" w:hAnsi="黑体" w:cs="黑体"/>
          <w:sz w:val="20"/>
        </w:rPr>
        <w:t>。</w:t>
      </w:r>
      <w:r>
        <w:rPr>
          <w:rFonts w:ascii="黑体" w:eastAsia="黑体" w:hAnsi="黑体" w:cs="黑体"/>
          <w:sz w:val="20"/>
        </w:rPr>
        <w:t xml:space="preserve"> </w:t>
      </w:r>
    </w:p>
    <w:p w:rsidR="00C8457F" w:rsidRDefault="00FB0D6B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三、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转入资格审查要求与标准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申请转入工程与能源类的学生需符合《重庆大学全日制普通本科学生转专业管理办法》（重大校发〔</w:t>
      </w:r>
      <w:r>
        <w:rPr>
          <w:sz w:val="20"/>
        </w:rPr>
        <w:t>2021</w:t>
      </w:r>
      <w:r>
        <w:rPr>
          <w:sz w:val="20"/>
        </w:rPr>
        <w:t>〕</w:t>
      </w:r>
      <w:r>
        <w:rPr>
          <w:sz w:val="20"/>
        </w:rPr>
        <w:t>61</w:t>
      </w:r>
      <w:r>
        <w:rPr>
          <w:sz w:val="20"/>
        </w:rPr>
        <w:t>号）中</w:t>
      </w:r>
      <w:r>
        <w:rPr>
          <w:sz w:val="20"/>
        </w:rPr>
        <w:t>“</w:t>
      </w:r>
      <w:r>
        <w:rPr>
          <w:sz w:val="20"/>
        </w:rPr>
        <w:t>基本条件</w:t>
      </w:r>
      <w:r>
        <w:rPr>
          <w:sz w:val="20"/>
        </w:rPr>
        <w:t>”</w:t>
      </w:r>
      <w:r>
        <w:rPr>
          <w:sz w:val="20"/>
        </w:rPr>
        <w:t>要求，本次申请是学生入校后是第一次转专业申请，且不违反学校</w:t>
      </w:r>
      <w:r>
        <w:rPr>
          <w:sz w:val="20"/>
        </w:rPr>
        <w:t>“</w:t>
      </w:r>
      <w:r>
        <w:rPr>
          <w:sz w:val="20"/>
        </w:rPr>
        <w:t>不允许转专业</w:t>
      </w:r>
      <w:r>
        <w:rPr>
          <w:sz w:val="20"/>
        </w:rPr>
        <w:t>”</w:t>
      </w:r>
      <w:r>
        <w:rPr>
          <w:sz w:val="20"/>
        </w:rPr>
        <w:t>和</w:t>
      </w:r>
      <w:r>
        <w:rPr>
          <w:sz w:val="20"/>
        </w:rPr>
        <w:t>“</w:t>
      </w:r>
      <w:r>
        <w:rPr>
          <w:sz w:val="20"/>
        </w:rPr>
        <w:t>转专业申请受限</w:t>
      </w:r>
      <w:r>
        <w:rPr>
          <w:sz w:val="20"/>
        </w:rPr>
        <w:t>”</w:t>
      </w:r>
      <w:r>
        <w:rPr>
          <w:sz w:val="20"/>
        </w:rPr>
        <w:t>的相关规定。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color w:val="FF0000"/>
          <w:sz w:val="20"/>
        </w:rPr>
      </w:pPr>
      <w:r>
        <w:rPr>
          <w:sz w:val="20"/>
        </w:rPr>
        <w:t>入学后必修课程无补考</w:t>
      </w:r>
      <w:r>
        <w:rPr>
          <w:sz w:val="20"/>
        </w:rPr>
        <w:t>(</w:t>
      </w:r>
      <w:r>
        <w:rPr>
          <w:sz w:val="20"/>
        </w:rPr>
        <w:t>不符合此条不能进入资格审查</w:t>
      </w:r>
      <w:r>
        <w:rPr>
          <w:sz w:val="20"/>
        </w:rPr>
        <w:t>)</w:t>
      </w:r>
      <w:r>
        <w:rPr>
          <w:sz w:val="20"/>
        </w:rPr>
        <w:t>。</w:t>
      </w:r>
      <w:r>
        <w:rPr>
          <w:color w:val="FF0000"/>
          <w:sz w:val="20"/>
        </w:rPr>
        <w:t xml:space="preserve"> </w:t>
      </w:r>
    </w:p>
    <w:p w:rsidR="00C8457F" w:rsidRDefault="00FB0D6B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学生当前平均学分绩点（</w:t>
      </w:r>
      <w:r>
        <w:rPr>
          <w:sz w:val="20"/>
        </w:rPr>
        <w:t>GPA</w:t>
      </w:r>
      <w:r>
        <w:rPr>
          <w:sz w:val="20"/>
        </w:rPr>
        <w:t>）</w:t>
      </w:r>
      <w:r>
        <w:rPr>
          <w:sz w:val="20"/>
        </w:rPr>
        <w:t>3.0</w:t>
      </w:r>
      <w:r>
        <w:rPr>
          <w:sz w:val="20"/>
        </w:rPr>
        <w:t>以上（含</w:t>
      </w:r>
      <w:r>
        <w:rPr>
          <w:sz w:val="20"/>
        </w:rPr>
        <w:t>3.0</w:t>
      </w:r>
      <w:r>
        <w:rPr>
          <w:sz w:val="20"/>
        </w:rPr>
        <w:t>）。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学生应已修读、已通过《高等数学</w:t>
      </w:r>
      <w:r>
        <w:rPr>
          <w:sz w:val="20"/>
        </w:rPr>
        <w:t>II-1</w:t>
      </w:r>
      <w:r>
        <w:rPr>
          <w:sz w:val="20"/>
        </w:rPr>
        <w:t>》（</w:t>
      </w:r>
      <w:r>
        <w:rPr>
          <w:sz w:val="20"/>
        </w:rPr>
        <w:t>5</w:t>
      </w:r>
      <w:r>
        <w:rPr>
          <w:sz w:val="20"/>
        </w:rPr>
        <w:t>学分）课程或相当水平的高等数学课程。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资格审查标准：按第一学期平均学分绩点（</w:t>
      </w:r>
      <w:r>
        <w:rPr>
          <w:sz w:val="20"/>
        </w:rPr>
        <w:t>GPA</w:t>
      </w:r>
      <w:r>
        <w:rPr>
          <w:sz w:val="20"/>
        </w:rPr>
        <w:t>）对申请人排序，按本年度转入计划人数</w:t>
      </w:r>
      <w:r>
        <w:rPr>
          <w:sz w:val="20"/>
        </w:rPr>
        <w:t>20</w:t>
      </w:r>
      <w:r>
        <w:rPr>
          <w:sz w:val="20"/>
        </w:rPr>
        <w:t>0%</w:t>
      </w:r>
      <w:r>
        <w:rPr>
          <w:sz w:val="20"/>
        </w:rPr>
        <w:t>的限额由高到</w:t>
      </w:r>
      <w:proofErr w:type="gramStart"/>
      <w:r>
        <w:rPr>
          <w:sz w:val="20"/>
        </w:rPr>
        <w:t>低确定</w:t>
      </w:r>
      <w:proofErr w:type="gramEnd"/>
      <w:r>
        <w:rPr>
          <w:sz w:val="20"/>
        </w:rPr>
        <w:t>资格审查合格学生名单。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1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身体健康，心理普查结果正常。</w:t>
      </w:r>
      <w:r>
        <w:rPr>
          <w:sz w:val="20"/>
        </w:rPr>
        <w:t xml:space="preserve"> </w:t>
      </w:r>
    </w:p>
    <w:p w:rsidR="00C8457F" w:rsidRDefault="00FB0D6B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四、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转入考核内容与拟录取办法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转入工程与能源类的考核原则是公开、公平、公正，双向选择。学生自主报名申请，流程与时间安排参照学校通知执行。经递交材料、资格审查和面试考核三个阶段，最终确定转入大类的学生名单。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递交材料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rFonts w:hint="eastAsia"/>
          <w:sz w:val="20"/>
        </w:rPr>
        <w:t>依据学校转专业通知的时间点在</w:t>
      </w:r>
      <w:r>
        <w:rPr>
          <w:sz w:val="20"/>
        </w:rPr>
        <w:t>系统里</w:t>
      </w:r>
      <w:r>
        <w:rPr>
          <w:rFonts w:hint="eastAsia"/>
          <w:sz w:val="20"/>
        </w:rPr>
        <w:t>提交</w:t>
      </w:r>
      <w:r>
        <w:rPr>
          <w:sz w:val="20"/>
        </w:rPr>
        <w:t>申请，同时</w:t>
      </w:r>
      <w:r>
        <w:rPr>
          <w:sz w:val="20"/>
        </w:rPr>
        <w:t>将申请纸质材料交到重庆大学</w:t>
      </w:r>
      <w:r>
        <w:rPr>
          <w:sz w:val="20"/>
        </w:rPr>
        <w:t>D</w:t>
      </w:r>
      <w:r>
        <w:rPr>
          <w:sz w:val="20"/>
        </w:rPr>
        <w:t>区新生学业发展办公室处（电话：</w:t>
      </w:r>
      <w:r>
        <w:rPr>
          <w:sz w:val="20"/>
        </w:rPr>
        <w:t>65678400</w:t>
      </w:r>
      <w:r>
        <w:rPr>
          <w:sz w:val="20"/>
        </w:rPr>
        <w:t>）。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资格审查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依据本细则第三条进行资格审查，在重庆大学本科教学信息网公布审查合格的学生名单，未通过资格审查的学生不能参加面试考核。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提供资格审查资料不实者，一经发现，取消复试和</w:t>
      </w:r>
      <w:proofErr w:type="gramStart"/>
      <w:r>
        <w:rPr>
          <w:sz w:val="20"/>
        </w:rPr>
        <w:t>拟录</w:t>
      </w:r>
      <w:proofErr w:type="gramEnd"/>
      <w:r>
        <w:rPr>
          <w:sz w:val="20"/>
        </w:rPr>
        <w:t>资格。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面试考核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面试：由新生学业发展办公室组织工程与能源类相关学院教学负责人</w:t>
      </w:r>
      <w:r>
        <w:rPr>
          <w:rFonts w:hint="eastAsia"/>
          <w:sz w:val="20"/>
        </w:rPr>
        <w:t>，</w:t>
      </w:r>
      <w:r>
        <w:rPr>
          <w:sz w:val="20"/>
        </w:rPr>
        <w:t>对申请转入工程与能源类的学生进行思想素质、学习成绩、学科特长、兴趣爱好、发展潜力等多方面综合考核，并评定成绩。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面试的时间、地点另见网站通知。</w:t>
      </w:r>
      <w:r>
        <w:rPr>
          <w:sz w:val="20"/>
        </w:rPr>
        <w:t xml:space="preserve"> </w:t>
      </w:r>
    </w:p>
    <w:p w:rsidR="00C8457F" w:rsidRDefault="00FB0D6B">
      <w:pPr>
        <w:numPr>
          <w:ilvl w:val="0"/>
          <w:numId w:val="2"/>
        </w:num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proofErr w:type="gramStart"/>
      <w:r>
        <w:rPr>
          <w:sz w:val="20"/>
        </w:rPr>
        <w:t>拟录办法</w:t>
      </w:r>
      <w:proofErr w:type="gramEnd"/>
      <w:r>
        <w:rPr>
          <w:sz w:val="20"/>
        </w:rPr>
        <w:t>最终录取名单按面试成绩排名确定。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面试成绩不及格者，不予录取。</w:t>
      </w:r>
      <w:r>
        <w:rPr>
          <w:sz w:val="20"/>
        </w:rPr>
        <w:t xml:space="preserve"> </w:t>
      </w:r>
    </w:p>
    <w:p w:rsidR="00C8457F" w:rsidRDefault="00FB0D6B">
      <w:pPr>
        <w:pStyle w:val="1"/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>五、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sz w:val="20"/>
        </w:rPr>
        <w:t>其他</w:t>
      </w:r>
      <w:r>
        <w:rPr>
          <w:sz w:val="20"/>
        </w:rPr>
        <w:t xml:space="preserve">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 xml:space="preserve">    </w:t>
      </w:r>
      <w:r>
        <w:rPr>
          <w:sz w:val="20"/>
        </w:rPr>
        <w:t>对上述实施细则有</w:t>
      </w:r>
      <w:r>
        <w:rPr>
          <w:sz w:val="20"/>
        </w:rPr>
        <w:t>疑问者，可及时咨询新生学业发展办公室（</w:t>
      </w:r>
      <w:r>
        <w:rPr>
          <w:sz w:val="20"/>
        </w:rPr>
        <w:t>65678400</w:t>
      </w:r>
      <w:r>
        <w:rPr>
          <w:sz w:val="20"/>
        </w:rPr>
        <w:t>）；未尽事宜由</w:t>
      </w:r>
      <w:r>
        <w:rPr>
          <w:rFonts w:hint="eastAsia"/>
          <w:sz w:val="20"/>
        </w:rPr>
        <w:t>工科试验班（工程能源类）转专业工作小组</w:t>
      </w:r>
      <w:r>
        <w:rPr>
          <w:sz w:val="20"/>
        </w:rPr>
        <w:t>讨论决定。</w:t>
      </w:r>
      <w:r>
        <w:rPr>
          <w:sz w:val="20"/>
        </w:rPr>
        <w:t xml:space="preserve">   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 xml:space="preserve">             </w:t>
      </w:r>
    </w:p>
    <w:p w:rsidR="00C8457F" w:rsidRDefault="00FB0D6B">
      <w:pPr>
        <w:spacing w:after="0" w:line="240" w:lineRule="auto"/>
        <w:ind w:leftChars="50" w:left="140" w:rightChars="404" w:right="1131" w:firstLineChars="2100" w:firstLine="5040"/>
        <w:jc w:val="both"/>
        <w:rPr>
          <w:sz w:val="20"/>
        </w:rPr>
      </w:pPr>
      <w:r>
        <w:rPr>
          <w:rFonts w:ascii="黑体" w:eastAsia="黑体" w:hAnsi="黑体" w:cs="黑体" w:hint="eastAsia"/>
          <w:sz w:val="24"/>
        </w:rPr>
        <w:t>工科试验班（工程能源类）转专业工作小组</w:t>
      </w:r>
    </w:p>
    <w:p w:rsidR="00C8457F" w:rsidRDefault="00FB0D6B">
      <w:pPr>
        <w:spacing w:after="0" w:line="240" w:lineRule="auto"/>
        <w:ind w:leftChars="50" w:left="140" w:rightChars="404" w:right="1131" w:firstLineChars="200" w:firstLine="400"/>
        <w:jc w:val="both"/>
        <w:rPr>
          <w:sz w:val="20"/>
        </w:rPr>
      </w:pPr>
      <w:r>
        <w:rPr>
          <w:sz w:val="20"/>
        </w:rPr>
        <w:t xml:space="preserve">                                                     202</w:t>
      </w:r>
      <w:r>
        <w:rPr>
          <w:rFonts w:hint="eastAsia"/>
          <w:sz w:val="20"/>
        </w:rPr>
        <w:t>4</w:t>
      </w:r>
      <w:r>
        <w:rPr>
          <w:sz w:val="20"/>
        </w:rPr>
        <w:t>年</w:t>
      </w:r>
      <w:r>
        <w:rPr>
          <w:rFonts w:hint="eastAsia"/>
          <w:sz w:val="20"/>
        </w:rPr>
        <w:t>1</w:t>
      </w:r>
      <w:r>
        <w:rPr>
          <w:sz w:val="20"/>
        </w:rPr>
        <w:t>2</w:t>
      </w:r>
      <w:r>
        <w:rPr>
          <w:sz w:val="20"/>
        </w:rPr>
        <w:t>月</w:t>
      </w:r>
      <w:bookmarkStart w:id="0" w:name="_GoBack"/>
      <w:bookmarkEnd w:id="0"/>
    </w:p>
    <w:sectPr w:rsidR="00C8457F">
      <w:pgSz w:w="11906" w:h="16838"/>
      <w:pgMar w:top="1571" w:right="0" w:bottom="1605" w:left="851" w:header="720" w:footer="720" w:gutter="0"/>
      <w:cols w:space="720"/>
      <w:vAlign w:val="both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0D6B" w:rsidRDefault="00FB0D6B">
      <w:pPr>
        <w:spacing w:line="240" w:lineRule="auto"/>
      </w:pPr>
      <w:r>
        <w:separator/>
      </w:r>
    </w:p>
  </w:endnote>
  <w:endnote w:type="continuationSeparator" w:id="0">
    <w:p w:rsidR="00FB0D6B" w:rsidRDefault="00FB0D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0D6B" w:rsidRDefault="00FB0D6B">
      <w:pPr>
        <w:spacing w:after="0"/>
      </w:pPr>
      <w:r>
        <w:separator/>
      </w:r>
    </w:p>
  </w:footnote>
  <w:footnote w:type="continuationSeparator" w:id="0">
    <w:p w:rsidR="00FB0D6B" w:rsidRDefault="00FB0D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tmpl w:val="00000000"/>
    <w:lvl w:ilvl="0">
      <w:start w:val="1"/>
      <w:numFmt w:val="decimal"/>
      <w:lvlText w:val="（%1）"/>
      <w:lvlJc w:val="left"/>
      <w:pPr>
        <w:ind w:left="0"/>
      </w:pPr>
      <w:rPr>
        <w:rFonts w:ascii="宋体" w:eastAsia="宋体" w:hAnsi="宋体" w:cs="宋体"/>
        <w:b w:val="0"/>
        <w:i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4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6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8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0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2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4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6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8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%1、"/>
      <w:lvlJc w:val="left"/>
      <w:pPr>
        <w:ind w:left="982"/>
      </w:pPr>
      <w:rPr>
        <w:rFonts w:ascii="宋体" w:eastAsia="宋体" w:hAnsi="宋体" w:cs="宋体"/>
        <w:b w:val="0"/>
        <w:i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3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5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7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9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1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3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5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79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jMmY1OTg0YzA0OWE3ZDkzYzc1MTE5NDRiOWUzMTQifQ=="/>
  </w:docVars>
  <w:rsids>
    <w:rsidRoot w:val="00C8457F"/>
    <w:rsid w:val="000E711E"/>
    <w:rsid w:val="00C8457F"/>
    <w:rsid w:val="00FB0D6B"/>
    <w:rsid w:val="202750D0"/>
    <w:rsid w:val="269969C0"/>
    <w:rsid w:val="498351BF"/>
    <w:rsid w:val="7A31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6" w:line="259" w:lineRule="auto"/>
      <w:ind w:left="10" w:hanging="10"/>
    </w:pPr>
    <w:rPr>
      <w:rFonts w:ascii="宋体" w:eastAsia="宋体" w:hAnsi="宋体"/>
      <w:color w:val="000000"/>
      <w:kern w:val="2"/>
      <w:sz w:val="28"/>
      <w:szCs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黑体" w:eastAsia="黑体" w:hAnsi="黑体" w:cs="黑体"/>
      <w:color w:val="000000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qFormat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Char"/>
    <w:rsid w:val="000E71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711E"/>
    <w:rPr>
      <w:rFonts w:ascii="宋体" w:eastAsia="宋体" w:hAnsi="宋体"/>
      <w:color w:val="000000"/>
      <w:kern w:val="2"/>
      <w:sz w:val="18"/>
      <w:szCs w:val="18"/>
    </w:rPr>
  </w:style>
  <w:style w:type="paragraph" w:styleId="a4">
    <w:name w:val="footer"/>
    <w:basedOn w:val="a"/>
    <w:link w:val="Char0"/>
    <w:rsid w:val="000E71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E711E"/>
    <w:rPr>
      <w:rFonts w:ascii="宋体" w:eastAsia="宋体" w:hAnsi="宋体"/>
      <w:color w:val="000000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6" w:line="259" w:lineRule="auto"/>
      <w:ind w:left="10" w:hanging="10"/>
    </w:pPr>
    <w:rPr>
      <w:rFonts w:ascii="宋体" w:eastAsia="宋体" w:hAnsi="宋体"/>
      <w:color w:val="000000"/>
      <w:kern w:val="2"/>
      <w:sz w:val="28"/>
      <w:szCs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黑体" w:eastAsia="黑体" w:hAnsi="黑体" w:cs="黑体"/>
      <w:color w:val="000000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qFormat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Char"/>
    <w:rsid w:val="000E71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711E"/>
    <w:rPr>
      <w:rFonts w:ascii="宋体" w:eastAsia="宋体" w:hAnsi="宋体"/>
      <w:color w:val="000000"/>
      <w:kern w:val="2"/>
      <w:sz w:val="18"/>
      <w:szCs w:val="18"/>
    </w:rPr>
  </w:style>
  <w:style w:type="paragraph" w:styleId="a4">
    <w:name w:val="footer"/>
    <w:basedOn w:val="a"/>
    <w:link w:val="Char0"/>
    <w:rsid w:val="000E71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E711E"/>
    <w:rPr>
      <w:rFonts w:ascii="宋体" w:eastAsia="宋体" w:hAnsi="宋体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>china</Company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姜汉祥</cp:lastModifiedBy>
  <cp:revision>3</cp:revision>
  <dcterms:created xsi:type="dcterms:W3CDTF">2023-11-07T02:23:00Z</dcterms:created>
  <dcterms:modified xsi:type="dcterms:W3CDTF">2025-01-14T07:37:00Z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36B30E4108BF4DD4A1AC302C5532F273_13</vt:lpwstr>
  </property>
</Properties>
</file>