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智能桌面魔方 二次元角色状态及菜单向导设计文档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一、二次元角色状态联动设计（与环境数据、用户行为绑定）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角色作为核心视觉交互载体，结合环境数据（AQI、eCO₂、TVOC、温湿度）及用户行为（专注模式、就座检测），呈现不同神态与动作，兼顾状态提示与情感陪伴，不遮挡核心数据，贴合整体UI治愈风。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状态良好（默认常态）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：AQI == 1 且 eCO₂、TVOC、温度、湿度均处于舒适范围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角色表现</w:t>
      </w:r>
      <w:r>
        <w:rPr>
          <w:rFonts w:eastAsia="等线" w:ascii="Arial" w:cs="Arial" w:hAnsi="Arial"/>
          <w:sz w:val="22"/>
        </w:rPr>
        <w:t>：😊 微笑/放松神态（默认静态，可添加轻微呼吸动效）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：传递安心、舒适的环境状态，让用户直观感知环境一切正常，营造治愈氛围。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普通提醒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：AQI &gt;= 2 或单一指标（如温度、湿度）轻微偏离舒适区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角色表现</w:t>
      </w:r>
      <w:r>
        <w:rPr>
          <w:rFonts w:eastAsia="等线" w:ascii="Arial" w:cs="Arial" w:hAnsi="Arial"/>
          <w:sz w:val="22"/>
        </w:rPr>
        <w:t>：😟 担心/思考神态（歪头动作或头顶冒出小问号，动效柔和不突兀）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：温和提示用户关注环境变化，不打断专注状态，如同友好的贴心建议，兼顾实用性与情感化。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严重告警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：AQI &gt;= 4，或 eCO₂、TVOC 等关键空气质量指标严重超标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角色表现</w:t>
      </w:r>
      <w:r>
        <w:rPr>
          <w:rFonts w:eastAsia="等线" w:ascii="Arial" w:cs="Arial" w:hAnsi="Arial"/>
          <w:sz w:val="22"/>
        </w:rPr>
        <w:t>：😨 紧张/催促神态（搭配小闪电或感叹号点缀，可添加轻微抖动动效，增强视觉警示）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：提供强视觉信号，快速提醒用户环境异常，催促用户及时处理（如开窗通风），兼顾警示性与角色辨识度。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专注陪伴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：毫米波雷达检测到用户就座，设备自动进入 FocusMode（专注模式）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角色表现</w:t>
      </w:r>
      <w:r>
        <w:rPr>
          <w:rFonts w:eastAsia="等线" w:ascii="Arial" w:cs="Arial" w:hAnsi="Arial"/>
          <w:sz w:val="22"/>
        </w:rPr>
        <w:t>：💤 安静陪伴神态（趴在桌上或看书的静态/低帧率动效，无多余动态干扰）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：遵循“不打扰是最大的温柔”，减少角色动效，安静陪伴用户专注，不分散注意力，贴合专注模式核心需求。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任务结束（正向反馈）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：用户主动退出专注模式，或空气质量从 AQI &gt;= 4 恢复至正常范围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角色表现</w:t>
      </w:r>
      <w:r>
        <w:rPr>
          <w:rFonts w:eastAsia="等线" w:ascii="Arial" w:cs="Arial" w:hAnsi="Arial"/>
          <w:sz w:val="22"/>
        </w:rPr>
        <w:t>：👍 点赞/庆祝神态（竖起大拇指、撒花等轻动效，氛围活泼）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：提供正向情感反馈，增强用户的成就感与使用粘性，让用户感受到产品的人文关怀。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二、开机初始化动画设计（角色“苏醒”流程）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开机动画以角色“苏醒”为核心，结合项目标识，打造有记忆点的开场，过渡自然，兼顾创意与实用性，时长控制在合理范围，不影响设备启动效率。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屏幕亮起，显示项目Logo（二次元风格）或角色睡觉的静态插画，画面简洁柔和，无多余元素；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角色缓慢“苏醒”：眼睛逐渐睁开，搭配轻微的起身/伸懒腰动效（低帧率，避免卡顿），贴合二次元治愈风格；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苏醒完成后，屏幕出现一行暖心欢迎语，如“嗨，今天想专注点什么？”，字体与角色风格统一，柔和易读；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动画结束（总时长1-2秒），无缝过渡到主功能界面，动画以淡入淡出方式呈现，避免突兀切换。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三、二次元角色菜单向导功能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角色作为菜单“向导”，以轻量化交互方式呼出选项卡，不破坏主界面布局，兼顾实用性与创意性，让菜单操作更具趣味性。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向导定位</w:t>
      </w:r>
      <w:r>
        <w:rPr>
          <w:rFonts w:eastAsia="等线" w:ascii="Arial" w:cs="Arial" w:hAnsi="Arial"/>
          <w:sz w:val="22"/>
        </w:rPr>
        <w:t>：角色固定在屏幕角落（与专注模式、状态提示位置统一，保持视觉一致性），常态下为静态，不干扰操作；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呼出逻辑</w:t>
      </w:r>
      <w:r>
        <w:rPr>
          <w:rFonts w:eastAsia="等线" w:ascii="Arial" w:cs="Arial" w:hAnsi="Arial"/>
          <w:sz w:val="22"/>
        </w:rPr>
        <w:t>：用户点击角色或触发指定操作（如短按设备按键），角色做出“指引”动作（手指指向菜单方向、点头等轻动效），同时弹出菜单选项卡；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菜单关联</w:t>
      </w:r>
      <w:r>
        <w:rPr>
          <w:rFonts w:eastAsia="等线" w:ascii="Arial" w:cs="Arial" w:hAnsi="Arial"/>
          <w:sz w:val="22"/>
        </w:rPr>
        <w:t>：菜单选项卡（含“空气质量”等核心菜单）弹出时，角色保持指引姿态，直至用户选择菜单或关闭选项卡；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设计亮点</w:t>
      </w:r>
      <w:r>
        <w:rPr>
          <w:rFonts w:eastAsia="等线" w:ascii="Arial" w:cs="Arial" w:hAnsi="Arial"/>
          <w:sz w:val="22"/>
        </w:rPr>
        <w:t>：用角色替代传统菜单按钮，增强交互趣味性，同时让角色功能更丰富，既做状态提示、情感陪伴，也做操作向导，提升整体交互体验，答辩时可作为细节亮点展示。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四、设计规范补充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角色形象统一：全程使用同一款Q版二次元角色，神态、动作风格一致，形成项目专属视觉IP；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动效适配性能：所有角色动效均为低帧率、轻量化，适配ESP32屏幕性能，避免卡顿、占用过多资源；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视觉优先级：角色始终作为辅助元素，不遮挡核心数据（如环境指标、专注时长），确保功能性优先；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风格统一：角色设计、动画、文案均贴合“科技专业+二次元治愈”的整体调性，与设备UI风格保持一致。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五、图片资源及对应变量名设计（适配数据池调用）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所有功能场景，设计所需图片资源，严格适配320*240屏幕尺寸，变量名遵循“功能_场景_类型”命名规范，简洁易懂、便于数据池调用，避免重名，所有图片风格统一为二次元治愈风，与角色、界面调性一致，具体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5.1 角色神态类图片（核心交互类）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用途：对应角色不同状态联动，均为透明背景、Q版风格，尺寸统一为60*60（适配角落放置，不遮挡核心数据）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变量名（数据池调用名）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角色状态良好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img_role_normal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Q版角色微笑/放松神态，透明背景，60*60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AQI==1且所有环境指标正常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角色普通提醒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img_role_remind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Q版角色担心/歪头神态（头顶小问号），透明背景，60*60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AQI≥2或单一指标轻微偏离舒适区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角色严重告警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img_role_alert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Q版角色紧张神态（搭配小感叹号），透明背景，60*60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AQI≥4或关键指标严重超标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角色专注陪伴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img_role_focus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Q版角色趴在桌上/看书安静神态，透明背景，60*60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用户就座进入专注模式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角色正向反馈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img_role_celebrate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Q版角色竖大拇指/撒花庆祝神态，透明背景，60*60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退出专注模式、环境指标恢复正常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角色菜单向导指引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img_role_guide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Q版角色手指菜单方向指引神态，透明背景，60*60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用户触发菜单呼出操作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5.2 开机初始化类图片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用途：开机“苏醒”动画序列，适配320*240全屏尺寸，无透明背景，动画帧按顺序命名，便于逐帧调用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变量名（数据池调用名）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开机初始静态图（角色睡眠）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img_boot_sleep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320*240全屏，浅色系背景+角色睡眠静态插画，无多余元素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开机屏幕亮起初始帧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开机苏醒过渡帧1（眼睛半睁）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img_boot_wake1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320*240全屏，角色眼睛半睁，轻微苏醒姿态，背景不变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开机苏醒动画中间过渡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开机苏醒过渡帧2（完全睁眼）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img_boot_wake2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320*240全屏，角色完全睁眼，轻微伸懒腰姿态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开机苏醒动画末尾过渡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开机欢迎语背景图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img_boot_welcome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320*240全屏，浅色系背景+苏醒后角色，预留欢迎语文本位置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苏醒完成后显示欢迎语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项目二次元Logo图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img_boot_logo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320*240全屏，二次元风格Logo+项目名“智能桌面魔方”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开机可选初始帧（替代角色睡眠图）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5.3 背景及界面辅助类图片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用途：屏幕背景、菜单弹窗背景，适配320*240屏幕，风格简约，不遮挡数据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变量名（数据池调用名）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主界面背景图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img_bg_main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320*240全屏，浅米白/淡浅蓝底色，极淡网格纹理，无多余元素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设备主功能界面默认背景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专注模式背景图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img_bg_focus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320*240全屏，比主背景更淡的底色，无纹理，降低视觉干扰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专注模式界面背景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菜单选项卡背景图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img_bg_menu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200*150（适配弹窗尺寸），浅白色背景，轻微圆角边框，二次元简约风格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角色向导呼出的菜单选项卡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专注报告弹窗背景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img_bg_report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280*200（适配弹窗尺寸），浅色系背景，预留角色、数据显示位置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退出专注模式后的报告弹窗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5.4 数据池调用说明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所有变量名均为英文小写，采用“img_功能模块_具体用途”格式，便于数据池统一管理和调用，避免与其他变量冲突；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图片格式统一为PNG（透明背景类）、JPG（全屏背景类），严格适配对应尺寸，避免拉伸、模糊，降低ESP32调用负载；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动画序列图片（开机苏醒帧）按变量名后缀1、2顺序命名，便于数据池按帧顺序调用，实现流畅动画效果；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所有图片资源需与数据池中定义的变量名一一对应，调用时直接通过变量名读取，无需额外路径配置，简化开发流程。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3910">
    <w:lvl>
      <w:numFmt w:val="bullet"/>
      <w:suff w:val="tab"/>
      <w:lvlText w:val="•"/>
      <w:rPr>
        <w:color w:val="3370ff"/>
      </w:rPr>
    </w:lvl>
  </w:abstractNum>
  <w:abstractNum w:abstractNumId="683911">
    <w:lvl>
      <w:numFmt w:val="bullet"/>
      <w:suff w:val="tab"/>
      <w:lvlText w:val="•"/>
      <w:rPr>
        <w:color w:val="3370ff"/>
      </w:rPr>
    </w:lvl>
  </w:abstractNum>
  <w:abstractNum w:abstractNumId="683912">
    <w:lvl>
      <w:numFmt w:val="bullet"/>
      <w:suff w:val="tab"/>
      <w:lvlText w:val="•"/>
      <w:rPr>
        <w:color w:val="3370ff"/>
      </w:rPr>
    </w:lvl>
  </w:abstractNum>
  <w:abstractNum w:abstractNumId="683913">
    <w:lvl>
      <w:numFmt w:val="bullet"/>
      <w:suff w:val="tab"/>
      <w:lvlText w:val="•"/>
      <w:rPr>
        <w:color w:val="3370ff"/>
      </w:rPr>
    </w:lvl>
  </w:abstractNum>
  <w:abstractNum w:abstractNumId="683914">
    <w:lvl>
      <w:numFmt w:val="bullet"/>
      <w:suff w:val="tab"/>
      <w:lvlText w:val="•"/>
      <w:rPr>
        <w:color w:val="3370ff"/>
      </w:rPr>
    </w:lvl>
  </w:abstractNum>
  <w:abstractNum w:abstractNumId="683915">
    <w:lvl>
      <w:numFmt w:val="bullet"/>
      <w:suff w:val="tab"/>
      <w:lvlText w:val="•"/>
      <w:rPr>
        <w:color w:val="3370ff"/>
      </w:rPr>
    </w:lvl>
  </w:abstractNum>
  <w:abstractNum w:abstractNumId="683916">
    <w:lvl>
      <w:numFmt w:val="bullet"/>
      <w:suff w:val="tab"/>
      <w:lvlText w:val="•"/>
      <w:rPr>
        <w:color w:val="3370ff"/>
      </w:rPr>
    </w:lvl>
  </w:abstractNum>
  <w:abstractNum w:abstractNumId="683917">
    <w:lvl>
      <w:numFmt w:val="bullet"/>
      <w:suff w:val="tab"/>
      <w:lvlText w:val="•"/>
      <w:rPr>
        <w:color w:val="3370ff"/>
      </w:rPr>
    </w:lvl>
  </w:abstractNum>
  <w:abstractNum w:abstractNumId="683918">
    <w:lvl>
      <w:numFmt w:val="bullet"/>
      <w:suff w:val="tab"/>
      <w:lvlText w:val="•"/>
      <w:rPr>
        <w:color w:val="3370ff"/>
      </w:rPr>
    </w:lvl>
  </w:abstractNum>
  <w:abstractNum w:abstractNumId="683919">
    <w:lvl>
      <w:numFmt w:val="bullet"/>
      <w:suff w:val="tab"/>
      <w:lvlText w:val="•"/>
      <w:rPr>
        <w:color w:val="3370ff"/>
      </w:rPr>
    </w:lvl>
  </w:abstractNum>
  <w:abstractNum w:abstractNumId="683920">
    <w:lvl>
      <w:numFmt w:val="bullet"/>
      <w:suff w:val="tab"/>
      <w:lvlText w:val="•"/>
      <w:rPr>
        <w:color w:val="3370ff"/>
      </w:rPr>
    </w:lvl>
  </w:abstractNum>
  <w:abstractNum w:abstractNumId="683921">
    <w:lvl>
      <w:numFmt w:val="bullet"/>
      <w:suff w:val="tab"/>
      <w:lvlText w:val="•"/>
      <w:rPr>
        <w:color w:val="3370ff"/>
      </w:rPr>
    </w:lvl>
  </w:abstractNum>
  <w:abstractNum w:abstractNumId="683922">
    <w:lvl>
      <w:numFmt w:val="bullet"/>
      <w:suff w:val="tab"/>
      <w:lvlText w:val="•"/>
      <w:rPr>
        <w:color w:val="3370ff"/>
      </w:rPr>
    </w:lvl>
  </w:abstractNum>
  <w:abstractNum w:abstractNumId="683923">
    <w:lvl>
      <w:numFmt w:val="bullet"/>
      <w:suff w:val="tab"/>
      <w:lvlText w:val="•"/>
      <w:rPr>
        <w:color w:val="3370ff"/>
      </w:rPr>
    </w:lvl>
  </w:abstractNum>
  <w:abstractNum w:abstractNumId="683924">
    <w:lvl>
      <w:numFmt w:val="bullet"/>
      <w:suff w:val="tab"/>
      <w:lvlText w:val="•"/>
      <w:rPr>
        <w:color w:val="3370ff"/>
      </w:rPr>
    </w:lvl>
  </w:abstractNum>
  <w:abstractNum w:abstractNumId="683925">
    <w:lvl>
      <w:start w:val="1"/>
      <w:numFmt w:val="decimal"/>
      <w:suff w:val="tab"/>
      <w:lvlText w:val="%1."/>
      <w:rPr>
        <w:color w:val="3370ff"/>
      </w:rPr>
    </w:lvl>
  </w:abstractNum>
  <w:abstractNum w:abstractNumId="683926">
    <w:lvl>
      <w:start w:val="2"/>
      <w:numFmt w:val="decimal"/>
      <w:suff w:val="tab"/>
      <w:lvlText w:val="%1."/>
      <w:rPr>
        <w:color w:val="3370ff"/>
      </w:rPr>
    </w:lvl>
  </w:abstractNum>
  <w:abstractNum w:abstractNumId="683927">
    <w:lvl>
      <w:start w:val="3"/>
      <w:numFmt w:val="decimal"/>
      <w:suff w:val="tab"/>
      <w:lvlText w:val="%1."/>
      <w:rPr>
        <w:color w:val="3370ff"/>
      </w:rPr>
    </w:lvl>
  </w:abstractNum>
  <w:abstractNum w:abstractNumId="683928">
    <w:lvl>
      <w:start w:val="4"/>
      <w:numFmt w:val="decimal"/>
      <w:suff w:val="tab"/>
      <w:lvlText w:val="%1."/>
      <w:rPr>
        <w:color w:val="3370ff"/>
      </w:rPr>
    </w:lvl>
  </w:abstractNum>
  <w:abstractNum w:abstractNumId="683929">
    <w:lvl>
      <w:numFmt w:val="bullet"/>
      <w:suff w:val="tab"/>
      <w:lvlText w:val="•"/>
      <w:rPr>
        <w:color w:val="3370ff"/>
      </w:rPr>
    </w:lvl>
  </w:abstractNum>
  <w:abstractNum w:abstractNumId="683930">
    <w:lvl>
      <w:numFmt w:val="bullet"/>
      <w:suff w:val="tab"/>
      <w:lvlText w:val="•"/>
      <w:rPr>
        <w:color w:val="3370ff"/>
      </w:rPr>
    </w:lvl>
  </w:abstractNum>
  <w:abstractNum w:abstractNumId="683931">
    <w:lvl>
      <w:numFmt w:val="bullet"/>
      <w:suff w:val="tab"/>
      <w:lvlText w:val="•"/>
      <w:rPr>
        <w:color w:val="3370ff"/>
      </w:rPr>
    </w:lvl>
  </w:abstractNum>
  <w:abstractNum w:abstractNumId="683932">
    <w:lvl>
      <w:numFmt w:val="bullet"/>
      <w:suff w:val="tab"/>
      <w:lvlText w:val="•"/>
      <w:rPr>
        <w:color w:val="3370ff"/>
      </w:rPr>
    </w:lvl>
  </w:abstractNum>
  <w:abstractNum w:abstractNumId="683933">
    <w:lvl>
      <w:numFmt w:val="bullet"/>
      <w:suff w:val="tab"/>
      <w:lvlText w:val="•"/>
      <w:rPr>
        <w:color w:val="3370ff"/>
      </w:rPr>
    </w:lvl>
  </w:abstractNum>
  <w:abstractNum w:abstractNumId="683934">
    <w:lvl>
      <w:numFmt w:val="bullet"/>
      <w:suff w:val="tab"/>
      <w:lvlText w:val="•"/>
      <w:rPr>
        <w:color w:val="3370ff"/>
      </w:rPr>
    </w:lvl>
  </w:abstractNum>
  <w:abstractNum w:abstractNumId="683935">
    <w:lvl>
      <w:numFmt w:val="bullet"/>
      <w:suff w:val="tab"/>
      <w:lvlText w:val="•"/>
      <w:rPr>
        <w:color w:val="3370ff"/>
      </w:rPr>
    </w:lvl>
  </w:abstractNum>
  <w:abstractNum w:abstractNumId="683936">
    <w:lvl>
      <w:numFmt w:val="bullet"/>
      <w:suff w:val="tab"/>
      <w:lvlText w:val="•"/>
      <w:rPr>
        <w:color w:val="3370ff"/>
      </w:rPr>
    </w:lvl>
  </w:abstractNum>
  <w:abstractNum w:abstractNumId="683937">
    <w:lvl>
      <w:numFmt w:val="bullet"/>
      <w:suff w:val="tab"/>
      <w:lvlText w:val="•"/>
      <w:rPr>
        <w:color w:val="3370ff"/>
      </w:rPr>
    </w:lvl>
  </w:abstractNum>
  <w:abstractNum w:abstractNumId="683938">
    <w:lvl>
      <w:numFmt w:val="bullet"/>
      <w:suff w:val="tab"/>
      <w:lvlText w:val="•"/>
      <w:rPr>
        <w:color w:val="3370ff"/>
      </w:rPr>
    </w:lvl>
  </w:abstractNum>
  <w:abstractNum w:abstractNumId="683939">
    <w:lvl>
      <w:numFmt w:val="bullet"/>
      <w:suff w:val="tab"/>
      <w:lvlText w:val="•"/>
      <w:rPr>
        <w:color w:val="3370ff"/>
      </w:rPr>
    </w:lvl>
  </w:abstractNum>
  <w:abstractNum w:abstractNumId="683940">
    <w:lvl>
      <w:numFmt w:val="bullet"/>
      <w:suff w:val="tab"/>
      <w:lvlText w:val="•"/>
      <w:rPr>
        <w:color w:val="3370ff"/>
      </w:rPr>
    </w:lvl>
  </w:abstractNum>
  <w:num w:numId="1">
    <w:abstractNumId w:val="683910"/>
  </w:num>
  <w:num w:numId="2">
    <w:abstractNumId w:val="683911"/>
  </w:num>
  <w:num w:numId="3">
    <w:abstractNumId w:val="683912"/>
  </w:num>
  <w:num w:numId="4">
    <w:abstractNumId w:val="683913"/>
  </w:num>
  <w:num w:numId="5">
    <w:abstractNumId w:val="683914"/>
  </w:num>
  <w:num w:numId="6">
    <w:abstractNumId w:val="683915"/>
  </w:num>
  <w:num w:numId="7">
    <w:abstractNumId w:val="683916"/>
  </w:num>
  <w:num w:numId="8">
    <w:abstractNumId w:val="683917"/>
  </w:num>
  <w:num w:numId="9">
    <w:abstractNumId w:val="683918"/>
  </w:num>
  <w:num w:numId="10">
    <w:abstractNumId w:val="683919"/>
  </w:num>
  <w:num w:numId="11">
    <w:abstractNumId w:val="683920"/>
  </w:num>
  <w:num w:numId="12">
    <w:abstractNumId w:val="683921"/>
  </w:num>
  <w:num w:numId="13">
    <w:abstractNumId w:val="683922"/>
  </w:num>
  <w:num w:numId="14">
    <w:abstractNumId w:val="683923"/>
  </w:num>
  <w:num w:numId="15">
    <w:abstractNumId w:val="683924"/>
  </w:num>
  <w:num w:numId="16">
    <w:abstractNumId w:val="683925"/>
  </w:num>
  <w:num w:numId="17">
    <w:abstractNumId w:val="683926"/>
  </w:num>
  <w:num w:numId="18">
    <w:abstractNumId w:val="683927"/>
  </w:num>
  <w:num w:numId="19">
    <w:abstractNumId w:val="683928"/>
  </w:num>
  <w:num w:numId="20">
    <w:abstractNumId w:val="683929"/>
  </w:num>
  <w:num w:numId="21">
    <w:abstractNumId w:val="683930"/>
  </w:num>
  <w:num w:numId="22">
    <w:abstractNumId w:val="683931"/>
  </w:num>
  <w:num w:numId="23">
    <w:abstractNumId w:val="683932"/>
  </w:num>
  <w:num w:numId="24">
    <w:abstractNumId w:val="683933"/>
  </w:num>
  <w:num w:numId="25">
    <w:abstractNumId w:val="683934"/>
  </w:num>
  <w:num w:numId="26">
    <w:abstractNumId w:val="683935"/>
  </w:num>
  <w:num w:numId="27">
    <w:abstractNumId w:val="683936"/>
  </w:num>
  <w:num w:numId="28">
    <w:abstractNumId w:val="683937"/>
  </w:num>
  <w:num w:numId="29">
    <w:abstractNumId w:val="683938"/>
  </w:num>
  <w:num w:numId="30">
    <w:abstractNumId w:val="683939"/>
  </w:num>
  <w:num w:numId="31">
    <w:abstractNumId w:val="6839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2026-05-03T15:45:54Z</dcterms:created>
  <dc:creator>Apache POI</dc:creator>
</cp:coreProperties>
</file>