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A647F" w14:textId="77777777" w:rsidR="00C82B95" w:rsidRDefault="009F6984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5AA24569" wp14:editId="1E4DB8AB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17E311B" w14:textId="77777777" w:rsidR="00C82B95" w:rsidRDefault="00C82B95">
      <w:pPr>
        <w:jc w:val="center"/>
        <w:rPr>
          <w:sz w:val="52"/>
        </w:rPr>
      </w:pPr>
    </w:p>
    <w:p w14:paraId="512EB1E6" w14:textId="77777777" w:rsidR="00C82B95" w:rsidRDefault="00C82B95">
      <w:pPr>
        <w:jc w:val="center"/>
        <w:rPr>
          <w:sz w:val="52"/>
        </w:rPr>
      </w:pPr>
    </w:p>
    <w:p w14:paraId="076B9D46" w14:textId="77777777" w:rsidR="00C82B95" w:rsidRDefault="00C82B95">
      <w:pPr>
        <w:jc w:val="center"/>
        <w:rPr>
          <w:sz w:val="52"/>
        </w:rPr>
      </w:pPr>
    </w:p>
    <w:p w14:paraId="467D3C4E" w14:textId="77777777" w:rsidR="00C82B95" w:rsidRDefault="009F6984">
      <w:pPr>
        <w:jc w:val="center"/>
        <w:rPr>
          <w:rFonts w:ascii="方正小标宋简体" w:eastAsia="方正小标宋简体"/>
          <w:sz w:val="52"/>
        </w:rPr>
      </w:pPr>
      <w:r>
        <w:rPr>
          <w:rFonts w:ascii="方正小标宋简体" w:eastAsia="方正小标宋简体" w:hint="eastAsia"/>
          <w:sz w:val="52"/>
        </w:rPr>
        <w:t>软件项目管理综合训练</w:t>
      </w:r>
    </w:p>
    <w:p w14:paraId="4D7F46D0" w14:textId="77777777" w:rsidR="00C82B95" w:rsidRDefault="009F6984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项目风险管理计划</w:t>
      </w:r>
    </w:p>
    <w:p w14:paraId="26CC8888" w14:textId="77777777" w:rsidR="00C82B95" w:rsidRDefault="00C82B95">
      <w:pPr>
        <w:jc w:val="right"/>
        <w:rPr>
          <w:szCs w:val="4"/>
        </w:rPr>
      </w:pPr>
    </w:p>
    <w:p w14:paraId="0F9EA3A0" w14:textId="77777777" w:rsidR="00C82B95" w:rsidRDefault="00C82B95">
      <w:pPr>
        <w:jc w:val="right"/>
        <w:rPr>
          <w:szCs w:val="4"/>
        </w:rPr>
      </w:pPr>
    </w:p>
    <w:p w14:paraId="53F7D8E9" w14:textId="77777777" w:rsidR="00C82B95" w:rsidRDefault="00C82B95">
      <w:pPr>
        <w:jc w:val="right"/>
        <w:rPr>
          <w:szCs w:val="4"/>
        </w:rPr>
      </w:pPr>
    </w:p>
    <w:p w14:paraId="66494DCA" w14:textId="77777777" w:rsidR="00C82B95" w:rsidRDefault="00C82B95">
      <w:pPr>
        <w:jc w:val="right"/>
        <w:rPr>
          <w:szCs w:val="4"/>
        </w:rPr>
      </w:pPr>
    </w:p>
    <w:p w14:paraId="253A34D9" w14:textId="77777777" w:rsidR="00C82B95" w:rsidRDefault="00C82B95">
      <w:pPr>
        <w:jc w:val="right"/>
        <w:rPr>
          <w:szCs w:val="4"/>
        </w:rPr>
      </w:pPr>
    </w:p>
    <w:p w14:paraId="450A22FA" w14:textId="77777777" w:rsidR="00AE35CA" w:rsidRDefault="00AE35CA">
      <w:pPr>
        <w:jc w:val="right"/>
        <w:rPr>
          <w:rFonts w:hint="eastAsia"/>
          <w:szCs w:val="4"/>
        </w:rPr>
      </w:pPr>
    </w:p>
    <w:p w14:paraId="30ECA8DD" w14:textId="77777777" w:rsidR="00C82B95" w:rsidRDefault="00C82B95">
      <w:pPr>
        <w:jc w:val="right"/>
        <w:rPr>
          <w:szCs w:val="4"/>
        </w:rPr>
      </w:pPr>
    </w:p>
    <w:p w14:paraId="0216EA2D" w14:textId="77777777" w:rsidR="00C82B95" w:rsidRDefault="00C82B95">
      <w:pPr>
        <w:ind w:right="880"/>
        <w:jc w:val="right"/>
        <w:rPr>
          <w:szCs w:val="4"/>
        </w:rPr>
      </w:pPr>
    </w:p>
    <w:tbl>
      <w:tblPr>
        <w:tblStyle w:val="af"/>
        <w:tblW w:w="4959" w:type="dxa"/>
        <w:tblInd w:w="1836" w:type="dxa"/>
        <w:tblLayout w:type="fixed"/>
        <w:tblLook w:val="04A0" w:firstRow="1" w:lastRow="0" w:firstColumn="1" w:lastColumn="0" w:noHBand="0" w:noVBand="1"/>
      </w:tblPr>
      <w:tblGrid>
        <w:gridCol w:w="1179"/>
        <w:gridCol w:w="3780"/>
      </w:tblGrid>
      <w:tr w:rsidR="00C82B95" w14:paraId="2CC187D2" w14:textId="77777777" w:rsidTr="00AE35CA">
        <w:tc>
          <w:tcPr>
            <w:tcW w:w="1179" w:type="dxa"/>
            <w:vAlign w:val="center"/>
          </w:tcPr>
          <w:p w14:paraId="44226330" w14:textId="77777777" w:rsidR="00C82B95" w:rsidRDefault="009F6984" w:rsidP="00AE35C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76441409" w14:textId="77777777" w:rsidR="00C82B95" w:rsidRDefault="009F6984" w:rsidP="00AE35C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C82B95" w14:paraId="131D2026" w14:textId="77777777" w:rsidTr="00AE35CA">
        <w:tc>
          <w:tcPr>
            <w:tcW w:w="1179" w:type="dxa"/>
            <w:vAlign w:val="center"/>
          </w:tcPr>
          <w:p w14:paraId="17844228" w14:textId="77777777" w:rsidR="00C82B95" w:rsidRDefault="009F6984" w:rsidP="00AE35C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780" w:type="dxa"/>
            <w:vAlign w:val="center"/>
          </w:tcPr>
          <w:p w14:paraId="47EABB38" w14:textId="77777777" w:rsidR="00C82B95" w:rsidRDefault="009F6984" w:rsidP="00AE35C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李朝龙、陈玉琴、丁紫凡、李奕辰、金鑫、邓心怡、傅宋嘉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</w:p>
        </w:tc>
      </w:tr>
    </w:tbl>
    <w:p w14:paraId="5F670C3F" w14:textId="77777777" w:rsidR="00C82B95" w:rsidRDefault="00C82B95"/>
    <w:p w14:paraId="0F4DC0CE" w14:textId="77777777" w:rsidR="00C82B95" w:rsidRDefault="009F6984">
      <w:r>
        <w:rPr>
          <w:rFonts w:hint="eastAsia"/>
        </w:rPr>
        <w:lastRenderedPageBreak/>
        <w:t>版本修改信息</w:t>
      </w:r>
    </w:p>
    <w:tbl>
      <w:tblPr>
        <w:tblStyle w:val="af"/>
        <w:tblW w:w="8721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418"/>
        <w:gridCol w:w="5040"/>
      </w:tblGrid>
      <w:tr w:rsidR="00C82B95" w14:paraId="061EDAB8" w14:textId="77777777">
        <w:tc>
          <w:tcPr>
            <w:tcW w:w="1129" w:type="dxa"/>
            <w:vAlign w:val="center"/>
          </w:tcPr>
          <w:p w14:paraId="34EA523D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版本序号</w:t>
            </w:r>
          </w:p>
        </w:tc>
        <w:tc>
          <w:tcPr>
            <w:tcW w:w="1134" w:type="dxa"/>
            <w:vAlign w:val="center"/>
          </w:tcPr>
          <w:p w14:paraId="1C61B8DE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修改人</w:t>
            </w:r>
          </w:p>
        </w:tc>
        <w:tc>
          <w:tcPr>
            <w:tcW w:w="1418" w:type="dxa"/>
            <w:vAlign w:val="center"/>
          </w:tcPr>
          <w:p w14:paraId="6BFDD3CB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修改时间</w:t>
            </w:r>
          </w:p>
        </w:tc>
        <w:tc>
          <w:tcPr>
            <w:tcW w:w="5040" w:type="dxa"/>
            <w:vAlign w:val="center"/>
          </w:tcPr>
          <w:p w14:paraId="03B306F7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修改内容</w:t>
            </w:r>
          </w:p>
        </w:tc>
      </w:tr>
      <w:tr w:rsidR="00C82B95" w14:paraId="5F627C2B" w14:textId="77777777">
        <w:tc>
          <w:tcPr>
            <w:tcW w:w="1129" w:type="dxa"/>
            <w:vAlign w:val="center"/>
          </w:tcPr>
          <w:p w14:paraId="68B98607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14:paraId="3057BBCC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</w:p>
        </w:tc>
        <w:tc>
          <w:tcPr>
            <w:tcW w:w="1418" w:type="dxa"/>
            <w:vAlign w:val="center"/>
          </w:tcPr>
          <w:p w14:paraId="30CC4140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2019/1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/>
                <w:color w:val="000000"/>
              </w:rPr>
              <w:t>/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6</w:t>
            </w:r>
          </w:p>
        </w:tc>
        <w:tc>
          <w:tcPr>
            <w:tcW w:w="5040" w:type="dxa"/>
            <w:vAlign w:val="center"/>
          </w:tcPr>
          <w:p w14:paraId="26EFFA4F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编写项目风险管理计划</w:t>
            </w:r>
          </w:p>
        </w:tc>
      </w:tr>
      <w:tr w:rsidR="00C82B95" w14:paraId="3D46CF96" w14:textId="77777777">
        <w:tc>
          <w:tcPr>
            <w:tcW w:w="1129" w:type="dxa"/>
            <w:vAlign w:val="center"/>
          </w:tcPr>
          <w:p w14:paraId="604264CC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1.</w:t>
            </w:r>
            <w:r>
              <w:rPr>
                <w:rFonts w:cs="Times New Roman" w:hint="eastAsia"/>
                <w:b/>
                <w:bCs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6E21C484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</w:p>
        </w:tc>
        <w:tc>
          <w:tcPr>
            <w:tcW w:w="1418" w:type="dxa"/>
            <w:vAlign w:val="center"/>
          </w:tcPr>
          <w:p w14:paraId="207CF710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color w:val="000000"/>
              </w:rPr>
              <w:t>2019/1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/>
                <w:color w:val="000000"/>
              </w:rPr>
              <w:t>/</w:t>
            </w:r>
            <w:r>
              <w:rPr>
                <w:rFonts w:cs="Times New Roman" w:hint="eastAsia"/>
                <w:color w:val="000000"/>
              </w:rPr>
              <w:t>17</w:t>
            </w:r>
          </w:p>
        </w:tc>
        <w:tc>
          <w:tcPr>
            <w:tcW w:w="5040" w:type="dxa"/>
            <w:vAlign w:val="center"/>
          </w:tcPr>
          <w:p w14:paraId="751EE512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修改项目风险概率和影响定义</w:t>
            </w:r>
          </w:p>
        </w:tc>
      </w:tr>
      <w:tr w:rsidR="00C82B95" w14:paraId="2A2DB4CF" w14:textId="77777777">
        <w:tc>
          <w:tcPr>
            <w:tcW w:w="1129" w:type="dxa"/>
            <w:vAlign w:val="center"/>
          </w:tcPr>
          <w:p w14:paraId="609684A2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1.</w:t>
            </w:r>
            <w:r>
              <w:rPr>
                <w:rFonts w:cs="Times New Roman" w:hint="eastAsia"/>
                <w:b/>
                <w:bCs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096B1E36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</w:p>
        </w:tc>
        <w:tc>
          <w:tcPr>
            <w:tcW w:w="1418" w:type="dxa"/>
            <w:vAlign w:val="center"/>
          </w:tcPr>
          <w:p w14:paraId="6D72AB8C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2019/1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/>
                <w:color w:val="000000"/>
              </w:rPr>
              <w:t>/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8</w:t>
            </w:r>
          </w:p>
        </w:tc>
        <w:tc>
          <w:tcPr>
            <w:tcW w:w="5040" w:type="dxa"/>
            <w:vAlign w:val="center"/>
          </w:tcPr>
          <w:p w14:paraId="632C00F5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纠正项目风险管理策略</w:t>
            </w:r>
          </w:p>
        </w:tc>
      </w:tr>
      <w:tr w:rsidR="00C82B95" w14:paraId="6A772023" w14:textId="77777777">
        <w:tc>
          <w:tcPr>
            <w:tcW w:w="1129" w:type="dxa"/>
            <w:vAlign w:val="center"/>
          </w:tcPr>
          <w:p w14:paraId="367E4211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1.</w:t>
            </w:r>
            <w:r>
              <w:rPr>
                <w:rFonts w:cs="Times New Roman" w:hint="eastAsia"/>
                <w:b/>
                <w:bCs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24B949FD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李朝龙</w:t>
            </w:r>
            <w:proofErr w:type="gramEnd"/>
          </w:p>
        </w:tc>
        <w:tc>
          <w:tcPr>
            <w:tcW w:w="1418" w:type="dxa"/>
            <w:vAlign w:val="center"/>
          </w:tcPr>
          <w:p w14:paraId="73583125" w14:textId="77777777" w:rsidR="00C82B95" w:rsidRDefault="009F6984" w:rsidP="00AE35CA">
            <w:pPr>
              <w:spacing w:after="0" w:line="28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2019/1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/>
                <w:color w:val="000000"/>
              </w:rPr>
              <w:t>/</w:t>
            </w:r>
            <w:r>
              <w:rPr>
                <w:rFonts w:cs="Times New Roman" w:hint="eastAsia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9</w:t>
            </w:r>
          </w:p>
        </w:tc>
        <w:tc>
          <w:tcPr>
            <w:tcW w:w="5040" w:type="dxa"/>
            <w:vAlign w:val="center"/>
          </w:tcPr>
          <w:p w14:paraId="1962482A" w14:textId="77777777" w:rsidR="00C82B95" w:rsidRDefault="009F6984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核实风险管理计划说明书</w:t>
            </w:r>
          </w:p>
        </w:tc>
      </w:tr>
      <w:tr w:rsidR="00C82B95" w14:paraId="09044B2E" w14:textId="77777777">
        <w:tc>
          <w:tcPr>
            <w:tcW w:w="1129" w:type="dxa"/>
            <w:vAlign w:val="center"/>
          </w:tcPr>
          <w:p w14:paraId="7718D759" w14:textId="77777777" w:rsidR="00C82B95" w:rsidRDefault="00C82B95" w:rsidP="00AE35CA">
            <w:pPr>
              <w:spacing w:after="0" w:line="288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F0A5C1C" w14:textId="77777777" w:rsidR="00C82B95" w:rsidRDefault="00C82B95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1B7C4B82" w14:textId="77777777" w:rsidR="00C82B95" w:rsidRDefault="00C82B95" w:rsidP="00AE35CA">
            <w:pPr>
              <w:spacing w:after="0" w:line="288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0A696996" w14:textId="77777777" w:rsidR="00C82B95" w:rsidRDefault="00C82B95" w:rsidP="00AE35CA">
            <w:pPr>
              <w:spacing w:after="0" w:line="288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</w:tr>
    </w:tbl>
    <w:p w14:paraId="04C4D338" w14:textId="77777777" w:rsidR="00C82B95" w:rsidRDefault="00C82B95">
      <w:pPr>
        <w:pStyle w:val="ad"/>
      </w:pPr>
    </w:p>
    <w:p w14:paraId="0DE7C4F8" w14:textId="77777777" w:rsidR="00C82B95" w:rsidRDefault="00C82B95">
      <w:pPr>
        <w:pStyle w:val="ad"/>
      </w:pPr>
    </w:p>
    <w:p w14:paraId="0F7C055C" w14:textId="77777777" w:rsidR="00C82B95" w:rsidRDefault="00C82B95">
      <w:pPr>
        <w:pStyle w:val="ad"/>
      </w:pPr>
    </w:p>
    <w:p w14:paraId="23E654CB" w14:textId="77777777" w:rsidR="00C82B95" w:rsidRDefault="00C82B95">
      <w:pPr>
        <w:pStyle w:val="ad"/>
      </w:pPr>
    </w:p>
    <w:p w14:paraId="564FB654" w14:textId="77777777" w:rsidR="00C82B95" w:rsidRDefault="00C82B95"/>
    <w:p w14:paraId="4B129267" w14:textId="77777777" w:rsidR="00C82B95" w:rsidRDefault="00C82B95"/>
    <w:p w14:paraId="228743C0" w14:textId="77777777" w:rsidR="00C82B95" w:rsidRDefault="00C82B95"/>
    <w:p w14:paraId="3A3ED76B" w14:textId="77777777" w:rsidR="00C82B95" w:rsidRDefault="00C82B95"/>
    <w:p w14:paraId="17DB0654" w14:textId="77777777" w:rsidR="00C82B95" w:rsidRDefault="00C82B95"/>
    <w:p w14:paraId="488E91EB" w14:textId="77777777" w:rsidR="00C82B95" w:rsidRDefault="00C82B95"/>
    <w:p w14:paraId="2080B033" w14:textId="77777777" w:rsidR="00C82B95" w:rsidRDefault="00C82B95"/>
    <w:p w14:paraId="03F4677A" w14:textId="77777777" w:rsidR="00C82B95" w:rsidRDefault="00C82B95"/>
    <w:p w14:paraId="523269B8" w14:textId="77777777" w:rsidR="00C82B95" w:rsidRDefault="00C82B95"/>
    <w:p w14:paraId="730E8CBC" w14:textId="77777777" w:rsidR="00AE35CA" w:rsidRDefault="00AE35CA">
      <w:pPr>
        <w:spacing w:after="0" w:line="240" w:lineRule="auto"/>
      </w:pPr>
      <w:r>
        <w:br w:type="page"/>
      </w:r>
    </w:p>
    <w:bookmarkStart w:id="0" w:name="_Toc25057269" w:displacedByCustomXml="next"/>
    <w:sdt>
      <w:sdtPr>
        <w:rPr>
          <w:rFonts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478655907"/>
        <w:docPartObj>
          <w:docPartGallery w:val="Table of Contents"/>
          <w:docPartUnique/>
        </w:docPartObj>
      </w:sdtPr>
      <w:sdtEndPr/>
      <w:sdtContent>
        <w:p w14:paraId="103A00C9" w14:textId="77777777" w:rsidR="00C82B95" w:rsidRDefault="009F6984">
          <w:pPr>
            <w:pStyle w:val="TOC10"/>
          </w:pPr>
          <w:r>
            <w:rPr>
              <w:lang w:val="zh-CN"/>
            </w:rPr>
            <w:t>目录</w:t>
          </w:r>
          <w:bookmarkEnd w:id="0"/>
        </w:p>
        <w:p w14:paraId="1C3CD57F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7269" w:history="1">
            <w:r>
              <w:rPr>
                <w:rStyle w:val="af2"/>
              </w:rPr>
              <w:t>1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  <w:lang w:val="zh-CN"/>
              </w:rPr>
              <w:t>目录</w:t>
            </w:r>
            <w:r>
              <w:tab/>
            </w:r>
            <w:r>
              <w:rPr>
                <w:rFonts w:hint="eastAsia"/>
              </w:rPr>
              <w:t>3</w:t>
            </w:r>
          </w:hyperlink>
        </w:p>
        <w:p w14:paraId="64D71EA2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0" w:history="1">
            <w:r>
              <w:rPr>
                <w:rStyle w:val="af2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概述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2BBF2137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1" w:history="1">
            <w:r>
              <w:rPr>
                <w:rStyle w:val="af2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风险识别方法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5E6A1831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2" w:history="1">
            <w:r>
              <w:rPr>
                <w:rStyle w:val="af2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风险管理团队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272EE825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3" w:history="1">
            <w:r>
              <w:rPr>
                <w:rStyle w:val="af2"/>
              </w:rPr>
              <w:t>5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项目定义风险管理表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4D8C8CD6" w14:textId="77777777" w:rsidR="00C82B95" w:rsidRDefault="009F698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4" w:history="1">
            <w:r>
              <w:rPr>
                <w:rStyle w:val="af2"/>
              </w:rPr>
              <w:t>5.1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项目风险类别定义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2403CCD4" w14:textId="77777777" w:rsidR="00C82B95" w:rsidRDefault="009F698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5" w:history="1">
            <w:r>
              <w:rPr>
                <w:rStyle w:val="af2"/>
              </w:rPr>
              <w:t>5.2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项目风险概率和影响定义</w:t>
            </w:r>
            <w:r>
              <w:tab/>
            </w:r>
            <w:r>
              <w:rPr>
                <w:rFonts w:hint="eastAsia"/>
              </w:rPr>
              <w:t>5</w:t>
            </w:r>
          </w:hyperlink>
        </w:p>
        <w:p w14:paraId="40D5A7C0" w14:textId="77777777" w:rsidR="00C82B95" w:rsidRDefault="009F698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6" w:history="1">
            <w:r>
              <w:rPr>
                <w:rStyle w:val="af2"/>
              </w:rPr>
              <w:t>5.3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项目风险状态定义</w:t>
            </w:r>
            <w:r>
              <w:tab/>
            </w:r>
            <w:r>
              <w:rPr>
                <w:rFonts w:hint="eastAsia"/>
              </w:rPr>
              <w:t>6</w:t>
            </w:r>
          </w:hyperlink>
        </w:p>
        <w:p w14:paraId="5F913635" w14:textId="77777777" w:rsidR="00C82B95" w:rsidRDefault="009F698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7" w:history="1">
            <w:r>
              <w:rPr>
                <w:rStyle w:val="af2"/>
              </w:rPr>
              <w:t>5.4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风险综合影响分类</w:t>
            </w:r>
            <w:r>
              <w:tab/>
            </w:r>
            <w:r>
              <w:rPr>
                <w:rFonts w:hint="eastAsia"/>
              </w:rPr>
              <w:t>6</w:t>
            </w:r>
          </w:hyperlink>
        </w:p>
        <w:p w14:paraId="60D977B4" w14:textId="77777777" w:rsidR="00C82B95" w:rsidRDefault="009F698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8" w:history="1">
            <w:r>
              <w:rPr>
                <w:rStyle w:val="af2"/>
              </w:rPr>
              <w:t>5.5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风险管理表</w:t>
            </w:r>
            <w:r>
              <w:tab/>
            </w:r>
            <w:r>
              <w:rPr>
                <w:rFonts w:hint="eastAsia"/>
              </w:rPr>
              <w:t>6</w:t>
            </w:r>
          </w:hyperlink>
        </w:p>
        <w:p w14:paraId="11D2162D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79" w:history="1">
            <w:r>
              <w:rPr>
                <w:rStyle w:val="af2"/>
              </w:rPr>
              <w:t>6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项目风险管理策略</w:t>
            </w:r>
            <w:r>
              <w:tab/>
            </w:r>
            <w:r>
              <w:rPr>
                <w:rFonts w:hint="eastAsia"/>
              </w:rPr>
              <w:t>7</w:t>
            </w:r>
          </w:hyperlink>
        </w:p>
        <w:p w14:paraId="43A97166" w14:textId="77777777" w:rsidR="00C82B95" w:rsidRDefault="009F698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25057280" w:history="1">
            <w:r>
              <w:rPr>
                <w:rStyle w:val="af2"/>
              </w:rPr>
              <w:t>7</w:t>
            </w:r>
            <w:r>
              <w:rPr>
                <w:rFonts w:asciiTheme="minorHAnsi" w:eastAsiaTheme="minorEastAsia" w:hAnsiTheme="minorHAnsi"/>
                <w:kern w:val="2"/>
                <w:sz w:val="21"/>
              </w:rPr>
              <w:tab/>
            </w:r>
            <w:r>
              <w:rPr>
                <w:rStyle w:val="af2"/>
              </w:rPr>
              <w:t>项目风险管理进度安排</w:t>
            </w:r>
            <w:r>
              <w:tab/>
            </w:r>
            <w:r>
              <w:rPr>
                <w:rFonts w:hint="eastAsia"/>
              </w:rPr>
              <w:t>7</w:t>
            </w:r>
          </w:hyperlink>
        </w:p>
        <w:p w14:paraId="5670209B" w14:textId="77777777" w:rsidR="00C82B95" w:rsidRDefault="009F6984">
          <w:r>
            <w:rPr>
              <w:b/>
              <w:bCs/>
              <w:lang w:val="zh-CN"/>
            </w:rPr>
            <w:fldChar w:fldCharType="end"/>
          </w:r>
        </w:p>
      </w:sdtContent>
    </w:sdt>
    <w:p w14:paraId="269FD03F" w14:textId="77777777" w:rsidR="00C82B95" w:rsidRDefault="00C82B95">
      <w:pPr>
        <w:pStyle w:val="ad"/>
      </w:pPr>
    </w:p>
    <w:p w14:paraId="5C04D6FA" w14:textId="77777777" w:rsidR="00C82B95" w:rsidRDefault="00C82B95"/>
    <w:p w14:paraId="40B829B5" w14:textId="77777777" w:rsidR="00AE35CA" w:rsidRDefault="00AE35CA">
      <w:pPr>
        <w:spacing w:after="0" w:line="240" w:lineRule="auto"/>
      </w:pPr>
      <w:r>
        <w:br w:type="page"/>
      </w:r>
    </w:p>
    <w:p w14:paraId="7424EC60" w14:textId="77777777" w:rsidR="00C82B95" w:rsidRDefault="009F6984">
      <w:pPr>
        <w:pStyle w:val="1"/>
      </w:pPr>
      <w:r>
        <w:rPr>
          <w:rFonts w:hint="eastAsia"/>
        </w:rPr>
        <w:lastRenderedPageBreak/>
        <w:t>概述</w:t>
      </w:r>
    </w:p>
    <w:p w14:paraId="478D2718" w14:textId="77777777" w:rsidR="00C82B95" w:rsidRDefault="009F6984">
      <w:pPr>
        <w:ind w:firstLine="420"/>
      </w:pPr>
      <w:r>
        <w:rPr>
          <w:rFonts w:hint="eastAsia"/>
        </w:rPr>
        <w:t>项目风险管理目的在于识别、分析、响应本项目生命周期内的风险，并且最好地满足项目目标。风险包括可能对项目目标产生负面或者正面影响的不确定性，通过风险管理，我们能够可靠，做到避免、减少、改变或者接受消极风险的潜在影响，并抓住、放大那些积极风险所带给我们的潜在利益。</w:t>
      </w:r>
    </w:p>
    <w:p w14:paraId="0D21A641" w14:textId="77777777" w:rsidR="00C82B95" w:rsidRDefault="009F6984">
      <w:pPr>
        <w:pStyle w:val="1"/>
      </w:pPr>
      <w:bookmarkStart w:id="1" w:name="_Toc25057271"/>
      <w:r>
        <w:rPr>
          <w:rFonts w:hint="eastAsia"/>
        </w:rPr>
        <w:t>风险识别方法</w:t>
      </w:r>
      <w:bookmarkEnd w:id="1"/>
    </w:p>
    <w:p w14:paraId="5EF3B99E" w14:textId="77777777" w:rsidR="00C82B95" w:rsidRDefault="009F6984">
      <w:pPr>
        <w:pStyle w:val="af3"/>
        <w:numPr>
          <w:ilvl w:val="0"/>
          <w:numId w:val="2"/>
        </w:numPr>
        <w:ind w:firstLineChars="0"/>
      </w:pPr>
      <w:bookmarkStart w:id="2" w:name="_Toc188332041"/>
      <w:r>
        <w:t>访谈、调查</w:t>
      </w:r>
      <w:bookmarkEnd w:id="2"/>
    </w:p>
    <w:p w14:paraId="4724D078" w14:textId="77777777" w:rsidR="00C82B95" w:rsidRDefault="009F6984">
      <w:pPr>
        <w:pStyle w:val="af3"/>
        <w:numPr>
          <w:ilvl w:val="0"/>
          <w:numId w:val="2"/>
        </w:numPr>
        <w:ind w:firstLineChars="0"/>
      </w:pPr>
      <w:bookmarkStart w:id="3" w:name="_Toc188332042"/>
      <w:r>
        <w:t>头脑风暴</w:t>
      </w:r>
      <w:bookmarkEnd w:id="3"/>
    </w:p>
    <w:p w14:paraId="6A5E5EE9" w14:textId="77777777" w:rsidR="00C82B95" w:rsidRDefault="009F6984">
      <w:pPr>
        <w:pStyle w:val="af3"/>
        <w:numPr>
          <w:ilvl w:val="0"/>
          <w:numId w:val="2"/>
        </w:numPr>
        <w:ind w:firstLineChars="0"/>
      </w:pPr>
      <w:bookmarkStart w:id="4" w:name="_Toc188332043"/>
      <w:r>
        <w:t>专题讨论会</w:t>
      </w:r>
      <w:bookmarkEnd w:id="4"/>
    </w:p>
    <w:p w14:paraId="416C103F" w14:textId="77777777" w:rsidR="00C82B95" w:rsidRDefault="009F6984">
      <w:pPr>
        <w:pStyle w:val="af3"/>
        <w:numPr>
          <w:ilvl w:val="0"/>
          <w:numId w:val="2"/>
        </w:numPr>
        <w:ind w:firstLineChars="0"/>
      </w:pPr>
      <w:bookmarkStart w:id="5" w:name="_Toc188332045"/>
      <w:r>
        <w:t>专家建议法</w:t>
      </w:r>
      <w:bookmarkEnd w:id="5"/>
    </w:p>
    <w:p w14:paraId="69B82789" w14:textId="77777777" w:rsidR="00C82B95" w:rsidRDefault="009F6984">
      <w:pPr>
        <w:pStyle w:val="1"/>
      </w:pPr>
      <w:bookmarkStart w:id="6" w:name="_Toc25057272"/>
      <w:r>
        <w:rPr>
          <w:rFonts w:hint="eastAsia"/>
        </w:rPr>
        <w:t>风险管理团队</w:t>
      </w:r>
      <w:bookmarkEnd w:id="6"/>
    </w:p>
    <w:p w14:paraId="58D1AD20" w14:textId="77777777" w:rsidR="00C82B95" w:rsidRDefault="009F6984">
      <w:r>
        <w:rPr>
          <w:rFonts w:hint="eastAsia"/>
        </w:rPr>
        <w:t>负责人：田丰瑞</w:t>
      </w:r>
    </w:p>
    <w:p w14:paraId="7EEB9636" w14:textId="77777777" w:rsidR="00C82B95" w:rsidRDefault="009F6984">
      <w:r>
        <w:rPr>
          <w:rFonts w:hint="eastAsia"/>
        </w:rPr>
        <w:t>团队成员：</w:t>
      </w:r>
      <w:r>
        <w:rPr>
          <w:rFonts w:ascii="宋体" w:hAnsi="宋体" w:cs="宋体" w:hint="eastAsia"/>
          <w:color w:val="000000"/>
        </w:rPr>
        <w:t>李朝龙、陈玉琴、丁紫凡、李奕辰、金鑫、邓心怡、傅宋嘉</w:t>
      </w:r>
      <w:proofErr w:type="gramStart"/>
      <w:r>
        <w:rPr>
          <w:rFonts w:ascii="宋体" w:hAnsi="宋体" w:cs="宋体" w:hint="eastAsia"/>
          <w:color w:val="000000"/>
        </w:rPr>
        <w:t>岷</w:t>
      </w:r>
      <w:proofErr w:type="gramEnd"/>
    </w:p>
    <w:p w14:paraId="2EEEA3E8" w14:textId="77777777" w:rsidR="00C82B95" w:rsidRDefault="009F6984">
      <w:pPr>
        <w:pStyle w:val="1"/>
      </w:pPr>
      <w:bookmarkStart w:id="7" w:name="_Toc25057273"/>
      <w:r>
        <w:rPr>
          <w:rFonts w:hint="eastAsia"/>
        </w:rPr>
        <w:t>项目定义风险管理表</w:t>
      </w:r>
      <w:bookmarkEnd w:id="7"/>
    </w:p>
    <w:p w14:paraId="1412D2BA" w14:textId="77777777" w:rsidR="00C82B95" w:rsidRDefault="009F6984">
      <w:pPr>
        <w:pStyle w:val="2"/>
      </w:pPr>
      <w:bookmarkStart w:id="8" w:name="_Toc25057274"/>
      <w:r>
        <w:rPr>
          <w:rFonts w:hint="eastAsia"/>
        </w:rPr>
        <w:t>项目风险类别定义</w:t>
      </w:r>
      <w:bookmarkEnd w:id="8"/>
    </w:p>
    <w:p w14:paraId="312ADC13" w14:textId="77777777" w:rsidR="00C82B95" w:rsidRDefault="009F6984">
      <w:r>
        <w:rPr>
          <w:rFonts w:hint="eastAsia"/>
        </w:rPr>
        <w:t>表中列出了一些当前项目团队经过头脑风暴以及专题研讨会识别</w:t>
      </w:r>
      <w:r>
        <w:rPr>
          <w:rFonts w:hint="eastAsia"/>
        </w:rPr>
        <w:t>出的可能风险。</w:t>
      </w:r>
    </w:p>
    <w:tbl>
      <w:tblPr>
        <w:tblW w:w="8310" w:type="dxa"/>
        <w:jc w:val="center"/>
        <w:tblCellSpacing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6858"/>
      </w:tblGrid>
      <w:tr w:rsidR="00C82B95" w14:paraId="5EB8DA32" w14:textId="77777777">
        <w:trPr>
          <w:trHeight w:val="375"/>
          <w:tblCellSpacing w:w="0" w:type="dxa"/>
          <w:jc w:val="center"/>
        </w:trPr>
        <w:tc>
          <w:tcPr>
            <w:tcW w:w="1452" w:type="dxa"/>
            <w:shd w:val="clear" w:color="auto" w:fill="FFFF99"/>
            <w:vAlign w:val="center"/>
          </w:tcPr>
          <w:p w14:paraId="544988B6" w14:textId="77777777" w:rsidR="00C82B95" w:rsidRDefault="009F6984">
            <w:pPr>
              <w:pStyle w:val="a3"/>
              <w:ind w:firstLine="0"/>
              <w:jc w:val="center"/>
            </w:pPr>
            <w:r>
              <w:rPr>
                <w:rFonts w:hint="eastAsia"/>
                <w:b/>
                <w:bCs/>
              </w:rPr>
              <w:t>风险类别</w:t>
            </w:r>
          </w:p>
        </w:tc>
        <w:tc>
          <w:tcPr>
            <w:tcW w:w="6858" w:type="dxa"/>
            <w:shd w:val="clear" w:color="auto" w:fill="FFFF99"/>
            <w:vAlign w:val="center"/>
          </w:tcPr>
          <w:p w14:paraId="240E96B8" w14:textId="77777777" w:rsidR="00C82B95" w:rsidRDefault="009F6984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82B95" w14:paraId="73CA9C7B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</w:tcPr>
          <w:p w14:paraId="7497A9B2" w14:textId="77777777" w:rsidR="00C82B95" w:rsidRDefault="009F69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服务器崩溃</w:t>
            </w:r>
          </w:p>
        </w:tc>
        <w:tc>
          <w:tcPr>
            <w:tcW w:w="6858" w:type="dxa"/>
          </w:tcPr>
          <w:p w14:paraId="79560354" w14:textId="77777777" w:rsidR="00C82B95" w:rsidRDefault="009F6984">
            <w:r>
              <w:rPr>
                <w:rFonts w:hint="eastAsia"/>
              </w:rPr>
              <w:t>大量用户同时访问页面并且注册登录，可能会导致服务器因数据传输量过大而崩溃。</w:t>
            </w:r>
          </w:p>
        </w:tc>
      </w:tr>
      <w:tr w:rsidR="00C82B95" w14:paraId="373B9B52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3EE21B56" w14:textId="77777777" w:rsidR="00C82B95" w:rsidRDefault="009F6984">
            <w:pPr>
              <w:pStyle w:val="a3"/>
              <w:ind w:firstLine="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>黑客攻击</w:t>
            </w:r>
          </w:p>
        </w:tc>
        <w:tc>
          <w:tcPr>
            <w:tcW w:w="6858" w:type="dxa"/>
          </w:tcPr>
          <w:p w14:paraId="033F8771" w14:textId="77777777" w:rsidR="00C82B95" w:rsidRDefault="009F6984">
            <w:r>
              <w:rPr>
                <w:rFonts w:hint="eastAsia"/>
              </w:rPr>
              <w:t>由于参会代表以及志愿者报名表中含有个人信息，可能会引起网络黑客攻击服务器并窃取贩卖这些信息。</w:t>
            </w:r>
          </w:p>
        </w:tc>
      </w:tr>
      <w:tr w:rsidR="00C82B95" w14:paraId="46306E43" w14:textId="77777777">
        <w:trPr>
          <w:trHeight w:val="33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04C26526" w14:textId="77777777" w:rsidR="00C82B95" w:rsidRDefault="009F6984">
            <w:pPr>
              <w:pStyle w:val="a3"/>
              <w:ind w:firstLine="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>交互界面不友好</w:t>
            </w:r>
          </w:p>
        </w:tc>
        <w:tc>
          <w:tcPr>
            <w:tcW w:w="6858" w:type="dxa"/>
            <w:vAlign w:val="center"/>
          </w:tcPr>
          <w:p w14:paraId="30AF0A71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</w:rPr>
              <w:t>参会代表或志愿者报名界面过于繁琐或不清晰造成用户体验不佳。</w:t>
            </w:r>
          </w:p>
        </w:tc>
      </w:tr>
      <w:tr w:rsidR="00C82B95" w14:paraId="66F78B2D" w14:textId="77777777">
        <w:trPr>
          <w:trHeight w:val="555"/>
          <w:tblCellSpacing w:w="0" w:type="dxa"/>
          <w:jc w:val="center"/>
        </w:trPr>
        <w:tc>
          <w:tcPr>
            <w:tcW w:w="1452" w:type="dxa"/>
            <w:shd w:val="clear" w:color="auto" w:fill="FFCC99"/>
          </w:tcPr>
          <w:p w14:paraId="4B02D8AE" w14:textId="77777777" w:rsidR="00C82B95" w:rsidRDefault="009F69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数据传输延迟或丢包</w:t>
            </w:r>
          </w:p>
        </w:tc>
        <w:tc>
          <w:tcPr>
            <w:tcW w:w="6858" w:type="dxa"/>
            <w:vAlign w:val="center"/>
          </w:tcPr>
          <w:p w14:paraId="473F6AF8" w14:textId="77777777" w:rsidR="00C82B95" w:rsidRDefault="009F6984">
            <w:pPr>
              <w:pStyle w:val="a3"/>
              <w:ind w:firstLine="0"/>
              <w:rPr>
                <w:color w:val="0000FF"/>
              </w:rPr>
            </w:pPr>
            <w:r>
              <w:rPr>
                <w:rFonts w:hint="eastAsia"/>
              </w:rPr>
              <w:t>由于网络传输通道不稳定，用户反映页面加载速度慢或者报名信息不能及时传到后台甚至丢失。</w:t>
            </w:r>
          </w:p>
        </w:tc>
      </w:tr>
      <w:tr w:rsidR="00C82B95" w14:paraId="38807F76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41A32A72" w14:textId="77777777" w:rsidR="00C82B95" w:rsidRDefault="009F6984">
            <w:pPr>
              <w:pStyle w:val="a3"/>
              <w:ind w:firstLine="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>技术人员离开团队</w:t>
            </w:r>
          </w:p>
        </w:tc>
        <w:tc>
          <w:tcPr>
            <w:tcW w:w="6858" w:type="dxa"/>
            <w:vAlign w:val="center"/>
          </w:tcPr>
          <w:p w14:paraId="2BA01CE0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</w:rPr>
              <w:t>某个技术人员因为某些原因而离开项目团队，造成项目延期和受损。</w:t>
            </w:r>
          </w:p>
        </w:tc>
      </w:tr>
      <w:tr w:rsidR="00C82B95" w14:paraId="07A8D767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34A6B3A6" w14:textId="77777777" w:rsidR="00C82B95" w:rsidRDefault="009F6984">
            <w:pPr>
              <w:pStyle w:val="a3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合同条款模糊</w:t>
            </w:r>
          </w:p>
        </w:tc>
        <w:tc>
          <w:tcPr>
            <w:tcW w:w="6858" w:type="dxa"/>
            <w:vAlign w:val="center"/>
          </w:tcPr>
          <w:p w14:paraId="7A46C2B7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</w:rPr>
              <w:t>在与甲方签订合同时条款描述不清，容易造成双方相互推卸责任、影响关系，造成项目不通过。</w:t>
            </w:r>
          </w:p>
        </w:tc>
      </w:tr>
      <w:tr w:rsidR="00C82B95" w14:paraId="1465F5B2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735C33B3" w14:textId="77777777" w:rsidR="00C82B95" w:rsidRDefault="009F6984">
            <w:pPr>
              <w:pStyle w:val="a3"/>
              <w:ind w:firstLine="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>甲方增加需求</w:t>
            </w:r>
          </w:p>
        </w:tc>
        <w:tc>
          <w:tcPr>
            <w:tcW w:w="6858" w:type="dxa"/>
            <w:vAlign w:val="center"/>
          </w:tcPr>
          <w:p w14:paraId="33385D74" w14:textId="77777777" w:rsidR="00C82B95" w:rsidRDefault="009F6984">
            <w:pPr>
              <w:pStyle w:val="a3"/>
              <w:ind w:firstLine="0"/>
              <w:rPr>
                <w:color w:val="0000FF"/>
              </w:rPr>
            </w:pPr>
            <w:r>
              <w:rPr>
                <w:rFonts w:hint="eastAsia"/>
              </w:rPr>
              <w:t>甲方在项目过程中增加新的需求，造成项目延期与更大的项目成本。</w:t>
            </w:r>
          </w:p>
        </w:tc>
      </w:tr>
      <w:tr w:rsidR="00C82B95" w14:paraId="2E208324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268F7D3D" w14:textId="77777777" w:rsidR="00C82B95" w:rsidRDefault="009F6984">
            <w:pPr>
              <w:pStyle w:val="a3"/>
              <w:ind w:firstLine="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>服务器价格波动</w:t>
            </w:r>
          </w:p>
        </w:tc>
        <w:tc>
          <w:tcPr>
            <w:tcW w:w="6858" w:type="dxa"/>
            <w:vAlign w:val="center"/>
          </w:tcPr>
          <w:p w14:paraId="69C46340" w14:textId="77777777" w:rsidR="00C82B95" w:rsidRDefault="009F6984">
            <w:pPr>
              <w:pStyle w:val="a3"/>
              <w:ind w:firstLine="0"/>
              <w:rPr>
                <w:color w:val="0000FF"/>
              </w:rPr>
            </w:pPr>
            <w:r>
              <w:rPr>
                <w:rFonts w:hint="eastAsia"/>
              </w:rPr>
              <w:t>由于市场因素，用于搭建网站的服务器可能会出现价格波动，上涨或是下降。</w:t>
            </w:r>
          </w:p>
        </w:tc>
      </w:tr>
      <w:tr w:rsidR="00C82B95" w14:paraId="13B35540" w14:textId="77777777">
        <w:trPr>
          <w:trHeight w:val="480"/>
          <w:tblCellSpacing w:w="0" w:type="dxa"/>
          <w:jc w:val="center"/>
        </w:trPr>
        <w:tc>
          <w:tcPr>
            <w:tcW w:w="1452" w:type="dxa"/>
            <w:shd w:val="clear" w:color="auto" w:fill="FFCC99"/>
            <w:vAlign w:val="center"/>
          </w:tcPr>
          <w:p w14:paraId="3053BD58" w14:textId="77777777" w:rsidR="00C82B95" w:rsidRDefault="009F6984">
            <w:pPr>
              <w:pStyle w:val="a3"/>
              <w:ind w:firstLine="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>人员时间紧张</w:t>
            </w:r>
          </w:p>
        </w:tc>
        <w:tc>
          <w:tcPr>
            <w:tcW w:w="6858" w:type="dxa"/>
            <w:vAlign w:val="center"/>
          </w:tcPr>
          <w:p w14:paraId="17939477" w14:textId="77777777" w:rsidR="00C82B95" w:rsidRDefault="009F6984">
            <w:pPr>
              <w:pStyle w:val="a3"/>
              <w:ind w:firstLine="0"/>
              <w:rPr>
                <w:color w:val="0000FF"/>
              </w:rPr>
            </w:pPr>
            <w:r>
              <w:rPr>
                <w:rFonts w:hint="eastAsia"/>
              </w:rPr>
              <w:t>由于当前位于考试月，许多项目成员会因为考试时间的冲突而导致项目计划不能按时完成，拖延进度。</w:t>
            </w:r>
          </w:p>
        </w:tc>
      </w:tr>
    </w:tbl>
    <w:p w14:paraId="61DA3EAE" w14:textId="77777777" w:rsidR="00C82B95" w:rsidRDefault="00C82B95"/>
    <w:p w14:paraId="0CA38F87" w14:textId="77777777" w:rsidR="00C82B95" w:rsidRDefault="00C82B95"/>
    <w:p w14:paraId="79C5DA3F" w14:textId="77777777" w:rsidR="00C82B95" w:rsidRDefault="00C82B95"/>
    <w:p w14:paraId="3652A989" w14:textId="77777777" w:rsidR="00C82B95" w:rsidRDefault="009F6984">
      <w:pPr>
        <w:pStyle w:val="2"/>
      </w:pPr>
      <w:bookmarkStart w:id="9" w:name="_Toc25057275"/>
      <w:r>
        <w:rPr>
          <w:rFonts w:hint="eastAsia"/>
        </w:rPr>
        <w:t>项目风险概率和影响定义</w:t>
      </w:r>
      <w:bookmarkEnd w:id="9"/>
    </w:p>
    <w:tbl>
      <w:tblPr>
        <w:tblW w:w="95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20"/>
        <w:gridCol w:w="1600"/>
        <w:gridCol w:w="1300"/>
        <w:gridCol w:w="1880"/>
        <w:gridCol w:w="1560"/>
      </w:tblGrid>
      <w:tr w:rsidR="00C82B95" w14:paraId="4E7B3DD5" w14:textId="77777777">
        <w:trPr>
          <w:trHeight w:val="285"/>
          <w:jc w:val="center"/>
        </w:trPr>
        <w:tc>
          <w:tcPr>
            <w:tcW w:w="1080" w:type="dxa"/>
            <w:shd w:val="clear" w:color="auto" w:fill="FFFF99"/>
            <w:vAlign w:val="center"/>
          </w:tcPr>
          <w:p w14:paraId="1C3EAFFC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参数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2BF20767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值</w:t>
            </w:r>
          </w:p>
        </w:tc>
        <w:tc>
          <w:tcPr>
            <w:tcW w:w="1020" w:type="dxa"/>
            <w:shd w:val="clear" w:color="auto" w:fill="FFFF99"/>
            <w:vAlign w:val="center"/>
          </w:tcPr>
          <w:p w14:paraId="7F12BE60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定性描述</w:t>
            </w:r>
          </w:p>
        </w:tc>
        <w:tc>
          <w:tcPr>
            <w:tcW w:w="1600" w:type="dxa"/>
            <w:shd w:val="clear" w:color="auto" w:fill="FFFF99"/>
            <w:vAlign w:val="center"/>
          </w:tcPr>
          <w:p w14:paraId="0D1E5F6A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进度</w:t>
            </w:r>
          </w:p>
        </w:tc>
        <w:tc>
          <w:tcPr>
            <w:tcW w:w="1300" w:type="dxa"/>
            <w:shd w:val="clear" w:color="auto" w:fill="FFFF99"/>
            <w:vAlign w:val="center"/>
          </w:tcPr>
          <w:p w14:paraId="613F26C5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成本</w:t>
            </w:r>
          </w:p>
        </w:tc>
        <w:tc>
          <w:tcPr>
            <w:tcW w:w="1880" w:type="dxa"/>
            <w:shd w:val="clear" w:color="auto" w:fill="FFFF99"/>
            <w:vAlign w:val="center"/>
          </w:tcPr>
          <w:p w14:paraId="4EBF356C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质量</w:t>
            </w:r>
          </w:p>
        </w:tc>
        <w:tc>
          <w:tcPr>
            <w:tcW w:w="1560" w:type="dxa"/>
            <w:shd w:val="clear" w:color="auto" w:fill="FFFF99"/>
            <w:vAlign w:val="center"/>
          </w:tcPr>
          <w:p w14:paraId="1871529E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范围</w:t>
            </w:r>
          </w:p>
        </w:tc>
      </w:tr>
      <w:tr w:rsidR="00C82B95" w14:paraId="0A2F45B6" w14:textId="77777777">
        <w:trPr>
          <w:trHeight w:val="300"/>
          <w:jc w:val="center"/>
        </w:trPr>
        <w:tc>
          <w:tcPr>
            <w:tcW w:w="1080" w:type="dxa"/>
            <w:vMerge w:val="restart"/>
            <w:shd w:val="clear" w:color="auto" w:fill="FFCC99"/>
            <w:vAlign w:val="center"/>
          </w:tcPr>
          <w:p w14:paraId="68FFE453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概率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E73D16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0.9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1F5547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非常高</w:t>
            </w:r>
          </w:p>
        </w:tc>
        <w:tc>
          <w:tcPr>
            <w:tcW w:w="6340" w:type="dxa"/>
            <w:gridSpan w:val="4"/>
            <w:vMerge w:val="restart"/>
            <w:shd w:val="clear" w:color="auto" w:fill="auto"/>
            <w:vAlign w:val="center"/>
          </w:tcPr>
          <w:p w14:paraId="1A1747EE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表示发生的可能性</w:t>
            </w:r>
          </w:p>
        </w:tc>
      </w:tr>
      <w:tr w:rsidR="00C82B95" w14:paraId="49997744" w14:textId="77777777">
        <w:trPr>
          <w:trHeight w:val="285"/>
          <w:jc w:val="center"/>
        </w:trPr>
        <w:tc>
          <w:tcPr>
            <w:tcW w:w="1080" w:type="dxa"/>
            <w:vMerge/>
            <w:vAlign w:val="center"/>
          </w:tcPr>
          <w:p w14:paraId="52921F33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AC3B753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0.7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15CD626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高</w:t>
            </w:r>
          </w:p>
        </w:tc>
        <w:tc>
          <w:tcPr>
            <w:tcW w:w="6340" w:type="dxa"/>
            <w:gridSpan w:val="4"/>
            <w:vMerge/>
            <w:vAlign w:val="center"/>
          </w:tcPr>
          <w:p w14:paraId="71905854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</w:tr>
      <w:tr w:rsidR="00C82B95" w14:paraId="069E1660" w14:textId="77777777">
        <w:trPr>
          <w:trHeight w:val="285"/>
          <w:jc w:val="center"/>
        </w:trPr>
        <w:tc>
          <w:tcPr>
            <w:tcW w:w="1080" w:type="dxa"/>
            <w:vMerge/>
            <w:vAlign w:val="center"/>
          </w:tcPr>
          <w:p w14:paraId="1F814326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CF9BB4F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0.5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3938982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中</w:t>
            </w:r>
          </w:p>
        </w:tc>
        <w:tc>
          <w:tcPr>
            <w:tcW w:w="6340" w:type="dxa"/>
            <w:gridSpan w:val="4"/>
            <w:vMerge/>
            <w:vAlign w:val="center"/>
          </w:tcPr>
          <w:p w14:paraId="5E0F28D3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</w:tr>
      <w:tr w:rsidR="00C82B95" w14:paraId="5C8DAC39" w14:textId="77777777">
        <w:trPr>
          <w:trHeight w:val="285"/>
          <w:jc w:val="center"/>
        </w:trPr>
        <w:tc>
          <w:tcPr>
            <w:tcW w:w="1080" w:type="dxa"/>
            <w:vMerge/>
            <w:vAlign w:val="center"/>
          </w:tcPr>
          <w:p w14:paraId="79CD0DAE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A92BDE0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0.3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7A8B2957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低</w:t>
            </w:r>
          </w:p>
        </w:tc>
        <w:tc>
          <w:tcPr>
            <w:tcW w:w="6340" w:type="dxa"/>
            <w:gridSpan w:val="4"/>
            <w:vMerge/>
            <w:vAlign w:val="center"/>
          </w:tcPr>
          <w:p w14:paraId="47BDEF2F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</w:tr>
      <w:tr w:rsidR="00C82B95" w14:paraId="6C5A4B3B" w14:textId="77777777">
        <w:trPr>
          <w:trHeight w:val="285"/>
          <w:jc w:val="center"/>
        </w:trPr>
        <w:tc>
          <w:tcPr>
            <w:tcW w:w="1080" w:type="dxa"/>
            <w:vMerge/>
            <w:vAlign w:val="center"/>
          </w:tcPr>
          <w:p w14:paraId="4214F1DB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88F2EA8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0.1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7FDC389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非常低</w:t>
            </w:r>
          </w:p>
        </w:tc>
        <w:tc>
          <w:tcPr>
            <w:tcW w:w="6340" w:type="dxa"/>
            <w:gridSpan w:val="4"/>
            <w:vMerge/>
            <w:vAlign w:val="center"/>
          </w:tcPr>
          <w:p w14:paraId="0D435D2D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</w:tr>
      <w:tr w:rsidR="00C82B95" w14:paraId="075700E0" w14:textId="77777777">
        <w:trPr>
          <w:trHeight w:val="510"/>
          <w:jc w:val="center"/>
        </w:trPr>
        <w:tc>
          <w:tcPr>
            <w:tcW w:w="1080" w:type="dxa"/>
            <w:vMerge w:val="restart"/>
            <w:shd w:val="clear" w:color="auto" w:fill="FFCC99"/>
            <w:vAlign w:val="center"/>
          </w:tcPr>
          <w:p w14:paraId="5F050600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影响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C419AC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0.8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419B600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非常高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967E1AA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进度延期一月以上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148EB0E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成本超支</w:t>
            </w:r>
            <w:r>
              <w:rPr>
                <w:b/>
                <w:bCs/>
                <w:sz w:val="20"/>
              </w:rP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156E700D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项目最终结果实际无法使用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8CD4EDB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影响整个项目团队工作</w:t>
            </w:r>
          </w:p>
        </w:tc>
      </w:tr>
      <w:tr w:rsidR="00C82B95" w14:paraId="20E22CBB" w14:textId="77777777">
        <w:trPr>
          <w:trHeight w:val="510"/>
          <w:jc w:val="center"/>
        </w:trPr>
        <w:tc>
          <w:tcPr>
            <w:tcW w:w="1080" w:type="dxa"/>
            <w:vMerge/>
            <w:vAlign w:val="center"/>
          </w:tcPr>
          <w:p w14:paraId="2FC958A2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A5A0EB9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0.4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BF3C12C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高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61469963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进度延期半月以上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C775416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成本超支</w:t>
            </w:r>
            <w:r>
              <w:rPr>
                <w:b/>
                <w:bCs/>
                <w:sz w:val="20"/>
              </w:rPr>
              <w:t>10%</w:t>
            </w:r>
            <w:r>
              <w:rPr>
                <w:rFonts w:ascii="宋体" w:hAnsi="宋体" w:cs="宋体" w:hint="eastAsia"/>
                <w:b/>
                <w:bCs/>
                <w:sz w:val="20"/>
              </w:rPr>
              <w:t>～</w:t>
            </w:r>
            <w:r>
              <w:rPr>
                <w:b/>
                <w:bCs/>
                <w:sz w:val="20"/>
              </w:rP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38E1CA20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质量降低到顾客不能接受的程度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9140A76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影响整个项目团队工作</w:t>
            </w:r>
          </w:p>
        </w:tc>
      </w:tr>
      <w:tr w:rsidR="00C82B95" w14:paraId="460994CC" w14:textId="77777777">
        <w:trPr>
          <w:trHeight w:val="720"/>
          <w:jc w:val="center"/>
        </w:trPr>
        <w:tc>
          <w:tcPr>
            <w:tcW w:w="1080" w:type="dxa"/>
            <w:vMerge/>
            <w:vAlign w:val="center"/>
          </w:tcPr>
          <w:p w14:paraId="1FDACFF0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867E109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0.2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430EE9C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中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43EB66E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进度延期一周以上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4E9790D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成本超支</w:t>
            </w:r>
            <w:r>
              <w:rPr>
                <w:b/>
                <w:bCs/>
                <w:sz w:val="20"/>
              </w:rPr>
              <w:t>5%</w:t>
            </w:r>
            <w:r>
              <w:rPr>
                <w:rFonts w:ascii="宋体" w:hAnsi="宋体" w:cs="宋体" w:hint="eastAsia"/>
                <w:b/>
                <w:bCs/>
                <w:sz w:val="20"/>
              </w:rPr>
              <w:t>～</w:t>
            </w:r>
            <w:r>
              <w:rPr>
                <w:b/>
                <w:bCs/>
                <w:sz w:val="20"/>
              </w:rPr>
              <w:t>10%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0BD58818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质量下降到需要由顾客审批同意的程度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D2C62E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影响项目部门</w:t>
            </w:r>
          </w:p>
        </w:tc>
      </w:tr>
      <w:tr w:rsidR="00C82B95" w14:paraId="4724AFC6" w14:textId="77777777">
        <w:trPr>
          <w:trHeight w:val="525"/>
          <w:jc w:val="center"/>
        </w:trPr>
        <w:tc>
          <w:tcPr>
            <w:tcW w:w="1080" w:type="dxa"/>
            <w:vMerge/>
            <w:vAlign w:val="center"/>
          </w:tcPr>
          <w:p w14:paraId="789E37E3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8D3013D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0.1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01E37215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低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D9C38D8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进度延期三天以上一周以内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3D6633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成本超支小于</w:t>
            </w:r>
            <w:r>
              <w:rPr>
                <w:b/>
                <w:bCs/>
                <w:sz w:val="20"/>
              </w:rP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7786980D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仅有要求极其严格的应用受到影响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842FA6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影响项目部门</w:t>
            </w:r>
          </w:p>
        </w:tc>
      </w:tr>
      <w:tr w:rsidR="00C82B95" w14:paraId="35916178" w14:textId="77777777">
        <w:trPr>
          <w:trHeight w:val="525"/>
          <w:jc w:val="center"/>
        </w:trPr>
        <w:tc>
          <w:tcPr>
            <w:tcW w:w="1080" w:type="dxa"/>
            <w:vMerge/>
            <w:vAlign w:val="center"/>
          </w:tcPr>
          <w:p w14:paraId="657808CF" w14:textId="77777777" w:rsidR="00C82B95" w:rsidRDefault="00C82B95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8F6D640" w14:textId="77777777" w:rsidR="00C82B95" w:rsidRDefault="009F6984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0.05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086220D" w14:textId="77777777" w:rsidR="00C82B95" w:rsidRDefault="009F698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非常低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74D52D87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进度延期两天以内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14087F5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成本超支不明显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13AC9BD9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质量下降并不显著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FE37F24" w14:textId="77777777" w:rsidR="00C82B95" w:rsidRDefault="009F698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影响单个项目工作</w:t>
            </w:r>
          </w:p>
        </w:tc>
      </w:tr>
    </w:tbl>
    <w:p w14:paraId="255506D2" w14:textId="77777777" w:rsidR="00C82B95" w:rsidRDefault="00C82B95">
      <w:pPr>
        <w:pStyle w:val="2"/>
        <w:numPr>
          <w:ilvl w:val="1"/>
          <w:numId w:val="0"/>
        </w:numPr>
      </w:pPr>
      <w:bookmarkStart w:id="10" w:name="_Toc25057276"/>
    </w:p>
    <w:p w14:paraId="49F3720B" w14:textId="77777777" w:rsidR="00AE35CA" w:rsidRDefault="00AE35CA">
      <w:pPr>
        <w:spacing w:after="0" w:line="240" w:lineRule="auto"/>
      </w:pPr>
      <w:r>
        <w:br w:type="page"/>
      </w:r>
    </w:p>
    <w:p w14:paraId="1B6ADBFA" w14:textId="77777777" w:rsidR="00C82B95" w:rsidRDefault="009F6984">
      <w:pPr>
        <w:pStyle w:val="2"/>
      </w:pPr>
      <w:r>
        <w:rPr>
          <w:rFonts w:hint="eastAsia"/>
        </w:rPr>
        <w:lastRenderedPageBreak/>
        <w:t>项目风险状态定义</w:t>
      </w:r>
      <w:bookmarkEnd w:id="10"/>
    </w:p>
    <w:tbl>
      <w:tblPr>
        <w:tblW w:w="5715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3874"/>
      </w:tblGrid>
      <w:tr w:rsidR="00C82B95" w14:paraId="472F0745" w14:textId="77777777">
        <w:trPr>
          <w:trHeight w:val="315"/>
          <w:tblCellSpacing w:w="0" w:type="dxa"/>
          <w:jc w:val="center"/>
        </w:trPr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14:paraId="6D85C056" w14:textId="77777777" w:rsidR="00C82B95" w:rsidRDefault="009F6984">
            <w:pPr>
              <w:pStyle w:val="a3"/>
            </w:pPr>
            <w:r>
              <w:rPr>
                <w:rFonts w:hint="eastAsia"/>
                <w:b/>
                <w:bCs/>
              </w:rPr>
              <w:t>风险状态</w:t>
            </w:r>
          </w:p>
        </w:tc>
        <w:tc>
          <w:tcPr>
            <w:tcW w:w="38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99"/>
            <w:vAlign w:val="center"/>
          </w:tcPr>
          <w:p w14:paraId="3F309E20" w14:textId="77777777" w:rsidR="00C82B95" w:rsidRDefault="009F6984">
            <w:pPr>
              <w:pStyle w:val="a3"/>
            </w:pPr>
            <w:r>
              <w:rPr>
                <w:rFonts w:hint="eastAsia"/>
                <w:b/>
                <w:bCs/>
              </w:rPr>
              <w:t>状态描述</w:t>
            </w:r>
          </w:p>
        </w:tc>
      </w:tr>
      <w:tr w:rsidR="00C82B95" w14:paraId="4970E1A5" w14:textId="77777777">
        <w:trPr>
          <w:trHeight w:val="375"/>
          <w:tblCellSpacing w:w="0" w:type="dxa"/>
          <w:jc w:val="center"/>
        </w:trPr>
        <w:tc>
          <w:tcPr>
            <w:tcW w:w="18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</w:tcPr>
          <w:p w14:paraId="7236AD24" w14:textId="77777777" w:rsidR="00C82B95" w:rsidRDefault="009F6984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跟踪中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69D3E6E" w14:textId="77777777" w:rsidR="00C82B95" w:rsidRDefault="009F6984">
            <w:pPr>
              <w:pStyle w:val="a3"/>
            </w:pPr>
            <w:r>
              <w:rPr>
                <w:rFonts w:hint="eastAsia"/>
              </w:rPr>
              <w:t>处于监视中</w:t>
            </w:r>
          </w:p>
        </w:tc>
      </w:tr>
      <w:tr w:rsidR="00C82B95" w14:paraId="38511E6C" w14:textId="77777777">
        <w:trPr>
          <w:trHeight w:val="375"/>
          <w:tblCellSpacing w:w="0" w:type="dxa"/>
          <w:jc w:val="center"/>
        </w:trPr>
        <w:tc>
          <w:tcPr>
            <w:tcW w:w="18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</w:tcPr>
          <w:p w14:paraId="0A8D4F10" w14:textId="77777777" w:rsidR="00C82B95" w:rsidRDefault="009F6984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正减轻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1EBD4D" w14:textId="77777777" w:rsidR="00C82B95" w:rsidRDefault="009F6984">
            <w:pPr>
              <w:pStyle w:val="a3"/>
            </w:pPr>
            <w:r>
              <w:rPr>
                <w:rFonts w:hint="eastAsia"/>
              </w:rPr>
              <w:t>风险发生的可能减小或带来的影响正在减轻</w:t>
            </w:r>
          </w:p>
        </w:tc>
      </w:tr>
      <w:tr w:rsidR="00C82B95" w14:paraId="18429B51" w14:textId="77777777">
        <w:trPr>
          <w:trHeight w:val="375"/>
          <w:tblCellSpacing w:w="0" w:type="dxa"/>
          <w:jc w:val="center"/>
        </w:trPr>
        <w:tc>
          <w:tcPr>
            <w:tcW w:w="18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</w:tcPr>
          <w:p w14:paraId="1B08DAD8" w14:textId="77777777" w:rsidR="00C82B95" w:rsidRDefault="009F6984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正应急处理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C0607E" w14:textId="77777777" w:rsidR="00C82B95" w:rsidRDefault="009F6984">
            <w:pPr>
              <w:pStyle w:val="a3"/>
            </w:pPr>
            <w:r>
              <w:rPr>
                <w:rFonts w:hint="eastAsia"/>
              </w:rPr>
              <w:t>发生了超出预期，正在紧急处理</w:t>
            </w:r>
            <w:r>
              <w:rPr>
                <w:rFonts w:hint="eastAsia"/>
              </w:rPr>
              <w:t xml:space="preserve"> </w:t>
            </w:r>
          </w:p>
        </w:tc>
      </w:tr>
      <w:tr w:rsidR="00C82B95" w14:paraId="6A42ACDA" w14:textId="77777777">
        <w:trPr>
          <w:trHeight w:val="375"/>
          <w:tblCellSpacing w:w="0" w:type="dxa"/>
          <w:jc w:val="center"/>
        </w:trPr>
        <w:tc>
          <w:tcPr>
            <w:tcW w:w="18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</w:tcPr>
          <w:p w14:paraId="4E4D2839" w14:textId="77777777" w:rsidR="00C82B95" w:rsidRDefault="009F6984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已关闭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10CFC96" w14:textId="77777777" w:rsidR="00C82B95" w:rsidRDefault="009F6984">
            <w:pPr>
              <w:pStyle w:val="a3"/>
            </w:pPr>
            <w:r>
              <w:rPr>
                <w:rFonts w:hint="eastAsia"/>
              </w:rPr>
              <w:t>风险应对成功后被关闭</w:t>
            </w:r>
            <w:r>
              <w:rPr>
                <w:rFonts w:hint="eastAsia"/>
              </w:rPr>
              <w:t xml:space="preserve"> </w:t>
            </w:r>
          </w:p>
        </w:tc>
      </w:tr>
      <w:tr w:rsidR="00C82B95" w14:paraId="32B9962D" w14:textId="77777777">
        <w:trPr>
          <w:trHeight w:val="345"/>
          <w:tblCellSpacing w:w="0" w:type="dxa"/>
          <w:jc w:val="center"/>
        </w:trPr>
        <w:tc>
          <w:tcPr>
            <w:tcW w:w="18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</w:tcPr>
          <w:p w14:paraId="1AEE2767" w14:textId="77777777" w:rsidR="00C82B95" w:rsidRDefault="009F6984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已消失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6A5131" w14:textId="77777777" w:rsidR="00C82B95" w:rsidRDefault="009F6984">
            <w:pPr>
              <w:pStyle w:val="a3"/>
            </w:pPr>
            <w:r>
              <w:rPr>
                <w:rFonts w:hint="eastAsia"/>
              </w:rPr>
              <w:t>风险发生的可能减小为</w:t>
            </w:r>
            <w:r>
              <w:rPr>
                <w:rFonts w:hint="eastAsia"/>
              </w:rPr>
              <w:t xml:space="preserve">0 </w:t>
            </w:r>
          </w:p>
        </w:tc>
      </w:tr>
      <w:tr w:rsidR="00C82B95" w14:paraId="543A0DE4" w14:textId="77777777">
        <w:trPr>
          <w:trHeight w:val="360"/>
          <w:tblCellSpacing w:w="0" w:type="dxa"/>
          <w:jc w:val="center"/>
        </w:trPr>
        <w:tc>
          <w:tcPr>
            <w:tcW w:w="184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CC99"/>
            <w:vAlign w:val="center"/>
          </w:tcPr>
          <w:p w14:paraId="14C2F9DE" w14:textId="77777777" w:rsidR="00C82B95" w:rsidRDefault="009F6984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……</w:t>
            </w:r>
          </w:p>
        </w:tc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871FF" w14:textId="77777777" w:rsidR="00C82B95" w:rsidRDefault="009F6984">
            <w:pPr>
              <w:pStyle w:val="a3"/>
            </w:pPr>
            <w:r>
              <w:t>……</w:t>
            </w:r>
          </w:p>
        </w:tc>
      </w:tr>
    </w:tbl>
    <w:p w14:paraId="5233BDE4" w14:textId="77777777" w:rsidR="00C82B95" w:rsidRDefault="00C82B95">
      <w:pPr>
        <w:pStyle w:val="2"/>
        <w:numPr>
          <w:ilvl w:val="1"/>
          <w:numId w:val="0"/>
        </w:numPr>
      </w:pPr>
      <w:bookmarkStart w:id="11" w:name="_Toc25057277"/>
    </w:p>
    <w:p w14:paraId="2608BA68" w14:textId="77777777" w:rsidR="00C82B95" w:rsidRDefault="009F6984">
      <w:pPr>
        <w:pStyle w:val="2"/>
      </w:pPr>
      <w:r>
        <w:rPr>
          <w:rFonts w:hint="eastAsia"/>
        </w:rPr>
        <w:t>风险综合影响分类</w:t>
      </w:r>
      <w:r>
        <w:rPr>
          <w:rFonts w:hint="eastAsia"/>
        </w:rPr>
        <w:t xml:space="preserve">        </w:t>
      </w:r>
    </w:p>
    <w:p w14:paraId="37E3F4CF" w14:textId="77777777" w:rsidR="00C82B95" w:rsidRDefault="009F6984">
      <w:pPr>
        <w:pStyle w:val="2"/>
        <w:numPr>
          <w:ilvl w:val="1"/>
          <w:numId w:val="0"/>
        </w:numPr>
      </w:pP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114300" distR="114300" wp14:anchorId="26B244B3" wp14:editId="200252EF">
            <wp:extent cx="3527425" cy="210883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14:paraId="3F33788C" w14:textId="77777777" w:rsidR="00C82B95" w:rsidRDefault="00C82B95"/>
    <w:p w14:paraId="34A47A69" w14:textId="77777777" w:rsidR="00C82B95" w:rsidRDefault="009F6984">
      <w:pPr>
        <w:ind w:left="440" w:hangingChars="200" w:hanging="440"/>
      </w:pPr>
      <w:r>
        <w:rPr>
          <w:rFonts w:hint="eastAsia"/>
        </w:rPr>
        <w:t>注：风险概率与风险影响的得分相乘后的结果表示风险的综合影响程度，可分为</w:t>
      </w:r>
      <w:r>
        <w:rPr>
          <w:rFonts w:hint="eastAsia"/>
          <w:b/>
          <w:bCs/>
        </w:rPr>
        <w:t>高、中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低</w:t>
      </w:r>
      <w:r>
        <w:rPr>
          <w:rFonts w:hint="eastAsia"/>
        </w:rPr>
        <w:t>三类，分别用</w:t>
      </w:r>
      <w:r>
        <w:rPr>
          <w:rFonts w:hint="eastAsia"/>
          <w:b/>
          <w:bCs/>
        </w:rPr>
        <w:t>红色、黄色、绿色</w:t>
      </w:r>
      <w:r>
        <w:rPr>
          <w:rFonts w:hint="eastAsia"/>
        </w:rPr>
        <w:t>三种颜色标注。</w:t>
      </w:r>
    </w:p>
    <w:p w14:paraId="24F8E909" w14:textId="77777777" w:rsidR="00C82B95" w:rsidRDefault="00C82B95"/>
    <w:p w14:paraId="7C10BE68" w14:textId="77777777" w:rsidR="00C82B95" w:rsidRDefault="009F6984">
      <w:pPr>
        <w:pStyle w:val="2"/>
      </w:pPr>
      <w:bookmarkStart w:id="12" w:name="_Toc25057278"/>
      <w:r>
        <w:rPr>
          <w:rFonts w:hint="eastAsia"/>
        </w:rPr>
        <w:t>风险管理表</w:t>
      </w:r>
      <w:bookmarkEnd w:id="12"/>
    </w:p>
    <w:p w14:paraId="29658834" w14:textId="77777777" w:rsidR="00C82B95" w:rsidRDefault="009F6984">
      <w:r>
        <w:rPr>
          <w:rFonts w:hint="eastAsia"/>
        </w:rPr>
        <w:t>见附件</w:t>
      </w:r>
    </w:p>
    <w:p w14:paraId="37270670" w14:textId="77777777" w:rsidR="00C82B95" w:rsidRDefault="00C82B95"/>
    <w:p w14:paraId="6F2EBE77" w14:textId="77777777" w:rsidR="00C82B95" w:rsidRDefault="009F6984">
      <w:pPr>
        <w:pStyle w:val="1"/>
      </w:pPr>
      <w:bookmarkStart w:id="13" w:name="_Toc25057279"/>
      <w:r>
        <w:rPr>
          <w:rFonts w:hint="eastAsia"/>
        </w:rPr>
        <w:lastRenderedPageBreak/>
        <w:t>项目风险管理策略</w:t>
      </w:r>
      <w:bookmarkEnd w:id="13"/>
    </w:p>
    <w:tbl>
      <w:tblPr>
        <w:tblW w:w="7335" w:type="dxa"/>
        <w:jc w:val="center"/>
        <w:tblCellSpacing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6157"/>
      </w:tblGrid>
      <w:tr w:rsidR="00C82B95" w14:paraId="2D712551" w14:textId="77777777">
        <w:trPr>
          <w:trHeight w:val="360"/>
          <w:tblCellSpacing w:w="0" w:type="dxa"/>
          <w:jc w:val="center"/>
        </w:trPr>
        <w:tc>
          <w:tcPr>
            <w:tcW w:w="117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6F4DDBE1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  <w:b/>
                <w:bCs/>
              </w:rPr>
              <w:t>风险管理活动的范围</w:t>
            </w:r>
          </w:p>
        </w:tc>
        <w:tc>
          <w:tcPr>
            <w:tcW w:w="6157" w:type="dxa"/>
            <w:vAlign w:val="center"/>
          </w:tcPr>
          <w:p w14:paraId="18F9424C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</w:rPr>
              <w:t>贯穿项目的整个生命周期</w:t>
            </w:r>
          </w:p>
        </w:tc>
      </w:tr>
      <w:tr w:rsidR="00C82B95" w14:paraId="265A57C7" w14:textId="77777777">
        <w:trPr>
          <w:trHeight w:val="1140"/>
          <w:tblCellSpacing w:w="0" w:type="dxa"/>
          <w:jc w:val="center"/>
        </w:trPr>
        <w:tc>
          <w:tcPr>
            <w:tcW w:w="1178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68B167BE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  <w:b/>
                <w:bCs/>
              </w:rPr>
              <w:t>工具和方法</w:t>
            </w:r>
          </w:p>
        </w:tc>
        <w:tc>
          <w:tcPr>
            <w:tcW w:w="6157" w:type="dxa"/>
            <w:vAlign w:val="center"/>
          </w:tcPr>
          <w:p w14:paraId="78E5E3A0" w14:textId="77777777" w:rsidR="00C82B95" w:rsidRDefault="009F6984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  <w:bCs/>
              </w:rPr>
              <w:t>风险识别采用的方法和工具：风险识别检查表、头脑风暴、专家访谈等；使用项目管理软件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(PMS)</w:t>
            </w:r>
            <w:r>
              <w:rPr>
                <w:rFonts w:hint="eastAsia"/>
                <w:bCs/>
              </w:rPr>
              <w:t>记录所有的风险；</w:t>
            </w:r>
          </w:p>
        </w:tc>
      </w:tr>
      <w:tr w:rsidR="00C82B95" w14:paraId="0E9D1108" w14:textId="77777777">
        <w:trPr>
          <w:trHeight w:val="930"/>
          <w:tblCellSpacing w:w="0" w:type="dxa"/>
          <w:jc w:val="center"/>
        </w:trPr>
        <w:tc>
          <w:tcPr>
            <w:tcW w:w="1178" w:type="dxa"/>
            <w:vMerge/>
            <w:tcBorders>
              <w:top w:val="single" w:sz="6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72E6416F" w14:textId="77777777" w:rsidR="00C82B95" w:rsidRDefault="00C82B95">
            <w:pPr>
              <w:pStyle w:val="a3"/>
              <w:ind w:firstLine="0"/>
              <w:rPr>
                <w:b/>
                <w:bCs/>
              </w:rPr>
            </w:pPr>
          </w:p>
        </w:tc>
        <w:tc>
          <w:tcPr>
            <w:tcW w:w="6157" w:type="dxa"/>
            <w:vAlign w:val="center"/>
          </w:tcPr>
          <w:p w14:paraId="06693EDB" w14:textId="77777777" w:rsidR="00C82B95" w:rsidRDefault="009F6984">
            <w:pPr>
              <w:pStyle w:val="a3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风险分析采用的方法和工具：进行概率与影响评估，按风险综合影响对风险进行优先级排序；使用</w:t>
            </w:r>
            <w:r>
              <w:rPr>
                <w:bCs/>
              </w:rPr>
              <w:t>PMS</w:t>
            </w:r>
            <w:r>
              <w:rPr>
                <w:rFonts w:hint="eastAsia"/>
                <w:bCs/>
              </w:rPr>
              <w:t>记录风险分析结果；</w:t>
            </w:r>
          </w:p>
        </w:tc>
      </w:tr>
      <w:tr w:rsidR="00C82B95" w14:paraId="5C218AFF" w14:textId="77777777">
        <w:trPr>
          <w:trHeight w:val="555"/>
          <w:tblCellSpacing w:w="0" w:type="dxa"/>
          <w:jc w:val="center"/>
        </w:trPr>
        <w:tc>
          <w:tcPr>
            <w:tcW w:w="1178" w:type="dxa"/>
            <w:vMerge/>
            <w:tcBorders>
              <w:top w:val="single" w:sz="6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3AA31F99" w14:textId="77777777" w:rsidR="00C82B95" w:rsidRDefault="00C82B95">
            <w:pPr>
              <w:pStyle w:val="a3"/>
              <w:ind w:firstLine="0"/>
              <w:rPr>
                <w:b/>
                <w:bCs/>
              </w:rPr>
            </w:pPr>
          </w:p>
        </w:tc>
        <w:tc>
          <w:tcPr>
            <w:tcW w:w="6157" w:type="dxa"/>
            <w:vAlign w:val="center"/>
          </w:tcPr>
          <w:p w14:paraId="1EFFF332" w14:textId="77777777" w:rsidR="00C82B95" w:rsidRDefault="009F6984">
            <w:pPr>
              <w:pStyle w:val="a3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风险监控采用的方法和工具：进行风险再评估、风险审计等；更新项目计划，通过</w:t>
            </w:r>
            <w:r>
              <w:rPr>
                <w:bCs/>
              </w:rPr>
              <w:t>PMS</w:t>
            </w:r>
            <w:r>
              <w:rPr>
                <w:rFonts w:hint="eastAsia"/>
                <w:bCs/>
              </w:rPr>
              <w:t>对监控活动和执行情况进行跟踪；</w:t>
            </w:r>
          </w:p>
        </w:tc>
      </w:tr>
      <w:tr w:rsidR="00C82B95" w14:paraId="1049787C" w14:textId="77777777">
        <w:trPr>
          <w:trHeight w:val="1035"/>
          <w:tblCellSpacing w:w="0" w:type="dxa"/>
          <w:jc w:val="center"/>
        </w:trPr>
        <w:tc>
          <w:tcPr>
            <w:tcW w:w="1178" w:type="dxa"/>
            <w:vMerge/>
            <w:tcBorders>
              <w:top w:val="single" w:sz="6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0DDE3D92" w14:textId="77777777" w:rsidR="00C82B95" w:rsidRDefault="00C82B95">
            <w:pPr>
              <w:pStyle w:val="a3"/>
              <w:ind w:firstLine="0"/>
              <w:rPr>
                <w:b/>
                <w:bCs/>
              </w:rPr>
            </w:pPr>
          </w:p>
        </w:tc>
        <w:tc>
          <w:tcPr>
            <w:tcW w:w="6157" w:type="dxa"/>
            <w:vAlign w:val="center"/>
          </w:tcPr>
          <w:p w14:paraId="21ECB0DB" w14:textId="77777777" w:rsidR="00C82B95" w:rsidRDefault="009F6984">
            <w:pPr>
              <w:pStyle w:val="a3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风险应对采用的方法和工具：风险应对的策略包括风险规避，风险转移，风险减轻，风险承担等；更新项目计划，通过</w:t>
            </w:r>
            <w:r>
              <w:rPr>
                <w:bCs/>
              </w:rPr>
              <w:t>PMS</w:t>
            </w:r>
            <w:r>
              <w:rPr>
                <w:rFonts w:hint="eastAsia"/>
                <w:bCs/>
              </w:rPr>
              <w:t>对应对活动和执行情况进行跟踪和监控；</w:t>
            </w:r>
            <w:r>
              <w:rPr>
                <w:bCs/>
              </w:rPr>
              <w:t xml:space="preserve"> </w:t>
            </w:r>
          </w:p>
        </w:tc>
      </w:tr>
      <w:tr w:rsidR="00C82B95" w14:paraId="052CF62F" w14:textId="77777777">
        <w:trPr>
          <w:trHeight w:val="225"/>
          <w:tblCellSpacing w:w="0" w:type="dxa"/>
          <w:jc w:val="center"/>
        </w:trPr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6D9FE5FD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  <w:b/>
                <w:bCs/>
              </w:rPr>
              <w:t>风险应对策略</w:t>
            </w:r>
          </w:p>
        </w:tc>
        <w:tc>
          <w:tcPr>
            <w:tcW w:w="6157" w:type="dxa"/>
            <w:vAlign w:val="center"/>
          </w:tcPr>
          <w:p w14:paraId="2A471CEA" w14:textId="77777777" w:rsidR="00C82B95" w:rsidRDefault="009F6984">
            <w:pPr>
              <w:pStyle w:val="a3"/>
            </w:pPr>
            <w:proofErr w:type="gramStart"/>
            <w:r>
              <w:rPr>
                <w:rFonts w:hint="eastAsia"/>
                <w:bCs/>
              </w:rPr>
              <w:t>见风险</w:t>
            </w:r>
            <w:proofErr w:type="gramEnd"/>
            <w:r>
              <w:rPr>
                <w:rFonts w:hint="eastAsia"/>
                <w:bCs/>
              </w:rPr>
              <w:t>管理表</w:t>
            </w:r>
          </w:p>
        </w:tc>
      </w:tr>
      <w:tr w:rsidR="00C82B95" w14:paraId="173584B2" w14:textId="77777777">
        <w:trPr>
          <w:trHeight w:val="495"/>
          <w:tblCellSpacing w:w="0" w:type="dxa"/>
          <w:jc w:val="center"/>
        </w:trPr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CC99"/>
            <w:vAlign w:val="center"/>
          </w:tcPr>
          <w:p w14:paraId="28ED0CE4" w14:textId="77777777" w:rsidR="00C82B95" w:rsidRDefault="009F6984">
            <w:pPr>
              <w:pStyle w:val="a3"/>
              <w:ind w:firstLine="0"/>
            </w:pPr>
            <w:r>
              <w:rPr>
                <w:rFonts w:hint="eastAsia"/>
                <w:b/>
                <w:bCs/>
              </w:rPr>
              <w:t>风险跟踪和报告机制</w:t>
            </w:r>
          </w:p>
        </w:tc>
        <w:tc>
          <w:tcPr>
            <w:tcW w:w="6157" w:type="dxa"/>
            <w:vAlign w:val="center"/>
          </w:tcPr>
          <w:p w14:paraId="291459ED" w14:textId="77777777" w:rsidR="00C82B95" w:rsidRDefault="009F6984">
            <w:pPr>
              <w:pStyle w:val="a3"/>
              <w:rPr>
                <w:bCs/>
              </w:rPr>
            </w:pPr>
            <w:r>
              <w:rPr>
                <w:rFonts w:hint="eastAsia"/>
                <w:bCs/>
              </w:rPr>
              <w:t>风险跟踪机制：每周跟踪风险触发器状态。</w:t>
            </w:r>
          </w:p>
          <w:p w14:paraId="0CCA9D70" w14:textId="77777777" w:rsidR="00C82B95" w:rsidRDefault="009F6984">
            <w:pPr>
              <w:pStyle w:val="a3"/>
              <w:rPr>
                <w:bCs/>
              </w:rPr>
            </w:pPr>
            <w:r>
              <w:rPr>
                <w:rFonts w:hint="eastAsia"/>
                <w:bCs/>
              </w:rPr>
              <w:t>在项目范围发生变化、项目关键指标出现问题时，重新评估风险。</w:t>
            </w:r>
          </w:p>
          <w:p w14:paraId="540677FA" w14:textId="77777777" w:rsidR="00C82B95" w:rsidRDefault="009F6984">
            <w:pPr>
              <w:pStyle w:val="a3"/>
            </w:pPr>
            <w:r>
              <w:rPr>
                <w:rFonts w:hint="eastAsia"/>
                <w:bCs/>
              </w:rPr>
              <w:t>报告机制：项目周报中报告，里程碑处报告</w:t>
            </w:r>
          </w:p>
        </w:tc>
      </w:tr>
    </w:tbl>
    <w:p w14:paraId="7B305017" w14:textId="77777777" w:rsidR="00C82B95" w:rsidRDefault="009F6984">
      <w:pPr>
        <w:pStyle w:val="1"/>
      </w:pPr>
      <w:bookmarkStart w:id="14" w:name="_Toc25057280"/>
      <w:r>
        <w:rPr>
          <w:rFonts w:hint="eastAsia"/>
        </w:rPr>
        <w:t>项目风险管理进度安排</w:t>
      </w:r>
      <w:bookmarkEnd w:id="14"/>
    </w:p>
    <w:tbl>
      <w:tblPr>
        <w:tblW w:w="79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163"/>
        <w:gridCol w:w="1163"/>
        <w:gridCol w:w="1163"/>
        <w:gridCol w:w="2148"/>
      </w:tblGrid>
      <w:tr w:rsidR="00C82B95" w14:paraId="44C8CB34" w14:textId="77777777">
        <w:trPr>
          <w:trHeight w:val="285"/>
          <w:jc w:val="center"/>
        </w:trPr>
        <w:tc>
          <w:tcPr>
            <w:tcW w:w="228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99"/>
            <w:vAlign w:val="center"/>
          </w:tcPr>
          <w:p w14:paraId="077D81BD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4"/>
                <w:szCs w:val="24"/>
              </w:rPr>
              <w:t>任务</w:t>
            </w:r>
          </w:p>
        </w:tc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99"/>
            <w:vAlign w:val="center"/>
          </w:tcPr>
          <w:p w14:paraId="74E6DB0A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4"/>
                <w:szCs w:val="24"/>
              </w:rPr>
              <w:t>开始</w:t>
            </w:r>
          </w:p>
        </w:tc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99"/>
            <w:noWrap/>
            <w:vAlign w:val="center"/>
          </w:tcPr>
          <w:p w14:paraId="576E155A" w14:textId="77777777" w:rsidR="00C82B95" w:rsidRDefault="009F6984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结束</w:t>
            </w:r>
          </w:p>
        </w:tc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99"/>
            <w:noWrap/>
            <w:vAlign w:val="center"/>
          </w:tcPr>
          <w:p w14:paraId="35360E50" w14:textId="77777777" w:rsidR="00C82B95" w:rsidRDefault="009F6984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21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99"/>
            <w:noWrap/>
            <w:vAlign w:val="center"/>
          </w:tcPr>
          <w:p w14:paraId="75CFED20" w14:textId="77777777" w:rsidR="00C82B95" w:rsidRDefault="009F6984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C82B95" w14:paraId="4A2F2F08" w14:textId="77777777">
        <w:trPr>
          <w:trHeight w:val="285"/>
          <w:jc w:val="center"/>
        </w:trPr>
        <w:tc>
          <w:tcPr>
            <w:tcW w:w="2286" w:type="dxa"/>
            <w:tcBorders>
              <w:top w:val="single" w:sz="6" w:space="0" w:color="000000"/>
            </w:tcBorders>
            <w:shd w:val="clear" w:color="auto" w:fill="FFCC99"/>
            <w:noWrap/>
            <w:vAlign w:val="center"/>
          </w:tcPr>
          <w:p w14:paraId="662856FD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color w:val="0000FF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成立风险管理小组</w:t>
            </w:r>
          </w:p>
        </w:tc>
        <w:tc>
          <w:tcPr>
            <w:tcW w:w="116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349E2498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2019.11.1</w:t>
            </w:r>
          </w:p>
        </w:tc>
        <w:tc>
          <w:tcPr>
            <w:tcW w:w="1163" w:type="dxa"/>
            <w:tcBorders>
              <w:top w:val="single" w:sz="6" w:space="0" w:color="000000"/>
            </w:tcBorders>
            <w:shd w:val="clear" w:color="auto" w:fill="auto"/>
            <w:noWrap/>
            <w:vAlign w:val="center"/>
          </w:tcPr>
          <w:p w14:paraId="31EE9849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2019.11.3</w:t>
            </w:r>
          </w:p>
        </w:tc>
        <w:tc>
          <w:tcPr>
            <w:tcW w:w="1163" w:type="dxa"/>
            <w:tcBorders>
              <w:top w:val="single" w:sz="6" w:space="0" w:color="000000"/>
            </w:tcBorders>
            <w:shd w:val="clear" w:color="auto" w:fill="auto"/>
            <w:noWrap/>
            <w:vAlign w:val="center"/>
          </w:tcPr>
          <w:p w14:paraId="295503C9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田丰瑞</w:t>
            </w:r>
          </w:p>
        </w:tc>
        <w:tc>
          <w:tcPr>
            <w:tcW w:w="2148" w:type="dxa"/>
            <w:tcBorders>
              <w:top w:val="single" w:sz="6" w:space="0" w:color="000000"/>
            </w:tcBorders>
            <w:shd w:val="clear" w:color="auto" w:fill="auto"/>
            <w:noWrap/>
            <w:vAlign w:val="center"/>
          </w:tcPr>
          <w:p w14:paraId="3D7EF2A3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确定了风险管理小组成员</w:t>
            </w:r>
          </w:p>
        </w:tc>
      </w:tr>
      <w:tr w:rsidR="00C82B95" w14:paraId="6B5FEE84" w14:textId="77777777">
        <w:trPr>
          <w:trHeight w:val="285"/>
          <w:jc w:val="center"/>
        </w:trPr>
        <w:tc>
          <w:tcPr>
            <w:tcW w:w="2286" w:type="dxa"/>
            <w:shd w:val="clear" w:color="auto" w:fill="FFCC99"/>
            <w:noWrap/>
            <w:vAlign w:val="center"/>
          </w:tcPr>
          <w:p w14:paraId="0F2C1B41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定义风险管理表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2A1E3BD2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2019.11.4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64E9AB66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6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73614629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傅宋嘉</w:t>
            </w:r>
            <w:proofErr w:type="gramStart"/>
            <w:r>
              <w:rPr>
                <w:rFonts w:ascii="宋体" w:hAnsi="宋体" w:cs="宋体" w:hint="eastAsia"/>
                <w:iCs/>
                <w:sz w:val="18"/>
                <w:szCs w:val="18"/>
              </w:rPr>
              <w:t>岷</w:t>
            </w:r>
            <w:proofErr w:type="gramEnd"/>
          </w:p>
        </w:tc>
        <w:tc>
          <w:tcPr>
            <w:tcW w:w="2148" w:type="dxa"/>
            <w:shd w:val="clear" w:color="auto" w:fill="auto"/>
            <w:noWrap/>
            <w:vAlign w:val="center"/>
          </w:tcPr>
          <w:p w14:paraId="75CD987D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结合我们项目的具体情况，编制了风险管理表</w:t>
            </w:r>
          </w:p>
        </w:tc>
      </w:tr>
      <w:tr w:rsidR="00C82B95" w14:paraId="68367259" w14:textId="77777777">
        <w:trPr>
          <w:trHeight w:val="285"/>
          <w:jc w:val="center"/>
        </w:trPr>
        <w:tc>
          <w:tcPr>
            <w:tcW w:w="2286" w:type="dxa"/>
            <w:shd w:val="clear" w:color="auto" w:fill="FFCC99"/>
            <w:noWrap/>
            <w:vAlign w:val="center"/>
          </w:tcPr>
          <w:p w14:paraId="5A4E2893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识别和收集风险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轮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3777B87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7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19CAA1A4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0DA7E1E1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傅宋嘉</w:t>
            </w:r>
            <w:proofErr w:type="gramStart"/>
            <w:r>
              <w:rPr>
                <w:rFonts w:ascii="宋体" w:hAnsi="宋体" w:cs="宋体" w:hint="eastAsia"/>
                <w:iCs/>
                <w:sz w:val="18"/>
                <w:szCs w:val="18"/>
              </w:rPr>
              <w:t>岷</w:t>
            </w:r>
            <w:proofErr w:type="gramEnd"/>
          </w:p>
        </w:tc>
        <w:tc>
          <w:tcPr>
            <w:tcW w:w="2148" w:type="dxa"/>
            <w:shd w:val="clear" w:color="auto" w:fill="auto"/>
            <w:noWrap/>
            <w:vAlign w:val="center"/>
          </w:tcPr>
          <w:p w14:paraId="7C912B48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通过小组成员头脑风暴，搜集了项目启动阶段可预料的风险。</w:t>
            </w:r>
          </w:p>
        </w:tc>
      </w:tr>
      <w:tr w:rsidR="00C82B95" w14:paraId="03F0E892" w14:textId="77777777">
        <w:trPr>
          <w:trHeight w:val="285"/>
          <w:jc w:val="center"/>
        </w:trPr>
        <w:tc>
          <w:tcPr>
            <w:tcW w:w="2286" w:type="dxa"/>
            <w:shd w:val="clear" w:color="auto" w:fill="FFCC99"/>
            <w:noWrap/>
            <w:vAlign w:val="center"/>
          </w:tcPr>
          <w:p w14:paraId="0BCDB0A7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分析和评估风险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轮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CFEB4DB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026D2CA0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14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31559B5E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iCs/>
                <w:sz w:val="18"/>
                <w:szCs w:val="18"/>
              </w:rPr>
              <w:t>李朝龙</w:t>
            </w:r>
            <w:proofErr w:type="gramEnd"/>
          </w:p>
        </w:tc>
        <w:tc>
          <w:tcPr>
            <w:tcW w:w="2148" w:type="dxa"/>
            <w:shd w:val="clear" w:color="auto" w:fill="auto"/>
            <w:noWrap/>
            <w:vAlign w:val="center"/>
          </w:tcPr>
          <w:p w14:paraId="3C362331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对已经识别到的风险进行了分析以及评估</w:t>
            </w:r>
          </w:p>
        </w:tc>
      </w:tr>
      <w:tr w:rsidR="00C82B95" w14:paraId="5D7E401B" w14:textId="77777777">
        <w:trPr>
          <w:trHeight w:val="285"/>
          <w:jc w:val="center"/>
        </w:trPr>
        <w:tc>
          <w:tcPr>
            <w:tcW w:w="2286" w:type="dxa"/>
            <w:shd w:val="clear" w:color="auto" w:fill="FFCC99"/>
            <w:noWrap/>
            <w:vAlign w:val="center"/>
          </w:tcPr>
          <w:p w14:paraId="4C16CD61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识别和收集风险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轮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1D1DFC0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2019.11.2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（预计）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0B81969B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/>
                <w:iCs/>
                <w:sz w:val="18"/>
                <w:szCs w:val="18"/>
              </w:rPr>
              <w:t>……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057B6139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/>
                <w:iCs/>
                <w:sz w:val="18"/>
                <w:szCs w:val="18"/>
              </w:rPr>
              <w:t>……</w:t>
            </w:r>
          </w:p>
        </w:tc>
        <w:tc>
          <w:tcPr>
            <w:tcW w:w="2148" w:type="dxa"/>
            <w:shd w:val="clear" w:color="auto" w:fill="auto"/>
            <w:noWrap/>
            <w:vAlign w:val="center"/>
          </w:tcPr>
          <w:p w14:paraId="694D81ED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/>
                <w:iCs/>
                <w:sz w:val="18"/>
                <w:szCs w:val="18"/>
              </w:rPr>
              <w:t>……</w:t>
            </w:r>
          </w:p>
        </w:tc>
      </w:tr>
      <w:tr w:rsidR="00C82B95" w14:paraId="68519457" w14:textId="77777777">
        <w:trPr>
          <w:trHeight w:val="285"/>
          <w:jc w:val="center"/>
        </w:trPr>
        <w:tc>
          <w:tcPr>
            <w:tcW w:w="2286" w:type="dxa"/>
            <w:shd w:val="clear" w:color="auto" w:fill="FFCC99"/>
            <w:noWrap/>
            <w:vAlign w:val="center"/>
          </w:tcPr>
          <w:p w14:paraId="4F6E31EF" w14:textId="77777777" w:rsidR="00C82B95" w:rsidRDefault="009F6984">
            <w:pPr>
              <w:rPr>
                <w:rFonts w:ascii="宋体" w:hAnsi="宋体" w:cs="宋体"/>
                <w:b/>
                <w:bCs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分析和评估风险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iCs/>
                <w:sz w:val="18"/>
                <w:szCs w:val="18"/>
              </w:rPr>
              <w:t>轮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17E8DC4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sz w:val="18"/>
                <w:szCs w:val="18"/>
              </w:rPr>
              <w:t>2019.11.2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iCs/>
                <w:sz w:val="18"/>
                <w:szCs w:val="18"/>
              </w:rPr>
              <w:t>（预计）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7F118046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/>
                <w:iCs/>
                <w:sz w:val="18"/>
                <w:szCs w:val="18"/>
              </w:rPr>
              <w:t>……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14:paraId="5D730918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/>
                <w:iCs/>
                <w:sz w:val="18"/>
                <w:szCs w:val="18"/>
              </w:rPr>
              <w:t>……</w:t>
            </w:r>
          </w:p>
        </w:tc>
        <w:tc>
          <w:tcPr>
            <w:tcW w:w="2148" w:type="dxa"/>
            <w:shd w:val="clear" w:color="auto" w:fill="auto"/>
            <w:noWrap/>
            <w:vAlign w:val="center"/>
          </w:tcPr>
          <w:p w14:paraId="2130CDBD" w14:textId="77777777" w:rsidR="00C82B95" w:rsidRDefault="009F6984">
            <w:pPr>
              <w:rPr>
                <w:rFonts w:ascii="宋体" w:hAnsi="宋体" w:cs="宋体"/>
                <w:iCs/>
                <w:sz w:val="18"/>
                <w:szCs w:val="18"/>
              </w:rPr>
            </w:pPr>
            <w:r>
              <w:rPr>
                <w:rFonts w:ascii="宋体" w:hAnsi="宋体" w:cs="宋体"/>
                <w:iCs/>
                <w:sz w:val="18"/>
                <w:szCs w:val="18"/>
              </w:rPr>
              <w:t>……</w:t>
            </w:r>
          </w:p>
        </w:tc>
        <w:bookmarkStart w:id="15" w:name="_GoBack"/>
        <w:bookmarkEnd w:id="15"/>
      </w:tr>
    </w:tbl>
    <w:p w14:paraId="1CB4AECA" w14:textId="77777777" w:rsidR="00C82B95" w:rsidRDefault="00C82B95" w:rsidP="00AE35CA">
      <w:pPr>
        <w:rPr>
          <w:rFonts w:hint="eastAsia"/>
        </w:rPr>
      </w:pPr>
    </w:p>
    <w:sectPr w:rsidR="00C82B9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538A" w14:textId="77777777" w:rsidR="009F6984" w:rsidRDefault="009F6984">
      <w:pPr>
        <w:spacing w:after="0" w:line="240" w:lineRule="auto"/>
      </w:pPr>
      <w:r>
        <w:separator/>
      </w:r>
    </w:p>
  </w:endnote>
  <w:endnote w:type="continuationSeparator" w:id="0">
    <w:p w14:paraId="19F0793D" w14:textId="77777777" w:rsidR="009F6984" w:rsidRDefault="009F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微软雅黑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153287"/>
      <w:docPartObj>
        <w:docPartGallery w:val="AutoText"/>
      </w:docPartObj>
    </w:sdtPr>
    <w:sdtEndPr/>
    <w:sdtContent>
      <w:sdt>
        <w:sdtPr>
          <w:id w:val="-1769616900"/>
          <w:docPartObj>
            <w:docPartGallery w:val="AutoText"/>
          </w:docPartObj>
        </w:sdtPr>
        <w:sdtEndPr/>
        <w:sdtContent>
          <w:p w14:paraId="5CC8421E" w14:textId="77777777" w:rsidR="00C82B95" w:rsidRDefault="009F6984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3FE65" w14:textId="77777777" w:rsidR="009F6984" w:rsidRDefault="009F6984">
      <w:pPr>
        <w:spacing w:after="0" w:line="240" w:lineRule="auto"/>
      </w:pPr>
      <w:r>
        <w:separator/>
      </w:r>
    </w:p>
  </w:footnote>
  <w:footnote w:type="continuationSeparator" w:id="0">
    <w:p w14:paraId="1750CEB5" w14:textId="77777777" w:rsidR="009F6984" w:rsidRDefault="009F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99ED0" w14:textId="77777777" w:rsidR="00C82B95" w:rsidRDefault="009F6984">
    <w:pPr>
      <w:pStyle w:val="a9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46C2BD17" wp14:editId="37DCEC5B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6217"/>
    <w:multiLevelType w:val="multilevel"/>
    <w:tmpl w:val="08CD621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93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0E0C2E"/>
    <w:multiLevelType w:val="multilevel"/>
    <w:tmpl w:val="350E0C2E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  <w:color w:val="auto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3F"/>
    <w:rsid w:val="0000348A"/>
    <w:rsid w:val="00012CF5"/>
    <w:rsid w:val="00013C0B"/>
    <w:rsid w:val="00013C22"/>
    <w:rsid w:val="00040F3F"/>
    <w:rsid w:val="0004503E"/>
    <w:rsid w:val="00052FB8"/>
    <w:rsid w:val="00061C35"/>
    <w:rsid w:val="00081D37"/>
    <w:rsid w:val="000850D8"/>
    <w:rsid w:val="000A5890"/>
    <w:rsid w:val="000A5D87"/>
    <w:rsid w:val="000B3401"/>
    <w:rsid w:val="000D6298"/>
    <w:rsid w:val="000E11A9"/>
    <w:rsid w:val="000F2350"/>
    <w:rsid w:val="00131676"/>
    <w:rsid w:val="001332C5"/>
    <w:rsid w:val="00147A30"/>
    <w:rsid w:val="00152FFA"/>
    <w:rsid w:val="00164F56"/>
    <w:rsid w:val="00187A0A"/>
    <w:rsid w:val="001C1A65"/>
    <w:rsid w:val="001F44B7"/>
    <w:rsid w:val="00237042"/>
    <w:rsid w:val="002405CA"/>
    <w:rsid w:val="00242723"/>
    <w:rsid w:val="00250440"/>
    <w:rsid w:val="002A0D53"/>
    <w:rsid w:val="00300B86"/>
    <w:rsid w:val="00316C0D"/>
    <w:rsid w:val="00354EFA"/>
    <w:rsid w:val="003A374E"/>
    <w:rsid w:val="003A79BD"/>
    <w:rsid w:val="003B3D81"/>
    <w:rsid w:val="003E32F6"/>
    <w:rsid w:val="00441EBC"/>
    <w:rsid w:val="00454C7D"/>
    <w:rsid w:val="00462CB4"/>
    <w:rsid w:val="00481873"/>
    <w:rsid w:val="00497630"/>
    <w:rsid w:val="00516CB1"/>
    <w:rsid w:val="00533BD3"/>
    <w:rsid w:val="00580157"/>
    <w:rsid w:val="005A1AA0"/>
    <w:rsid w:val="005B6129"/>
    <w:rsid w:val="006076E8"/>
    <w:rsid w:val="0061041F"/>
    <w:rsid w:val="0061679D"/>
    <w:rsid w:val="00623802"/>
    <w:rsid w:val="00661B89"/>
    <w:rsid w:val="006644D6"/>
    <w:rsid w:val="00671B3E"/>
    <w:rsid w:val="00686F00"/>
    <w:rsid w:val="00767939"/>
    <w:rsid w:val="0077247F"/>
    <w:rsid w:val="007B4862"/>
    <w:rsid w:val="007C5D9E"/>
    <w:rsid w:val="007D51F0"/>
    <w:rsid w:val="007F2912"/>
    <w:rsid w:val="00826503"/>
    <w:rsid w:val="00851BBF"/>
    <w:rsid w:val="00853902"/>
    <w:rsid w:val="00853FBC"/>
    <w:rsid w:val="0086724A"/>
    <w:rsid w:val="00867CBE"/>
    <w:rsid w:val="00873B08"/>
    <w:rsid w:val="00892455"/>
    <w:rsid w:val="008E724A"/>
    <w:rsid w:val="00923ABE"/>
    <w:rsid w:val="009D43F1"/>
    <w:rsid w:val="009E2034"/>
    <w:rsid w:val="009F6984"/>
    <w:rsid w:val="00A0759B"/>
    <w:rsid w:val="00A53D3A"/>
    <w:rsid w:val="00A65FE8"/>
    <w:rsid w:val="00A8734E"/>
    <w:rsid w:val="00A96CE5"/>
    <w:rsid w:val="00AE35CA"/>
    <w:rsid w:val="00B477B1"/>
    <w:rsid w:val="00B626FC"/>
    <w:rsid w:val="00B6434F"/>
    <w:rsid w:val="00BD2126"/>
    <w:rsid w:val="00BE70C7"/>
    <w:rsid w:val="00BF4780"/>
    <w:rsid w:val="00C01931"/>
    <w:rsid w:val="00C15139"/>
    <w:rsid w:val="00C248C6"/>
    <w:rsid w:val="00C62AD4"/>
    <w:rsid w:val="00C6345F"/>
    <w:rsid w:val="00C82B95"/>
    <w:rsid w:val="00CE4EA7"/>
    <w:rsid w:val="00D107F3"/>
    <w:rsid w:val="00D27BC7"/>
    <w:rsid w:val="00D63A8A"/>
    <w:rsid w:val="00D806B2"/>
    <w:rsid w:val="00D84CFD"/>
    <w:rsid w:val="00DA031C"/>
    <w:rsid w:val="00DB65C4"/>
    <w:rsid w:val="00DB7968"/>
    <w:rsid w:val="00E10ACD"/>
    <w:rsid w:val="00E12071"/>
    <w:rsid w:val="00E45C3C"/>
    <w:rsid w:val="00E52633"/>
    <w:rsid w:val="00E714D5"/>
    <w:rsid w:val="00EB34D7"/>
    <w:rsid w:val="00EC6B2A"/>
    <w:rsid w:val="00F10EA6"/>
    <w:rsid w:val="00F52AFA"/>
    <w:rsid w:val="00F62451"/>
    <w:rsid w:val="00F66DA3"/>
    <w:rsid w:val="00F76E9A"/>
    <w:rsid w:val="00FA084D"/>
    <w:rsid w:val="2A5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302C08"/>
  <w15:docId w15:val="{E3283C3D-37A5-47E1-85DD-CFA263BE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宋体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 w:val="0"/>
      <w:spacing w:after="0" w:line="240" w:lineRule="auto"/>
      <w:ind w:firstLine="420"/>
      <w:jc w:val="both"/>
    </w:pPr>
    <w:rPr>
      <w:rFonts w:cs="Times New Roman"/>
      <w:kern w:val="2"/>
      <w:sz w:val="21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b">
    <w:name w:val="Subtitle"/>
    <w:basedOn w:val="a"/>
    <w:next w:val="a"/>
    <w:link w:val="ac"/>
    <w:uiPriority w:val="11"/>
    <w:qFormat/>
    <w:rPr>
      <w:rFonts w:ascii="Rockwell" w:eastAsia="方正小标宋简体" w:hAnsi="Rockwell"/>
      <w:color w:val="595959" w:themeColor="text1" w:themeTint="A6"/>
      <w:spacing w:val="10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Pr>
      <w:i/>
      <w:iCs/>
      <w:color w:val="auto"/>
    </w:rPr>
  </w:style>
  <w:style w:type="character" w:styleId="af2">
    <w:name w:val="Hyperlink"/>
    <w:basedOn w:val="a0"/>
    <w:uiPriority w:val="99"/>
    <w:unhideWhenUsed/>
    <w:rPr>
      <w:color w:val="0000FF"/>
      <w:u w:val="single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4">
    <w:name w:val="No Spacing"/>
    <w:link w:val="af5"/>
    <w:uiPriority w:val="1"/>
    <w:qFormat/>
    <w:rPr>
      <w:sz w:val="22"/>
      <w:szCs w:val="22"/>
    </w:rPr>
  </w:style>
  <w:style w:type="character" w:customStyle="1" w:styleId="af5">
    <w:name w:val="无间隔 字符"/>
    <w:basedOn w:val="a0"/>
    <w:link w:val="af4"/>
    <w:uiPriority w:val="1"/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6">
    <w:name w:val="邀请函样式"/>
    <w:basedOn w:val="a"/>
    <w:link w:val="af7"/>
    <w:qFormat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7">
    <w:name w:val="邀请函样式 字符"/>
    <w:basedOn w:val="a0"/>
    <w:link w:val="af6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标题 字符"/>
    <w:basedOn w:val="a0"/>
    <w:link w:val="ad"/>
    <w:uiPriority w:val="1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c">
    <w:name w:val="副标题 字符"/>
    <w:basedOn w:val="a0"/>
    <w:link w:val="ab"/>
    <w:uiPriority w:val="11"/>
    <w:rPr>
      <w:rFonts w:ascii="Rockwell" w:eastAsia="方正小标宋简体" w:hAnsi="Rockwell"/>
      <w:color w:val="595959" w:themeColor="text1" w:themeTint="A6"/>
      <w:spacing w:val="10"/>
    </w:rPr>
  </w:style>
  <w:style w:type="paragraph" w:styleId="af8">
    <w:name w:val="Quote"/>
    <w:basedOn w:val="a"/>
    <w:next w:val="a"/>
    <w:link w:val="af9"/>
    <w:uiPriority w:val="29"/>
    <w:qFormat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9">
    <w:name w:val="引用 字符"/>
    <w:basedOn w:val="a0"/>
    <w:link w:val="af8"/>
    <w:uiPriority w:val="29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b">
    <w:name w:val="明显引用 字符"/>
    <w:basedOn w:val="a0"/>
    <w:link w:val="afa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uiPriority w:val="33"/>
    <w:qFormat/>
    <w:rPr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5-51">
    <w:name w:val="网格表 5 深色 - 着色 51"/>
    <w:basedOn w:val="a1"/>
    <w:uiPriority w:val="50"/>
    <w:pPr>
      <w:spacing w:before="100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lid-translation">
    <w:name w:val="tlid-translatio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r\Desktop\&#31378;&#24687;&#39033;&#30446;&#31649;&#2970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5300B6-8BBF-4A93-A99E-4DAAF581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窒息项目管理模板.dotx</Template>
  <TotalTime>1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田丰瑞</dc:creator>
  <cp:lastModifiedBy>田 丰瑞</cp:lastModifiedBy>
  <cp:revision>4</cp:revision>
  <cp:lastPrinted>2019-11-19T13:55:00Z</cp:lastPrinted>
  <dcterms:created xsi:type="dcterms:W3CDTF">2019-11-19T13:55:00Z</dcterms:created>
  <dcterms:modified xsi:type="dcterms:W3CDTF">2019-11-19T13:55:00Z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