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C73670">
      <w:pPr>
        <w:pStyle w:val="31"/>
      </w:pPr>
    </w:p>
    <w:p w14:paraId="146F78BE">
      <w:pPr>
        <w:pStyle w:val="23"/>
      </w:pPr>
      <w:r>
        <w:rPr>
          <w:rFonts w:ascii="Times New Roman" w:hAnsi="Times New Roman" w:eastAsia="黑体"/>
          <w:sz w:val="40"/>
        </w:rPr>
        <w:t>LEDS：面向社会信息传播的可重放事件驱动LLM多智能体仿真协议</w:t>
      </w:r>
    </w:p>
    <w:p w14:paraId="0D8F5A26">
      <w:pPr>
        <w:pStyle w:val="32"/>
      </w:pPr>
      <w:r>
        <w:rPr>
          <w:rFonts w:ascii="Times New Roman" w:hAnsi="Times New Roman" w:eastAsia="宋体"/>
          <w:color w:val="C00000"/>
          <w:sz w:val="22"/>
        </w:rPr>
        <w:t>作者姓名1，作者姓名2*</w:t>
      </w:r>
    </w:p>
    <w:p w14:paraId="1DFB4E21">
      <w:pPr>
        <w:pStyle w:val="33"/>
      </w:pPr>
      <w:r>
        <w:rPr>
          <w:rFonts w:ascii="Times New Roman" w:hAnsi="Times New Roman" w:eastAsia="宋体"/>
          <w:color w:val="C00000"/>
          <w:sz w:val="18"/>
        </w:rPr>
        <w:t>（作者单位、城市及邮编待补充）</w:t>
      </w:r>
    </w:p>
    <w:p w14:paraId="509CEF73">
      <w:pPr>
        <w:pStyle w:val="37"/>
      </w:pPr>
      <w:r>
        <w:t>摘  要  针对云端LLM社会仿真难以复核的问题，提出可重放事件驱动协议LEDS。该协议将传播建模为有限类型化事件转移过程，采用固定调度、新颖事件过滤和判定记录映射实现轨迹回放。实验显示，零温度独立运行仍有4.7个百分点渗透率极差和最高21.0%节点状态差异，记录回放Hamming距离为0；事件驱动将判定次数由2400次降至701次。结果表明，LLM社会仿真需区分记录级可重放性、统计可复现性与经验有效性。</w:t>
      </w:r>
    </w:p>
    <w:p w14:paraId="2AAB8450">
      <w:pPr>
        <w:pStyle w:val="41"/>
      </w:pPr>
      <w:r>
        <w:rPr>
          <w:rFonts w:ascii="Times New Roman" w:hAnsi="Times New Roman" w:eastAsia="宋体"/>
          <w:b/>
          <w:sz w:val="18"/>
        </w:rPr>
        <w:t xml:space="preserve">关键词  </w:t>
      </w:r>
      <w:r>
        <w:rPr>
          <w:rFonts w:ascii="Times New Roman" w:hAnsi="Times New Roman" w:eastAsia="宋体"/>
          <w:sz w:val="18"/>
        </w:rPr>
        <w:t>大型语言模型，多智能体仿真，可重放性，事件驱动仿真，复杂网络，虚假信息干预</w:t>
      </w:r>
    </w:p>
    <w:p w14:paraId="6D7C8B65">
      <w:pPr>
        <w:pStyle w:val="42"/>
      </w:pPr>
      <w:r>
        <w:rPr>
          <w:rFonts w:ascii="Times New Roman" w:hAnsi="Times New Roman" w:eastAsia="宋体"/>
          <w:b/>
          <w:sz w:val="18"/>
        </w:rPr>
        <w:t xml:space="preserve">引用格式  </w:t>
      </w:r>
      <w:r>
        <w:rPr>
          <w:rFonts w:ascii="Times New Roman" w:hAnsi="Times New Roman" w:eastAsia="宋体"/>
          <w:color w:val="C00000"/>
          <w:sz w:val="18"/>
        </w:rPr>
        <w:t>作者姓名1, 作者姓名2. LEDS：面向社会信息传播的可重放事件驱动LLM多智能体仿真协议[J]. 指挥与控制学报, 年, 卷(期): 页码</w:t>
      </w:r>
    </w:p>
    <w:p w14:paraId="60B6E87E">
      <w:pPr>
        <w:pStyle w:val="42"/>
      </w:pPr>
      <w:r>
        <w:rPr>
          <w:rFonts w:ascii="Times New Roman" w:hAnsi="Times New Roman" w:eastAsia="宋体"/>
          <w:b/>
          <w:sz w:val="18"/>
        </w:rPr>
        <w:t xml:space="preserve">DOI  </w:t>
      </w:r>
      <w:r>
        <w:rPr>
          <w:rFonts w:ascii="Times New Roman" w:hAnsi="Times New Roman" w:eastAsia="宋体"/>
          <w:color w:val="C00000"/>
          <w:sz w:val="18"/>
        </w:rPr>
        <w:t>[编辑部填写]</w:t>
      </w:r>
    </w:p>
    <w:p w14:paraId="63E57FF1">
      <w:pPr>
        <w:pStyle w:val="42"/>
      </w:pPr>
      <w:r>
        <w:rPr>
          <w:rFonts w:ascii="Times New Roman" w:hAnsi="Times New Roman" w:eastAsia="宋体"/>
          <w:b/>
          <w:sz w:val="18"/>
        </w:rPr>
        <w:t>开放科学计划（OSID）标识码：</w:t>
      </w:r>
      <w:r>
        <w:rPr>
          <w:rFonts w:ascii="Times New Roman" w:hAnsi="Times New Roman" w:eastAsia="宋体"/>
          <w:color w:val="C00000"/>
          <w:sz w:val="18"/>
        </w:rPr>
        <w:t>[投稿后按期刊要求补充]</w:t>
      </w:r>
    </w:p>
    <w:p w14:paraId="14AC2FDA">
      <w:pPr>
        <w:pStyle w:val="34"/>
      </w:pPr>
      <w:r>
        <w:rPr>
          <w:rFonts w:ascii="Times New Roman" w:hAnsi="Times New Roman" w:eastAsia="宋体"/>
          <w:b/>
          <w:sz w:val="26"/>
        </w:rPr>
        <w:t>LEDS: A Replayable Event-Driven LLM Multi-Agent Simulation Protocol for Social Information Diffusion</w:t>
      </w:r>
    </w:p>
    <w:p w14:paraId="0C45041C">
      <w:pPr>
        <w:pStyle w:val="35"/>
      </w:pPr>
      <w:r>
        <w:rPr>
          <w:rFonts w:ascii="Times New Roman" w:hAnsi="Times New Roman" w:eastAsia="宋体"/>
          <w:color w:val="C00000"/>
          <w:sz w:val="21"/>
        </w:rPr>
        <w:t>AUTHOR 1, AUTHOR 2*</w:t>
      </w:r>
    </w:p>
    <w:p w14:paraId="55E05BA5">
      <w:pPr>
        <w:pStyle w:val="36"/>
      </w:pPr>
      <w:r>
        <w:rPr>
          <w:rFonts w:ascii="Times New Roman" w:hAnsi="Times New Roman" w:eastAsia="宋体"/>
          <w:color w:val="C00000"/>
          <w:sz w:val="18"/>
        </w:rPr>
        <w:t>(Affiliation, City, Postal Code, China — to be completed)</w:t>
      </w:r>
    </w:p>
    <w:p w14:paraId="74B1B50E">
      <w:pPr>
        <w:pStyle w:val="40"/>
      </w:pPr>
      <w:r>
        <w:t>Abstract  A replayable event-driven protocol, LEDS, is proposed for auditable cloud-LLM social simulation. LEDS models diffusion as finite typed events, combines ordered scheduling, novelty filtering, and decision-record mapping, and separates replayability from statistical reproducibility. Experiments show 4.7 percentage-point run-to-run penetration variation and up to 21.0% node-state divergence at temperature 0, while record replay yields 0 Hamming distance; event-driven execution reduces decisions from 2,400 to 701.</w:t>
      </w:r>
    </w:p>
    <w:p w14:paraId="2EAC1620">
      <w:pPr>
        <w:pStyle w:val="39"/>
      </w:pPr>
      <w:r>
        <w:rPr>
          <w:rFonts w:ascii="Times New Roman" w:hAnsi="Times New Roman" w:eastAsia="宋体"/>
          <w:b/>
          <w:sz w:val="18"/>
        </w:rPr>
        <w:t xml:space="preserve">Key words  </w:t>
      </w:r>
      <w:r>
        <w:rPr>
          <w:rFonts w:ascii="Times New Roman" w:hAnsi="Times New Roman" w:eastAsia="宋体"/>
          <w:sz w:val="18"/>
        </w:rPr>
        <w:t>large language model, multi-agent simulation, replayability, event-driven simulation, complex network, misinformation intervention</w:t>
      </w:r>
    </w:p>
    <w:p w14:paraId="62769EF1">
      <w:pPr>
        <w:pStyle w:val="39"/>
        <w:sectPr>
          <w:headerReference r:id="rId5" w:type="first"/>
          <w:footerReference r:id="rId8" w:type="first"/>
          <w:headerReference r:id="rId3" w:type="default"/>
          <w:footerReference r:id="rId6" w:type="default"/>
          <w:headerReference r:id="rId4" w:type="even"/>
          <w:footerReference r:id="rId7" w:type="even"/>
          <w:pgSz w:w="11907" w:h="16840"/>
          <w:pgMar w:top="1134" w:right="1134" w:bottom="851" w:left="1134" w:header="1247" w:footer="720" w:gutter="0"/>
          <w:cols w:space="720" w:num="1"/>
          <w:titlePg/>
          <w:docGrid w:linePitch="326" w:charSpace="0"/>
        </w:sectPr>
      </w:pPr>
      <w:r>
        <w:rPr>
          <w:rFonts w:ascii="Times New Roman" w:hAnsi="Times New Roman" w:eastAsia="宋体"/>
          <w:b/>
          <w:sz w:val="18"/>
        </w:rPr>
        <w:t xml:space="preserve">Citation  </w:t>
      </w:r>
      <w:r>
        <w:rPr>
          <w:rFonts w:ascii="Times New Roman" w:hAnsi="Times New Roman" w:eastAsia="宋体"/>
          <w:color w:val="C00000"/>
          <w:sz w:val="18"/>
        </w:rPr>
        <w:t>AUTHOR 1, AUTHOR 2. LEDS: A replayable event-driven LLM multi-agent simulation protocol for social information diffusion[J]. Journal of Command and Control, year, volume(issue): pages</w:t>
      </w:r>
    </w:p>
    <w:p w14:paraId="2F84DFD4">
      <w:pPr>
        <w:pStyle w:val="43"/>
        <w:keepNext/>
        <w:pageBreakBefore w:val="0"/>
        <w:spacing w:before="160" w:after="80"/>
        <w:ind w:left="0" w:firstLine="0"/>
        <w:jc w:val="left"/>
      </w:pPr>
      <w:r>
        <w:rPr>
          <w:rFonts w:ascii="Times New Roman" w:hAnsi="Times New Roman" w:eastAsia="黑体"/>
          <w:b w:val="0"/>
          <w:sz w:val="28"/>
        </w:rPr>
        <w:t>1 引言</w:t>
      </w:r>
    </w:p>
    <w:p w14:paraId="178B9857">
      <w:pPr>
        <w:pStyle w:val="48"/>
        <w:widowControl/>
        <w:spacing w:before="0" w:after="0" w:line="269" w:lineRule="auto"/>
        <w:ind w:left="0" w:right="0" w:firstLine="420"/>
        <w:jc w:val="both"/>
      </w:pPr>
      <w:r>
        <w:rPr>
          <w:rFonts w:ascii="Times New Roman" w:hAnsi="Times New Roman" w:eastAsia="宋体"/>
          <w:sz w:val="21"/>
        </w:rPr>
        <w:t>探究信息与信念如何在复杂社会网络中扩散，是网络动力学与计算社会科学的核心命题 [1]。大型语言模型（Large Language Models, LLMs）在认知推理与零样本泛化上的突破 [2-3]，催生了基于 LLM 的多智能体仿真 [4-5]，使传统概率模型（如 SIR、Independent Cascade）无法描述的自然语言语义级说服过程成为可能。</w:t>
      </w:r>
    </w:p>
    <w:p w14:paraId="616010A7">
      <w:pPr>
        <w:pStyle w:val="48"/>
        <w:widowControl/>
        <w:spacing w:before="0" w:after="0" w:line="269" w:lineRule="auto"/>
        <w:ind w:left="0" w:right="0" w:firstLine="420"/>
        <w:jc w:val="both"/>
      </w:pPr>
      <w:r>
        <w:rPr>
          <w:rFonts w:ascii="Times New Roman" w:hAnsi="Times New Roman" w:eastAsia="宋体"/>
          <w:sz w:val="21"/>
        </w:rPr>
        <w:t>然而，近三年的研究焦点已由“LLM 智能体能否形成社会动力学”转向“仿真结果能否被验证、复核并迁移”。现有系统能够模拟意见演化、人格差异和影响扩散，但研究同时发现，模型偏差、人设敏感性、提示依赖和运行间波动会改变宏观结论 [6-11]。因此，降低采样温度只能减少显式采样噪声，不能替代协议层的版本固定、事件留痕、重复运行与区间估计。</w:t>
      </w:r>
    </w:p>
    <w:p w14:paraId="3D6BC8B6">
      <w:pPr>
        <w:pStyle w:val="48"/>
        <w:widowControl/>
        <w:spacing w:before="0" w:after="0" w:line="269" w:lineRule="auto"/>
        <w:ind w:left="0" w:right="0" w:firstLine="420"/>
        <w:jc w:val="both"/>
        <w:rPr>
          <w:lang w:eastAsia="zh-CN"/>
        </w:rPr>
      </w:pPr>
      <w:r>
        <w:rPr>
          <w:rFonts w:ascii="Times New Roman" w:hAnsi="Times New Roman" w:eastAsia="宋体"/>
          <w:sz w:val="21"/>
        </w:rPr>
        <w:t>本文据此提出如下核心命题：LLM 社会仿真的可信复核不应仅依赖解码参数，而应由协议级可重放机制与统计级重复运行共同保证。本文提出 LEDS，并围绕该命题形成三项贡献：</w:t>
      </w:r>
    </w:p>
    <w:p w14:paraId="6AFFB320">
      <w:pPr>
        <w:pStyle w:val="48"/>
        <w:widowControl/>
        <w:spacing w:before="0" w:after="0" w:line="269" w:lineRule="auto"/>
        <w:ind w:left="0" w:right="0" w:firstLine="420"/>
        <w:jc w:val="both"/>
        <w:rPr>
          <w:lang w:eastAsia="zh-CN"/>
        </w:rPr>
      </w:pPr>
      <w:r>
        <w:t>（1）提出 LLM 社交智能体仿真的双层可复现性定义与可重放事件建模方法。将社会信息传播形式化为有限状态、有限消息类型上的事件转移过程，明确区分固定判定记录条件下的轨迹可重放性、无缓存独立运行条件下的统计可复现性和面向真实社会行为的经验有效性，为云端 LLM 社会仿真实验的复核边界提供统一描述。</w:t>
      </w:r>
    </w:p>
    <w:p w14:paraId="6E87B7A0">
      <w:pPr>
        <w:pStyle w:val="48"/>
        <w:widowControl/>
        <w:spacing w:before="0" w:after="0" w:line="269" w:lineRule="auto"/>
        <w:ind w:left="0" w:right="0" w:firstLine="420"/>
        <w:jc w:val="both"/>
        <w:rPr>
          <w:lang w:eastAsia="zh-CN"/>
        </w:rPr>
      </w:pPr>
      <w:r>
        <w:t>（2）提出有序调度、新颖事件过滤和判定记录映射相结合的 LEDS 事件传播算法。算法仅调度收到新增消息的活跃节点，并对“发送节点—接收节点—消息类型”三元事件实施至多一次的传播约束；结合固定节点顺序、结构化状态转移和 Prompt/Response 记录，实现传播过程的逐事件审计，并给出轨迹唯一性、有限步终止条件与事件复杂度上界。</w:t>
      </w:r>
    </w:p>
    <w:p w14:paraId="679C6FA1">
      <w:pPr>
        <w:pStyle w:val="48"/>
        <w:widowControl/>
        <w:spacing w:before="0" w:after="0" w:line="269" w:lineRule="auto"/>
        <w:ind w:left="0" w:right="0" w:firstLine="420"/>
        <w:jc w:val="both"/>
        <w:rPr>
          <w:lang w:eastAsia="zh-CN"/>
        </w:rPr>
      </w:pPr>
      <w:r>
        <w:t>（3）建立面向运行不确定性与记录回放一致性的双层验证方法。通过无缓存独立运行量化宏观渗透率和微观节点状态的运行间差异，通过固定记录回放检验逐节点轨迹一致性，并在不同 LLM 后端、合成网络和真实社交网络上验证方法适用性。事实核查员空间部署作为应用案例，用于说明忽略运行间不确定性可能导致不稳健的干预结论。</w:t>
      </w:r>
    </w:p>
    <w:p w14:paraId="77737317">
      <w:pPr>
        <w:pStyle w:val="43"/>
        <w:keepNext/>
        <w:pageBreakBefore w:val="0"/>
        <w:spacing w:before="160" w:after="80"/>
        <w:ind w:left="0" w:firstLine="0"/>
        <w:jc w:val="left"/>
        <w:rPr>
          <w:lang w:eastAsia="zh-CN"/>
        </w:rPr>
      </w:pPr>
      <w:r>
        <w:rPr>
          <w:rFonts w:ascii="Times New Roman" w:hAnsi="Times New Roman" w:eastAsia="黑体"/>
          <w:b w:val="0"/>
          <w:sz w:val="28"/>
        </w:rPr>
        <w:t>2 研究现状</w:t>
      </w:r>
    </w:p>
    <w:p w14:paraId="23132002">
      <w:pPr>
        <w:pStyle w:val="48"/>
        <w:widowControl/>
        <w:spacing w:before="0" w:after="0" w:line="269" w:lineRule="auto"/>
        <w:ind w:left="0" w:right="0" w:firstLine="420"/>
        <w:jc w:val="both"/>
        <w:rPr>
          <w:lang w:eastAsia="zh-CN"/>
        </w:rPr>
      </w:pPr>
      <w:r>
        <w:rPr>
          <w:rFonts w:ascii="Times New Roman" w:hAnsi="Times New Roman" w:eastAsia="宋体"/>
          <w:sz w:val="21"/>
        </w:rPr>
        <w:t>传统传播模型以明确的转移概率和网络结构描述扩散过程：小世界网络的短路径特征 [12]、无标度网络中心节点的动力学作用 [13] 以及 SIR、Independent Cascade 等模型 [14-15] 均具有清晰的参数与重复运行机制。其局限并非“没有语义便必然低估传播”，而是难以直接表示同一信息在不同人设、上下文和辟谣暴露下产生的语义差异。LLM 判别器可补足这一表征能力，但同时引入模型偏差、提示敏感性和服务端不透明性。</w:t>
      </w:r>
    </w:p>
    <w:p w14:paraId="2FBFC0DF">
      <w:pPr>
        <w:pStyle w:val="48"/>
        <w:widowControl/>
        <w:spacing w:before="0" w:after="0" w:line="269" w:lineRule="auto"/>
        <w:ind w:left="0" w:right="0" w:firstLine="420"/>
        <w:jc w:val="both"/>
        <w:rPr>
          <w:lang w:eastAsia="zh-CN"/>
        </w:rPr>
      </w:pPr>
      <w:r>
        <w:rPr>
          <w:rFonts w:ascii="Times New Roman" w:hAnsi="Times New Roman" w:eastAsia="宋体"/>
          <w:sz w:val="21"/>
        </w:rPr>
        <w:t>2024 年的研究开始系统化 LLM 增强的智能体建模。Gao 等从 agent-based modeling and simulation 的视角总结了生成式智能体的建模流程与开放问题 [6]；Chuang 等以 LLM 智能体网络模拟意见动力学 [7]；Hu 和 Collier 量化了人设设定对仿真输出的影响 [8]；Qu 和 Wang 则揭示了 LLM 公共意见模拟中的群体与主题偏差 [9]。这些工作共同表明，语言模型可以丰富微观决策语义，但宏观涌现并不自动获得经验有效性。</w:t>
      </w:r>
    </w:p>
    <w:p w14:paraId="6A57042D">
      <w:pPr>
        <w:pStyle w:val="48"/>
        <w:widowControl/>
        <w:spacing w:before="0" w:after="0" w:line="269" w:lineRule="auto"/>
        <w:ind w:left="0" w:right="0" w:firstLine="420"/>
        <w:jc w:val="both"/>
        <w:rPr>
          <w:lang w:eastAsia="zh-CN"/>
        </w:rPr>
      </w:pPr>
      <w:r>
        <w:rPr>
          <w:rFonts w:ascii="Times New Roman" w:hAnsi="Times New Roman" w:eastAsia="宋体"/>
          <w:sz w:val="21"/>
        </w:rPr>
        <w:t>2025 年以后，研究进一步转向专门的扩散系统与验证框架。LLM-AIDSim 将 LLM 决策引入社会网络影响扩散 [10]；Larooij 和 Törnberg 的批判性综述将 validation 明确为生成式社会仿真的中心挑战 [11]。截至 2026 年，最新 LLM 综述也把智能体化、工具化与可靠性治理列为重要发展方向 [16]。与上述工作相比，LEDS 不以更自由的对话能力为目标，而聚焦一个较窄但可检验的问题：在云端判定内核不可完全控制时，如何同时提供（i）固定判定记录的逐事件回放，</w:t>
      </w:r>
      <w:r>
        <w:rPr>
          <w:rFonts w:ascii="Times New Roman" w:hAnsi="Times New Roman" w:eastAsia="宋体"/>
          <w:sz w:val="21"/>
          <w:lang w:eastAsia="zh-CN"/>
        </w:rPr>
        <w:t>(ii) 以事件驱动调度削减冗余评估；(iii) 系统量化事实核查员空间部署（中心 / 边缘 / 随机）的干预效能</w:t>
      </w:r>
      <w:r>
        <w:rPr>
          <w:rFonts w:ascii="Times New Roman" w:hAnsi="Times New Roman" w:eastAsia="宋体"/>
          <w:sz w:val="21"/>
        </w:rPr>
        <w:t>。该定位也限定了本文结论：LEDS 提升的是实验可核查性，而非对真实人类行为的效度证明。</w:t>
      </w:r>
    </w:p>
    <w:p w14:paraId="27481208">
      <w:pPr>
        <w:pStyle w:val="43"/>
        <w:keepNext/>
        <w:pageBreakBefore w:val="0"/>
        <w:spacing w:before="160" w:after="80"/>
        <w:ind w:left="0" w:firstLine="0"/>
        <w:jc w:val="left"/>
        <w:rPr>
          <w:rFonts w:ascii="Times New Roman" w:hAnsi="Times New Roman" w:eastAsia="黑体"/>
          <w:b w:val="0"/>
          <w:sz w:val="28"/>
        </w:rPr>
      </w:pPr>
      <w:r>
        <w:rPr>
          <w:rFonts w:ascii="Times New Roman" w:hAnsi="Times New Roman" w:eastAsia="黑体"/>
          <w:b w:val="0"/>
          <w:sz w:val="28"/>
        </w:rPr>
        <w:t>3 问题定义与LEDS事件传播算法</w:t>
      </w:r>
    </w:p>
    <w:p w14:paraId="12E89506">
      <w:pPr>
        <w:pStyle w:val="48"/>
        <w:widowControl/>
        <w:spacing w:before="0" w:after="0" w:line="269" w:lineRule="auto"/>
        <w:ind w:left="0" w:right="0" w:firstLine="420"/>
        <w:jc w:val="both"/>
        <w:rPr>
          <w:lang w:eastAsia="zh-CN"/>
        </w:rPr>
      </w:pPr>
      <w:r>
        <w:t xml:space="preserve">针对上述问题，本文将 LEDS 抽象为冻结有向图上的有限事件传播算法，而非单纯的软件实现框架。算法核心不在于 </w:t>
      </w:r>
      <w:bookmarkStart w:id="0" w:name="_GoBack"/>
      <w:bookmarkEnd w:id="0"/>
      <w:r>
        <w:t>API、JSON 或缓存本身，而在于：以有限状态空间约束 LLM 输出，以类型化消息事件驱动状态转移，以确定顺序调度消除额外轨迹分叉，并以判定记录映射把不可完全控制的云端调用转化为可索引、可审计、可回放的转移记录。</w:t>
      </w:r>
    </w:p>
    <w:p w14:paraId="7FA9D208">
      <w:pPr>
        <w:pStyle w:val="46"/>
        <w:keepNext/>
        <w:pageBreakBefore w:val="0"/>
        <w:spacing w:before="100" w:after="40"/>
        <w:ind w:firstLine="0"/>
        <w:jc w:val="left"/>
      </w:pPr>
      <w:r>
        <w:rPr>
          <w:rFonts w:ascii="Times New Roman" w:hAnsi="Times New Roman" w:eastAsia="黑体"/>
          <w:b/>
          <w:sz w:val="21"/>
        </w:rPr>
        <w:t>3.1 LEDS整体架构与执行阶段</w:t>
      </w:r>
    </w:p>
    <w:p w14:paraId="30EB685B">
      <w:pPr>
        <w:pStyle w:val="48"/>
        <w:widowControl/>
        <w:spacing w:before="0" w:after="0" w:line="269" w:lineRule="auto"/>
        <w:ind w:left="0" w:right="0" w:firstLine="420"/>
        <w:jc w:val="both"/>
      </w:pPr>
      <w:r>
        <w:rPr>
          <w:rFonts w:ascii="Times New Roman" w:hAnsi="Times New Roman" w:eastAsia="宋体"/>
          <w:sz w:val="21"/>
        </w:rPr>
        <w:t>LEDS 框架的运行逻辑严格遵循线性、单向的数据流转，以确保整个仿真周期的逻辑闭环与可重放的受控确定性。系统的整体运行被解耦为三个核心阶段，其架构拓扑如下所示：</w:t>
      </w:r>
    </w:p>
    <w:p w14:paraId="520F30D1">
      <w:pPr>
        <w:pStyle w:val="51"/>
        <w:keepNext/>
        <w:spacing w:before="60" w:after="20" w:line="240" w:lineRule="auto"/>
        <w:ind w:left="0" w:right="0" w:firstLine="0"/>
        <w:jc w:val="center"/>
        <w:rPr>
          <w:lang w:eastAsia="zh-CN"/>
        </w:rPr>
      </w:pPr>
      <w:r>
        <w:rPr>
          <w:rFonts w:hint="eastAsia"/>
          <w:lang w:eastAsia="zh-CN"/>
        </w:rPr>
        <w:drawing>
          <wp:inline distT="0" distB="0" distL="114300" distR="114300">
            <wp:extent cx="2743200" cy="4114165"/>
            <wp:effectExtent l="0" t="0" r="6350" b="22225"/>
            <wp:docPr id="1" name="Figure 1" descr="Image 2026年7月21日 18_58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Image 2026年7月21日 18_58_19"/>
                    <pic:cNvPicPr>
                      <a:picLocks noChangeAspect="1"/>
                    </pic:cNvPicPr>
                  </pic:nvPicPr>
                  <pic:blipFill>
                    <a:blip r:embed="rId11"/>
                    <a:stretch>
                      <a:fillRect/>
                    </a:stretch>
                  </pic:blipFill>
                  <pic:spPr>
                    <a:xfrm>
                      <a:off x="0" y="0"/>
                      <a:ext cx="2743200" cy="4114799"/>
                    </a:xfrm>
                    <a:prstGeom prst="rect">
                      <a:avLst/>
                    </a:prstGeom>
                  </pic:spPr>
                </pic:pic>
              </a:graphicData>
            </a:graphic>
          </wp:inline>
        </w:drawing>
      </w:r>
    </w:p>
    <w:p w14:paraId="64EB75D4">
      <w:pPr>
        <w:pStyle w:val="51"/>
        <w:keepNext/>
        <w:spacing w:before="40" w:after="0"/>
        <w:jc w:val="center"/>
      </w:pPr>
      <w:r>
        <w:rPr>
          <w:rFonts w:ascii="Times New Roman" w:hAnsi="Times New Roman" w:eastAsia="宋体"/>
          <w:sz w:val="17"/>
        </w:rPr>
        <w:t>图1 LEDS整体架构与执行阶段</w:t>
      </w:r>
    </w:p>
    <w:p w14:paraId="25A8D099">
      <w:pPr>
        <w:pStyle w:val="51"/>
        <w:keepNext w:val="0"/>
        <w:spacing w:before="0" w:after="60"/>
        <w:jc w:val="center"/>
      </w:pPr>
      <w:r>
        <w:rPr>
          <w:rFonts w:ascii="Times New Roman" w:hAnsi="Times New Roman" w:eastAsia="宋体"/>
          <w:sz w:val="16"/>
        </w:rPr>
        <w:t>Fig. 1 Architecture and execution stages of LEDS</w:t>
      </w:r>
    </w:p>
    <w:p w14:paraId="7D9298C2">
      <w:pPr>
        <w:pStyle w:val="48"/>
        <w:widowControl/>
        <w:spacing w:before="0" w:after="0" w:line="269" w:lineRule="auto"/>
        <w:ind w:left="0" w:right="0" w:firstLine="420"/>
        <w:jc w:val="both"/>
        <w:rPr>
          <w:lang w:eastAsia="zh-CN"/>
        </w:rPr>
      </w:pPr>
      <w:r>
        <w:t>三个阶段的职责概述如下（各阶段的机制细节见 3.2 至 3.5 节）：阶段 1（静态初始化）只读解析预先固化的拓扑与人设，输出冻结的初始图状态 G_{t=0} 与首发事件队列 M_{t=0}，将网络结构与人设映射纳入协议输入；阶段 2（离散事件演化）按全局节点 ID 遍历收到新增消息的活跃节点，调用受约束 LLM 状态转移算子并解析结构化输出，产生下一状态 G_{t+1} 与新消息队列 M_{t+1}；阶段 3（收敛与评估）在事件队列耗空（M_T=∅）时聚合全网信念、计算渗透率并输出可逐源追踪的状态机日志。</w:t>
      </w:r>
    </w:p>
    <w:p w14:paraId="7BFB4DBF">
      <w:pPr>
        <w:pStyle w:val="46"/>
        <w:keepNext/>
        <w:pageBreakBefore w:val="0"/>
        <w:spacing w:before="100" w:after="40"/>
        <w:ind w:firstLine="0"/>
        <w:jc w:val="left"/>
        <w:rPr>
          <w:lang w:eastAsia="zh-CN"/>
        </w:rPr>
      </w:pPr>
      <w:r>
        <w:rPr>
          <w:rFonts w:ascii="Times New Roman" w:hAnsi="Times New Roman" w:eastAsia="黑体"/>
          <w:b/>
          <w:sz w:val="21"/>
        </w:rPr>
        <w:t>3.2 基于静态图的解耦加载模型</w:t>
      </w:r>
    </w:p>
    <w:p w14:paraId="72E2A194">
      <w:pPr>
        <w:pStyle w:val="48"/>
        <w:widowControl/>
        <w:spacing w:before="0" w:after="0" w:line="269" w:lineRule="auto"/>
        <w:ind w:left="0" w:right="0" w:firstLine="420"/>
        <w:jc w:val="both"/>
        <w:rPr>
          <w:lang w:eastAsia="zh-CN"/>
        </w:rPr>
      </w:pPr>
      <w:r>
        <w:t>现有方法常在运行时动态生成或更新网络边（Edges），从而把结构噪声混入语义传播过程。本文将社会网络抽象为静态有向图 G=(V,E)，并把节点集合 V、边集合 E 与人设字典 P 作为算法输入固定下来。仿真过程中不允许修改 E，因此不同运行之间的结构差异不再参与结果解释，后续差异可归因于判定内核、调度和事件传播机制。</w:t>
      </w:r>
    </w:p>
    <w:p w14:paraId="7B5D9B14">
      <w:pPr>
        <w:pStyle w:val="46"/>
        <w:keepNext/>
        <w:pageBreakBefore w:val="0"/>
        <w:spacing w:before="100" w:after="40"/>
        <w:ind w:firstLine="0"/>
        <w:jc w:val="left"/>
        <w:rPr>
          <w:lang w:eastAsia="zh-CN"/>
        </w:rPr>
      </w:pPr>
      <w:r>
        <w:rPr>
          <w:rFonts w:ascii="Times New Roman" w:hAnsi="Times New Roman" w:eastAsia="黑体"/>
          <w:b/>
          <w:sz w:val="21"/>
        </w:rPr>
        <w:t>3.3 离散事件驱动的马尔可夫状态机</w:t>
      </w:r>
    </w:p>
    <w:p w14:paraId="293F1755">
      <w:pPr>
        <w:pStyle w:val="46"/>
        <w:keepNext/>
        <w:pageBreakBefore w:val="0"/>
        <w:spacing w:before="100" w:after="40"/>
        <w:ind w:firstLine="0"/>
        <w:jc w:val="left"/>
        <w:rPr>
          <w:lang w:eastAsia="zh-CN"/>
        </w:rPr>
      </w:pPr>
      <w:r>
        <w:t>形式化地，设冻结社会网络为 G=(V,E)，其中 V 为智能体集合，E⊆V×V 为有向传播边集合。节点 v_i 在时刻 t 的状态记为 s_i^t=(b_i^t,c_{i,r}^t,c_{i,d}^t)，其中 b_i^t∈{Accept,Reject,Neutral} 表示信念状态，c_{i,r}^t 与 c_{i,d}^t 分别表示累计接收谣言和辟谣消息的不同邻居数。类型化传播事件记为 e_k=(u_k,v_k,m_k,τ_k)，其中 u_k 为发送节点，v_k 为接收节点，m_k∈M={RUMOR,DEBUNK} 为消息类型，τ_k 为逻辑时间层级。节点状态转移由受约束 LLM 算子 F_θ 实现：(s_i^{t+1},a_i^t)=F_θ(P_i,s_i^t,M_i^t)，其中 P_i 为人设，M_i^t 为本轮新接收消息集合，a_i^t∈{Share,Ignore,Debunk} 为对外动作。</w:t>
      </w:r>
    </w:p>
    <w:p w14:paraId="3929DA97">
      <w:pPr>
        <w:pStyle w:val="46"/>
        <w:keepNext/>
        <w:pageBreakBefore w:val="0"/>
        <w:spacing w:before="100" w:after="40"/>
        <w:ind w:firstLine="0"/>
        <w:jc w:val="left"/>
        <w:rPr>
          <w:lang w:eastAsia="zh-CN"/>
        </w:rPr>
      </w:pPr>
      <w:r>
        <w:t>为保证算法有限性，定义事件访问标记 ν(u,v,m)∈{0,1}。仅当 ν(u,v,m)=0 时，事件 (u,v,m) 才允许进入下一轮队列；入队后立即置 ν(u,v,m)=1。因此，每个三元事件至多传播一次，事件总数满足 N_event≤|E|·|M|。该规则不是一般意义上的工程去重，而是 LEDS 可终止性与复杂度边界的核心算法约束。</w:t>
      </w:r>
    </w:p>
    <w:p w14:paraId="58F5DCF7">
      <w:pPr>
        <w:pStyle w:val="46"/>
        <w:keepNext/>
        <w:pageBreakBefore w:val="0"/>
        <w:spacing w:before="100" w:after="40"/>
        <w:ind w:firstLine="0"/>
        <w:jc w:val="left"/>
        <w:rPr>
          <w:lang w:eastAsia="zh-CN"/>
        </w:rPr>
      </w:pPr>
      <w:r>
        <w:t>同时，设 A_t={v_i: M_i^t≠∅} 为活跃节点集合，LEDS 使用 π(A_t)=sort(A_t,node_id) 生成唯一调度序列。将节点执行顺序显式纳入协议后，在给定事件集合下可消除由并发顺序不确定性引起的额外轨迹分叉。</w:t>
      </w:r>
    </w:p>
    <w:p w14:paraId="51135942">
      <w:pPr>
        <w:pStyle w:val="48"/>
        <w:widowControl/>
        <w:spacing w:before="0" w:after="0" w:line="269" w:lineRule="auto"/>
        <w:ind w:left="0" w:right="0" w:firstLine="420"/>
        <w:jc w:val="both"/>
      </w:pPr>
      <w:r>
        <w:rPr>
          <w:rFonts w:ascii="Times New Roman" w:hAnsi="Times New Roman" w:eastAsia="宋体"/>
          <w:sz w:val="21"/>
          <w:lang w:eastAsia="zh-CN"/>
        </w:rPr>
        <w:t xml:space="preserve">针对全连接网络带来的计算开销激增问题，本文提出离散事件驱动机制。定义时间步 </w:t>
      </w:r>
      <m:oMath>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T</m:t>
        </m:r>
        <m:r>
          <m:rPr>
            <m:sty m:val="p"/>
          </m:rPr>
          <w:rPr>
            <w:rFonts w:ascii="Cambria Math" w:hAnsi="Cambria Math"/>
            <w:lang w:eastAsia="zh-CN"/>
          </w:rPr>
          <m:t>}</m:t>
        </m:r>
      </m:oMath>
      <w:r>
        <w:rPr>
          <w:rFonts w:ascii="Times New Roman" w:hAnsi="Times New Roman" w:eastAsia="宋体"/>
          <w:sz w:val="21"/>
          <w:lang w:eastAsia="zh-CN"/>
        </w:rPr>
        <w:t xml:space="preserve">。在时刻 </w:t>
      </w:r>
      <m:oMath>
        <m:r>
          <m:rPr/>
          <w:rPr>
            <w:rFonts w:ascii="Cambria Math" w:hAnsi="Cambria Math"/>
            <w:lang w:eastAsia="zh-CN"/>
          </w:rPr>
          <m:t>t</m:t>
        </m:r>
      </m:oMath>
      <w:r>
        <w:rPr>
          <w:rFonts w:ascii="Times New Roman" w:hAnsi="Times New Roman" w:eastAsia="宋体"/>
          <w:sz w:val="21"/>
          <w:lang w:eastAsia="zh-CN"/>
        </w:rPr>
        <w:t xml:space="preserve">，系统不遍历所有节点，而是仅检索在 </w:t>
      </w:r>
      <m:oMath>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1</m:t>
        </m:r>
      </m:oMath>
      <w:r>
        <w:rPr>
          <w:rFonts w:ascii="Times New Roman" w:hAnsi="Times New Roman" w:eastAsia="宋体"/>
          <w:sz w:val="21"/>
          <w:lang w:eastAsia="zh-CN"/>
        </w:rPr>
        <w:t xml:space="preserve"> 时刻接收到非空消息集 </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i</m:t>
            </m:r>
            <m:r>
              <m:rPr>
                <m:sty m:val="p"/>
              </m:rPr>
              <w:rPr>
                <w:rFonts w:ascii="Cambria Math" w:hAnsi="Cambria Math"/>
                <w:lang w:eastAsia="zh-CN"/>
              </w:rPr>
              <m:t>,</m:t>
            </m:r>
            <m:r>
              <m:rPr/>
              <w:rPr>
                <w:rFonts w:ascii="Cambria Math" w:hAnsi="Cambria Math"/>
                <w:lang w:eastAsia="zh-CN"/>
              </w:rPr>
              <m:t>t</m:t>
            </m:r>
            <m:ctrlPr>
              <w:rPr>
                <w:rFonts w:ascii="Cambria Math" w:hAnsi="Cambria Math"/>
              </w:rPr>
            </m:ctrlPr>
          </m:sub>
        </m:sSub>
      </m:oMath>
      <w:r>
        <w:rPr>
          <w:rFonts w:ascii="Times New Roman" w:hAnsi="Times New Roman" w:eastAsia="宋体"/>
          <w:sz w:val="21"/>
          <w:lang w:eastAsia="zh-CN"/>
        </w:rPr>
        <w:t xml:space="preserve"> 的节点 </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ascii="Times New Roman" w:hAnsi="Times New Roman" w:eastAsia="宋体"/>
          <w:sz w:val="21"/>
          <w:lang w:eastAsia="zh-CN"/>
        </w:rPr>
        <w:t>。</w:t>
      </w:r>
      <w:r>
        <w:rPr>
          <w:rFonts w:ascii="Times New Roman" w:hAnsi="Times New Roman" w:eastAsia="宋体"/>
          <w:sz w:val="21"/>
        </w:rPr>
        <w:t>本文将节点的认知过程重构为马尔可夫过程：</w:t>
      </w:r>
    </w:p>
    <w:p w14:paraId="6E5410B7">
      <w:pPr>
        <w:pStyle w:val="48"/>
        <w:widowControl/>
        <w:spacing w:before="0" w:after="0" w:line="269" w:lineRule="auto"/>
        <w:ind w:left="0" w:right="0" w:firstLine="0"/>
        <w:jc w:val="center"/>
      </w:pPr>
      <m:oMathPara>
        <m:oMathParaPr>
          <m:jc m:val="center"/>
        </m:oMathParaP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LLM</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Sub>
              <m:ctrlPr>
                <w:rPr>
                  <w:rFonts w:ascii="Cambria Math" w:hAnsi="Cambria Math"/>
                </w:rPr>
              </m:ctrlPr>
            </m:e>
          </m:d>
        </m:oMath>
      </m:oMathPara>
    </w:p>
    <w:p w14:paraId="2A123138">
      <w:pPr>
        <w:pStyle w:val="48"/>
        <w:widowControl/>
        <w:spacing w:before="0" w:after="0" w:line="269" w:lineRule="auto"/>
        <w:ind w:left="0" w:right="0" w:firstLine="420"/>
        <w:jc w:val="both"/>
        <w:rPr>
          <w:lang w:eastAsia="zh-CN"/>
        </w:rPr>
      </w:pPr>
      <w:r>
        <w:t>内部信念状态 S 和三元动作 A∈{Share,Ignore,Debunk} 仅由当前输入决定。系统按全局节点 ID 顺序执行该公式，将节点执行顺序显式纳入算法协议，在给定事件集合下构造唯一调度序列，从而消除由并发顺序不确定性引起的额外轨迹分叉。</w:t>
      </w:r>
    </w:p>
    <w:p w14:paraId="16F70B30">
      <w:pPr>
        <w:pStyle w:val="46"/>
        <w:keepNext/>
        <w:pageBreakBefore w:val="0"/>
        <w:spacing w:before="100" w:after="40"/>
        <w:ind w:firstLine="0"/>
        <w:jc w:val="left"/>
      </w:pPr>
      <w:r>
        <w:rPr>
          <w:rFonts w:ascii="Times New Roman" w:hAnsi="Times New Roman" w:eastAsia="黑体"/>
          <w:b/>
          <w:sz w:val="21"/>
        </w:rPr>
        <w:t>3.4 零温度贪婪解码约束与可审计性</w:t>
      </w:r>
    </w:p>
    <w:p w14:paraId="1E74DBC0">
      <w:pPr>
        <w:pStyle w:val="48"/>
        <w:widowControl/>
        <w:spacing w:before="0" w:after="0" w:line="269" w:lineRule="auto"/>
        <w:ind w:left="0" w:right="0" w:firstLine="420"/>
        <w:jc w:val="both"/>
        <w:rPr>
          <w:lang w:eastAsia="zh-CN"/>
        </w:rPr>
      </w:pPr>
      <w:r>
        <w:t>Temperature=0 是控制显式采样噪声的实验条件，而不是 LEDS 实现可重放性的充分条件。本文研究的是结构化状态转移任务，并不以开放式文本多样性为优化目标；因此，零温度设置的作用是减少采样扰动并提高结构化输出合法性。是否影响判定质量，应通过不同温度下的人设规则一致率、JSON 合法率、渗透率方差、节点状态 Hamming 距离和稳态步数等指标进一步检验。受投稿前实验成本限制，本文现有实证主要刻画 Temperature=0 下的运行间发散与记录回放一致性，未将表 1 中 Temperature=0.7 的 Monte Carlo 结果解释为严格温度消融。</w:t>
      </w:r>
    </w:p>
    <w:p w14:paraId="33FE02F3">
      <w:pPr>
        <w:pStyle w:val="48"/>
        <w:widowControl/>
        <w:spacing w:before="0" w:after="0" w:line="269" w:lineRule="auto"/>
        <w:ind w:left="0" w:right="0" w:firstLine="420"/>
        <w:jc w:val="both"/>
        <w:rPr>
          <w:lang w:eastAsia="zh-CN"/>
        </w:rPr>
      </w:pPr>
      <w:r>
        <w:t>LEDS 的记录级可重放性来自判定记录映射。设规范化 Prompt 的哈希为 h=H(p)，判定记录映射为 C:h↦y。首次运行时调用 y=F_θ(p)，并写入 C[h]←y；回放运行时不再调用云端模型，而直接取 y=C[h]。由此，一次不可完全控制的 LLM 调用被转化为可索引、可审计、可复用的状态转移记录。本文后文所称“缓存”均指这一判定记录映射，而非单纯性能优化缓存。</w:t>
      </w:r>
    </w:p>
    <w:p w14:paraId="041F07C8">
      <w:pPr>
        <w:pStyle w:val="46"/>
        <w:keepNext/>
        <w:pageBreakBefore w:val="0"/>
        <w:spacing w:before="100" w:after="40"/>
        <w:ind w:firstLine="0"/>
        <w:jc w:val="left"/>
      </w:pPr>
      <w:r>
        <w:rPr>
          <w:rFonts w:ascii="Times New Roman" w:hAnsi="Times New Roman" w:eastAsia="黑体"/>
          <w:b/>
          <w:sz w:val="21"/>
        </w:rPr>
        <w:t>3.5 系统有限状态可终止性分析</w:t>
      </w:r>
    </w:p>
    <w:p w14:paraId="357A2B85">
      <w:pPr>
        <w:pStyle w:val="48"/>
        <w:widowControl/>
        <w:spacing w:before="0" w:after="0" w:line="269" w:lineRule="auto"/>
        <w:ind w:left="0" w:right="0" w:firstLine="420"/>
        <w:jc w:val="both"/>
      </w:pPr>
      <w:r>
        <w:rPr>
          <w:rFonts w:ascii="Times New Roman" w:hAnsi="Times New Roman" w:eastAsia="宋体"/>
          <w:sz w:val="21"/>
        </w:rPr>
        <w:t>LEDS 不是传统随机马尔可夫链。在一次无缓存运行中，云端 LLM 可表现出运行间不确定性；在固定 Prompt/Response 记录的回放运行中，转移结果由记录确定。为排除智能体间无限循环导致的仿真不终止，下面针对协议的事件生成规则给出终止性结论。</w:t>
      </w:r>
    </w:p>
    <w:p w14:paraId="2AE45912">
      <w:pPr>
        <w:pStyle w:val="48"/>
        <w:widowControl/>
        <w:spacing w:before="0" w:after="0" w:line="269" w:lineRule="auto"/>
        <w:ind w:left="0" w:right="0" w:firstLine="420"/>
        <w:jc w:val="both"/>
        <w:rPr>
          <w:lang w:eastAsia="zh-CN"/>
        </w:rPr>
      </w:pPr>
      <w:r>
        <w:t>命题 1（记录条件下的轨迹唯一性）。在冻结拓扑、人设、初始事件、节点调度顺序、状态解析规则和判定记录映射均固定的条件下，LEDS 生成唯一的状态轨迹。证明思路如下：初始状态与初始事件队列唯一；若第 t 步状态和事件队列唯一，则固定调度序列 π(A_t) 与固定判定记录 C 使每个活跃节点的下一状态唯一，新颖事件过滤规则又使下一事件队列唯一；由数学归纳法可得全程轨迹唯一。</w:t>
      </w:r>
    </w:p>
    <w:p w14:paraId="3E693580">
      <w:pPr>
        <w:pStyle w:val="48"/>
        <w:widowControl/>
        <w:spacing w:before="0" w:after="0" w:line="269" w:lineRule="auto"/>
        <w:ind w:left="0" w:right="0" w:firstLine="420"/>
        <w:jc w:val="both"/>
        <w:rPr>
          <w:lang w:eastAsia="zh-CN"/>
        </w:rPr>
      </w:pPr>
      <w:r>
        <w:t>定理 1（有限事件终止性）。设冻结网络包含有限条有向边 E→，消息类型集合 M 有限，且协议对每个三元组（发送节点，接收节点，消息类型）至多入队一次。若不施加 T_max 截断，则事件队列至多处理 |E→||M| 个边消息事件，并在有限步后为空。</w:t>
      </w:r>
    </w:p>
    <w:p w14:paraId="1539D385">
      <w:pPr>
        <w:pStyle w:val="46"/>
        <w:keepNext/>
        <w:pageBreakBefore w:val="0"/>
        <w:spacing w:before="100" w:after="40"/>
        <w:ind w:firstLine="0"/>
        <w:jc w:val="left"/>
      </w:pPr>
      <w:r>
        <w:rPr>
          <w:rFonts w:ascii="Times New Roman" w:hAnsi="Times New Roman" w:eastAsia="黑体"/>
          <w:b/>
          <w:sz w:val="21"/>
        </w:rPr>
        <w:t>3.6 LEDS框架核心算法伪代码</w:t>
      </w:r>
    </w:p>
    <w:p w14:paraId="66744FD5">
      <w:pPr>
        <w:pStyle w:val="48"/>
        <w:widowControl/>
        <w:spacing w:before="0" w:after="0" w:line="269" w:lineRule="auto"/>
        <w:ind w:left="0" w:right="0" w:firstLine="420"/>
        <w:jc w:val="both"/>
      </w:pPr>
      <w:r>
        <w:rPr>
          <w:rFonts w:ascii="Times New Roman" w:hAnsi="Times New Roman" w:eastAsia="宋体"/>
          <w:sz w:val="21"/>
        </w:rPr>
        <w:t>以下是本研究提出的 LEDS 框架在仿真引擎中的主循环实现伪代码。</w:t>
      </w:r>
    </w:p>
    <w:p w14:paraId="23AE7143">
      <w:pPr>
        <w:pStyle w:val="48"/>
        <w:keepLines/>
        <w:spacing w:before="40" w:after="60" w:line="240" w:lineRule="auto"/>
        <w:ind w:left="0" w:right="0" w:firstLine="0"/>
        <w:jc w:val="left"/>
      </w:pPr>
      <w:r>
        <w:t>Algorithm 1: LEDS 可重放事件驱动信息传播算法</w:t>
      </w:r>
    </w:p>
    <w:p w14:paraId="652F74FB">
      <w:pPr>
        <w:pStyle w:val="43"/>
        <w:keepNext/>
        <w:pageBreakBefore w:val="0"/>
        <w:spacing w:before="160" w:after="80"/>
        <w:ind w:left="0" w:firstLine="0"/>
        <w:jc w:val="left"/>
        <w:rPr>
          <w:lang w:eastAsia="zh-CN"/>
        </w:rPr>
      </w:pPr>
      <w:r>
        <w:rPr>
          <w:rFonts w:ascii="Times New Roman" w:hAnsi="Times New Roman" w:eastAsia="黑体"/>
          <w:b w:val="0"/>
          <w:sz w:val="28"/>
        </w:rPr>
        <w:t>4 实验分析与验证</w:t>
      </w:r>
    </w:p>
    <w:p w14:paraId="68A7B29F">
      <w:pPr>
        <w:pStyle w:val="48"/>
        <w:widowControl/>
        <w:spacing w:before="0" w:after="0" w:line="269" w:lineRule="auto"/>
        <w:ind w:left="0" w:right="0" w:firstLine="420"/>
        <w:jc w:val="both"/>
        <w:rPr>
          <w:lang w:eastAsia="zh-CN"/>
        </w:rPr>
      </w:pPr>
      <w:r>
        <w:rPr>
          <w:rFonts w:ascii="Times New Roman" w:hAnsi="Times New Roman" w:eastAsia="宋体"/>
          <w:sz w:val="21"/>
          <w:lang w:eastAsia="zh-CN"/>
        </w:rPr>
        <w:t>本章围绕两个板块共六个实验展开，实验顺序即“先证协议可复现、再展协议之应用”的论证顺序。</w:t>
      </w:r>
      <w:r>
        <w:rPr>
          <w:rFonts w:ascii="Times New Roman" w:hAnsi="Times New Roman" w:eastAsia="宋体"/>
          <w:b/>
          <w:bCs/>
          <w:sz w:val="21"/>
          <w:lang w:eastAsia="zh-CN"/>
        </w:rPr>
        <w:t>板块一：可复现性评估（4.3 至 4.5 节）</w:t>
      </w:r>
      <w:r>
        <w:rPr>
          <w:rFonts w:ascii="Times New Roman" w:hAnsi="Times New Roman" w:eastAsia="宋体"/>
          <w:sz w:val="21"/>
          <w:lang w:eastAsia="zh-CN"/>
        </w:rPr>
        <w:t>，直接检验本文的核心命题，即可复现性须由协议在实验层面保证：实验一（成本与方差基线，4.3 节）量化 LEDS 相对蒙特卡洛方案的方差与效率优势，实验二（</w:t>
      </w:r>
      <m:oMath>
        <m:r>
          <m:rPr/>
          <w:rPr>
            <w:rFonts w:ascii="Cambria Math" w:hAnsi="Cambria Math"/>
            <w:lang w:eastAsia="zh-CN"/>
          </w:rPr>
          <m:t>Temperature</m:t>
        </m:r>
        <m:r>
          <m:rPr>
            <m:sty m:val="p"/>
          </m:rPr>
          <w:rPr>
            <w:rFonts w:ascii="Cambria Math" w:hAnsi="Cambria Math"/>
            <w:lang w:eastAsia="zh-CN"/>
          </w:rPr>
          <m:t>=</m:t>
        </m:r>
        <m:r>
          <m:rPr/>
          <w:rPr>
            <w:rFonts w:ascii="Cambria Math" w:hAnsi="Cambria Math"/>
            <w:lang w:eastAsia="zh-CN"/>
          </w:rPr>
          <m:t>0</m:t>
        </m:r>
      </m:oMath>
      <w:r>
        <w:rPr>
          <w:rFonts w:ascii="Times New Roman" w:hAnsi="Times New Roman" w:eastAsia="宋体"/>
          <w:sz w:val="21"/>
          <w:lang w:eastAsia="zh-CN"/>
        </w:rPr>
        <w:t xml:space="preserve"> 运行间非确定性与缓存重放探针，4.4 节）给出可复现性须由重放保证的最直接证据，实验三（跨 LLM 后端鲁棒性，4.5 节）检验该命题不依赖单一模型。</w:t>
      </w:r>
      <w:r>
        <w:rPr>
          <w:rFonts w:ascii="Times New Roman" w:hAnsi="Times New Roman" w:eastAsia="宋体"/>
          <w:b/>
          <w:bCs/>
          <w:sz w:val="21"/>
          <w:lang w:eastAsia="zh-CN"/>
        </w:rPr>
        <w:t>板块二：应用验证（4.6 至 4.8 节）</w:t>
      </w:r>
      <w:r>
        <w:rPr>
          <w:rFonts w:ascii="Times New Roman" w:hAnsi="Times New Roman" w:eastAsia="宋体"/>
          <w:sz w:val="21"/>
          <w:lang w:eastAsia="zh-CN"/>
        </w:rPr>
        <w:t xml:space="preserve">，在可复现协议之上评估一个真实治理问题，即事实核查员的空间部署：实验四（4.6 节）以合成拓扑给出传播机制与干预归因，实验五（4.7 节）迁移到真实 Facebook 社交网络检验外部效度，实验六（4.8 节）以一条可审计的信念翻转链展示协议的可追溯性。事件驱动引擎的规模化开销分析（评估次数随 </w:t>
      </w:r>
      <m:oMath>
        <m:r>
          <m:rPr/>
          <w:rPr>
            <w:rFonts w:ascii="Cambria Math" w:hAnsi="Cambria Math"/>
            <w:lang w:eastAsia="zh-CN"/>
          </w:rPr>
          <m:t>N</m:t>
        </m:r>
      </m:oMath>
      <w:r>
        <w:rPr>
          <w:rFonts w:ascii="Times New Roman" w:hAnsi="Times New Roman" w:eastAsia="宋体"/>
          <w:sz w:val="21"/>
          <w:lang w:eastAsia="zh-CN"/>
        </w:rPr>
        <w:t xml:space="preserve"> 的削减）与核心命题关联较弱，作为架构级补充置于附录 C。除特别注明外，判别内核均为真实云端 LLM deepseek-chat（</w:t>
      </w:r>
      <m:oMath>
        <m:r>
          <m:rPr/>
          <w:rPr>
            <w:rFonts w:ascii="Cambria Math" w:hAnsi="Cambria Math"/>
            <w:lang w:eastAsia="zh-CN"/>
          </w:rPr>
          <m:t>Temperature</m:t>
        </m:r>
        <m:r>
          <m:rPr>
            <m:sty m:val="p"/>
          </m:rPr>
          <w:rPr>
            <w:rFonts w:ascii="Cambria Math" w:hAnsi="Cambria Math"/>
            <w:lang w:eastAsia="zh-CN"/>
          </w:rPr>
          <m:t>=</m:t>
        </m:r>
        <m:r>
          <m:rPr/>
          <w:rPr>
            <w:rFonts w:ascii="Cambria Math" w:hAnsi="Cambria Math"/>
            <w:lang w:eastAsia="zh-CN"/>
          </w:rPr>
          <m:t>0</m:t>
        </m:r>
      </m:oMath>
      <w:r>
        <w:rPr>
          <w:rFonts w:ascii="Times New Roman" w:hAnsi="Times New Roman" w:eastAsia="宋体"/>
          <w:sz w:val="21"/>
          <w:lang w:eastAsia="zh-CN"/>
        </w:rPr>
        <w:t>）；正文数值均与实验记录逐项核对。</w:t>
      </w:r>
    </w:p>
    <w:p w14:paraId="047C7E1E">
      <w:pPr>
        <w:pStyle w:val="46"/>
        <w:keepNext/>
        <w:pageBreakBefore w:val="0"/>
        <w:spacing w:before="100" w:after="40"/>
        <w:ind w:firstLine="0"/>
        <w:jc w:val="left"/>
      </w:pPr>
      <w:r>
        <w:rPr>
          <w:rFonts w:ascii="Times New Roman" w:hAnsi="Times New Roman" w:eastAsia="黑体"/>
          <w:b/>
          <w:sz w:val="21"/>
        </w:rPr>
        <w:t>4.1 实验环境与参数设置</w:t>
      </w:r>
    </w:p>
    <w:p w14:paraId="36FEFE25">
      <w:pPr>
        <w:pStyle w:val="48"/>
        <w:widowControl/>
        <w:spacing w:before="0" w:after="0" w:line="269" w:lineRule="auto"/>
        <w:ind w:left="0" w:right="0" w:firstLine="420"/>
        <w:jc w:val="both"/>
      </w:pPr>
      <w:r>
        <w:rPr>
          <w:rFonts w:ascii="Times New Roman" w:hAnsi="Times New Roman" w:eastAsia="宋体"/>
          <w:sz w:val="21"/>
        </w:rPr>
        <w:t xml:space="preserve">判别内核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LLM</m:t>
            </m:r>
            <m:ctrlPr>
              <w:rPr>
                <w:rFonts w:ascii="Cambria Math" w:hAnsi="Cambria Math"/>
              </w:rPr>
            </m:ctrlPr>
          </m:sub>
        </m:sSub>
      </m:oMath>
      <w:r>
        <w:rPr>
          <w:rFonts w:ascii="Times New Roman" w:hAnsi="Times New Roman" w:eastAsia="宋体"/>
          <w:sz w:val="21"/>
        </w:rPr>
        <w:t xml:space="preserve"> 通过兼容 OpenAI/DeepSeek 规范的云端 API 调用。</w:t>
      </w:r>
      <w:r>
        <w:rPr>
          <w:rFonts w:ascii="Times New Roman" w:hAnsi="Times New Roman" w:eastAsia="宋体"/>
          <w:b/>
          <w:bCs/>
          <w:sz w:val="21"/>
        </w:rPr>
        <w:t>本文全部实证数据均由真实 deepseek-chat（</w:t>
      </w:r>
      <m:oMath>
        <m:r>
          <m:rPr/>
          <w:rPr>
            <w:rFonts w:ascii="Cambria Math" w:hAnsi="Cambria Math"/>
          </w:rPr>
          <m:t>Temperature</m:t>
        </m:r>
        <m:r>
          <m:rPr>
            <m:sty m:val="p"/>
          </m:rPr>
          <w:rPr>
            <w:rFonts w:ascii="Cambria Math" w:hAnsi="Cambria Math"/>
          </w:rPr>
          <m:t>=</m:t>
        </m:r>
        <m:r>
          <m:rPr/>
          <w:rPr>
            <w:rFonts w:ascii="Cambria Math" w:hAnsi="Cambria Math"/>
          </w:rPr>
          <m:t>0</m:t>
        </m:r>
      </m:oMath>
      <w:r>
        <w:rPr>
          <w:rFonts w:ascii="Times New Roman" w:hAnsi="Times New Roman" w:eastAsia="宋体"/>
          <w:b/>
          <w:bCs/>
          <w:sz w:val="21"/>
        </w:rPr>
        <w:t xml:space="preserve">、Top_P = 1.0）在 </w:t>
      </w:r>
      <m:oMath>
        <m:r>
          <m:rPr/>
          <w:rPr>
            <w:rFonts w:ascii="Cambria Math" w:hAnsi="Cambria Math"/>
          </w:rPr>
          <m:t>N</m:t>
        </m:r>
        <m:r>
          <m:rPr>
            <m:sty m:val="p"/>
          </m:rPr>
          <w:rPr>
            <w:rFonts w:ascii="Cambria Math" w:hAnsi="Cambria Math"/>
          </w:rPr>
          <m:t>=</m:t>
        </m:r>
        <m:r>
          <m:rPr/>
          <w:rPr>
            <w:rFonts w:ascii="Cambria Math" w:hAnsi="Cambria Math"/>
          </w:rPr>
          <m:t>300</m:t>
        </m:r>
      </m:oMath>
      <w:r>
        <w:rPr>
          <w:rFonts w:ascii="Times New Roman" w:hAnsi="Times New Roman" w:eastAsia="宋体"/>
          <w:b/>
          <w:bCs/>
          <w:sz w:val="21"/>
        </w:rPr>
        <w:t xml:space="preserve"> 主规模上产生</w:t>
      </w:r>
      <w:r>
        <w:rPr>
          <w:rFonts w:ascii="Times New Roman" w:hAnsi="Times New Roman" w:eastAsia="宋体"/>
          <w:sz w:val="21"/>
        </w:rPr>
        <w:t>；静态图以固定种子一次性固化，运行期不使用任何伪随机数，并采用 Prompt/Response 缓存重放。三类基线分别为：传统无语义的 Independent Cascade（固定概率转移）、Full Polling（保留 JSON 结构化输出但每步轮询全部节点，以隔离事件驱动机制的贡献）和 Monte Carlo（</w:t>
      </w:r>
      <m:oMath>
        <m:r>
          <m:rPr/>
          <w:rPr>
            <w:rFonts w:ascii="Cambria Math" w:hAnsi="Cambria Math"/>
          </w:rPr>
          <m:t>Temperature</m:t>
        </m:r>
        <m:r>
          <m:rPr>
            <m:sty m:val="p"/>
          </m:rPr>
          <w:rPr>
            <w:rFonts w:ascii="Cambria Math" w:hAnsi="Cambria Math"/>
          </w:rPr>
          <m:t>&gt;</m:t>
        </m:r>
        <m:r>
          <m:rPr/>
          <w:rPr>
            <w:rFonts w:ascii="Cambria Math" w:hAnsi="Cambria Math"/>
          </w:rPr>
          <m:t>0</m:t>
        </m:r>
      </m:oMath>
      <w:r>
        <w:rPr>
          <w:rFonts w:ascii="Times New Roman" w:hAnsi="Times New Roman" w:eastAsia="宋体"/>
          <w:sz w:val="21"/>
        </w:rPr>
        <w:t xml:space="preserve"> 重复采样求均值，以比较方差与评估开销）。</w:t>
      </w:r>
    </w:p>
    <w:p w14:paraId="6F68A296">
      <w:pPr>
        <w:pStyle w:val="46"/>
        <w:keepNext/>
        <w:pageBreakBefore w:val="0"/>
        <w:spacing w:before="100" w:after="40"/>
        <w:ind w:firstLine="0"/>
        <w:jc w:val="left"/>
      </w:pPr>
      <w:r>
        <w:rPr>
          <w:rFonts w:ascii="Times New Roman" w:hAnsi="Times New Roman" w:eastAsia="黑体"/>
          <w:b/>
          <w:sz w:val="21"/>
        </w:rPr>
        <w:t>4.2 传播场景与节点人设配置</w:t>
      </w:r>
    </w:p>
    <w:p w14:paraId="1C3249D5">
      <w:pPr>
        <w:pStyle w:val="48"/>
        <w:widowControl/>
        <w:spacing w:before="0" w:after="0" w:line="269" w:lineRule="auto"/>
        <w:ind w:left="0" w:right="0" w:firstLine="420"/>
        <w:jc w:val="both"/>
        <w:rPr>
          <w:lang w:eastAsia="zh-CN"/>
        </w:rPr>
      </w:pPr>
      <w:r>
        <w:rPr>
          <w:rFonts w:ascii="Times New Roman" w:hAnsi="Times New Roman" w:eastAsia="宋体"/>
          <w:sz w:val="21"/>
        </w:rPr>
        <w:t>设定传播信息为虚拟科学预警（如“长期佩戴新型AR眼镜会导致隐性记忆丧失”）。全网包含三种人设：易感者 (Susceptible, 60%)、中立者 (Neutral, 30%) 与具备科学素养的核查员 (Fact Checker, 10%)。</w:t>
      </w:r>
      <w:r>
        <w:rPr>
          <w:rFonts w:ascii="Times New Roman" w:hAnsi="Times New Roman" w:eastAsia="宋体"/>
          <w:sz w:val="21"/>
          <w:lang w:eastAsia="zh-CN"/>
        </w:rPr>
        <w:t>所有节点属性在仿真启动前通过 JSON 配置文件物理固化。为保证实验可复现，完整的 System Prompt、User Prompt 模板、输出 JSON Schema、信念/动作枚举集及三类人设的 Persona Profiles 见</w:t>
      </w:r>
      <w:r>
        <w:rPr>
          <w:rFonts w:ascii="Times New Roman" w:hAnsi="Times New Roman" w:eastAsia="宋体"/>
          <w:b/>
          <w:bCs/>
          <w:sz w:val="21"/>
          <w:lang w:eastAsia="zh-CN"/>
        </w:rPr>
        <w:t>附录 A</w:t>
      </w:r>
      <w:r>
        <w:rPr>
          <w:rFonts w:ascii="Times New Roman" w:hAnsi="Times New Roman" w:eastAsia="宋体"/>
          <w:sz w:val="21"/>
          <w:lang w:eastAsia="zh-CN"/>
        </w:rPr>
        <w:t>。</w:t>
      </w:r>
    </w:p>
    <w:p w14:paraId="5047353D">
      <w:pPr>
        <w:pStyle w:val="46"/>
        <w:keepNext/>
        <w:pageBreakBefore w:val="0"/>
        <w:spacing w:before="100" w:after="40"/>
        <w:ind w:firstLine="0"/>
        <w:jc w:val="left"/>
      </w:pPr>
      <w:r>
        <w:rPr>
          <w:rFonts w:ascii="Times New Roman" w:hAnsi="Times New Roman" w:eastAsia="黑体"/>
          <w:b/>
          <w:sz w:val="21"/>
        </w:rPr>
        <w:t>4.3 实验一：API成本与方差基线对比</w:t>
      </w:r>
    </w:p>
    <w:p w14:paraId="56D23C3A">
      <w:pPr>
        <w:pStyle w:val="48"/>
        <w:widowControl/>
        <w:spacing w:before="0" w:after="0" w:line="269" w:lineRule="auto"/>
        <w:ind w:left="0" w:right="0" w:firstLine="420"/>
        <w:jc w:val="both"/>
      </w:pPr>
      <w:r>
        <w:t>实验一在同一冻结的无标度网络（N=300）上，以真实 deepseek-chat 比较四种仿真范式的开销与稳定性：LEDS（事件驱动，Temperature=0）、Full Polling（保留 JSON 结构化输出但移除事件过滤、每步轮询全部节点，Temperature=0）、Monte Carlo（事件驱动，Temperature=0.7，重复 5 次并计 95% 置信区间）与传统 Independent Cascade（无语义、纯概率转移，重复 100 次）。需要说明的是，Monte Carlo 条件用于呈现较高温度采样下的方差与结构化输出风险，并非严格的温度消融；严格消融应在完全相同调度、相同 Prompt 集合和相同评价集上仅改变 Temperature。</w:t>
      </w:r>
    </w:p>
    <w:p w14:paraId="2CE514C4">
      <w:pPr>
        <w:pStyle w:val="51"/>
        <w:keepNext/>
        <w:spacing w:before="40" w:after="0"/>
        <w:jc w:val="center"/>
      </w:pPr>
      <w:r>
        <w:rPr>
          <w:rFonts w:ascii="Times New Roman" w:hAnsi="Times New Roman" w:eastAsia="宋体"/>
          <w:sz w:val="17"/>
        </w:rPr>
        <w:t>表1 LEDS与基线框架的实测性能对比（真实deepseek-chat，无标度网络）</w:t>
      </w:r>
    </w:p>
    <w:p w14:paraId="128C5F85">
      <w:pPr>
        <w:pStyle w:val="51"/>
        <w:keepNext/>
        <w:spacing w:before="0" w:after="60"/>
        <w:jc w:val="center"/>
      </w:pPr>
      <w:r>
        <w:rPr>
          <w:rFonts w:ascii="Times New Roman" w:hAnsi="Times New Roman" w:eastAsia="宋体"/>
          <w:sz w:val="16"/>
        </w:rPr>
        <w:t>Table 1 Measured performance of LEDS and baseline frameworks</w:t>
      </w:r>
    </w:p>
    <w:tbl>
      <w:tblPr>
        <w:tblStyle w:val="25"/>
        <w:tblW w:w="432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043"/>
        <w:gridCol w:w="521"/>
        <w:gridCol w:w="559"/>
        <w:gridCol w:w="1043"/>
        <w:gridCol w:w="521"/>
        <w:gridCol w:w="633"/>
      </w:tblGrid>
      <w:tr w14:paraId="4EFF2CE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jc w:val="center"/>
        </w:trPr>
        <w:tc>
          <w:tcPr>
            <w:tcW w:w="1043" w:type="dxa"/>
            <w:tcBorders>
              <w:bottom w:val="single" w:color="000000" w:sz="8" w:space="0"/>
            </w:tcBorders>
            <w:tcMar>
              <w:top w:w="18" w:type="dxa"/>
              <w:left w:w="18" w:type="dxa"/>
              <w:bottom w:w="18" w:type="dxa"/>
              <w:right w:w="18" w:type="dxa"/>
            </w:tcMar>
            <w:vAlign w:val="center"/>
          </w:tcPr>
          <w:p w14:paraId="4A3DB5EB">
            <w:pPr>
              <w:pStyle w:val="49"/>
              <w:keepNext w:val="0"/>
              <w:keepLines w:val="0"/>
              <w:spacing w:before="0" w:after="0" w:line="216" w:lineRule="auto"/>
              <w:ind w:left="0" w:right="0" w:firstLine="0"/>
              <w:jc w:val="center"/>
            </w:pPr>
            <w:r>
              <w:rPr>
                <w:rFonts w:ascii="Times New Roman" w:hAnsi="Times New Roman" w:eastAsia="宋体"/>
                <w:b/>
                <w:sz w:val="9"/>
              </w:rPr>
              <w:t>仿真框架模型</w:t>
            </w:r>
          </w:p>
        </w:tc>
        <w:tc>
          <w:tcPr>
            <w:tcW w:w="521" w:type="dxa"/>
            <w:tcBorders>
              <w:bottom w:val="single" w:color="000000" w:sz="8" w:space="0"/>
            </w:tcBorders>
            <w:tcMar>
              <w:top w:w="18" w:type="dxa"/>
              <w:left w:w="18" w:type="dxa"/>
              <w:bottom w:w="18" w:type="dxa"/>
              <w:right w:w="18" w:type="dxa"/>
            </w:tcMar>
            <w:vAlign w:val="center"/>
          </w:tcPr>
          <w:p w14:paraId="3C78DF19">
            <w:pPr>
              <w:pStyle w:val="49"/>
              <w:keepNext w:val="0"/>
              <w:keepLines w:val="0"/>
              <w:spacing w:before="0" w:after="0" w:line="216" w:lineRule="auto"/>
              <w:ind w:left="0" w:right="0" w:firstLine="0"/>
              <w:jc w:val="center"/>
            </w:pPr>
            <w:r>
              <w:rPr>
                <w:rFonts w:ascii="Times New Roman" w:hAnsi="Times New Roman" w:eastAsia="宋体"/>
                <w:b/>
                <w:sz w:val="9"/>
              </w:rPr>
              <w:t>f_LLM 评估次数</w:t>
            </w:r>
          </w:p>
        </w:tc>
        <w:tc>
          <w:tcPr>
            <w:tcW w:w="559" w:type="dxa"/>
            <w:tcBorders>
              <w:bottom w:val="single" w:color="000000" w:sz="8" w:space="0"/>
            </w:tcBorders>
            <w:tcMar>
              <w:top w:w="18" w:type="dxa"/>
              <w:left w:w="18" w:type="dxa"/>
              <w:bottom w:w="18" w:type="dxa"/>
              <w:right w:w="18" w:type="dxa"/>
            </w:tcMar>
            <w:vAlign w:val="center"/>
          </w:tcPr>
          <w:p w14:paraId="04139D0D">
            <w:pPr>
              <w:pStyle w:val="49"/>
              <w:keepNext w:val="0"/>
              <w:keepLines w:val="0"/>
              <w:spacing w:before="0" w:after="0" w:line="216" w:lineRule="auto"/>
              <w:ind w:left="0" w:right="0" w:firstLine="0"/>
              <w:jc w:val="center"/>
            </w:pPr>
            <w:r>
              <w:rPr>
                <w:rFonts w:ascii="Times New Roman" w:hAnsi="Times New Roman" w:eastAsia="宋体"/>
                <w:b/>
                <w:sz w:val="9"/>
              </w:rPr>
              <w:t>墙钟耗时 (s)</w:t>
            </w:r>
          </w:p>
        </w:tc>
        <w:tc>
          <w:tcPr>
            <w:tcW w:w="1043" w:type="dxa"/>
            <w:tcBorders>
              <w:bottom w:val="single" w:color="000000" w:sz="8" w:space="0"/>
            </w:tcBorders>
            <w:tcMar>
              <w:top w:w="18" w:type="dxa"/>
              <w:left w:w="18" w:type="dxa"/>
              <w:bottom w:w="18" w:type="dxa"/>
              <w:right w:w="18" w:type="dxa"/>
            </w:tcMar>
            <w:vAlign w:val="center"/>
          </w:tcPr>
          <w:p w14:paraId="7F7C9C76">
            <w:pPr>
              <w:pStyle w:val="49"/>
              <w:keepNext w:val="0"/>
              <w:keepLines w:val="0"/>
              <w:spacing w:before="0" w:after="0" w:line="216" w:lineRule="auto"/>
              <w:ind w:left="0" w:right="0" w:firstLine="0"/>
              <w:jc w:val="center"/>
              <w:rPr>
                <w:lang w:eastAsia="zh-CN"/>
              </w:rPr>
            </w:pPr>
            <w:r>
              <w:rPr>
                <w:rFonts w:ascii="Times New Roman" w:hAnsi="Times New Roman" w:eastAsia="宋体"/>
                <w:b/>
                <w:sz w:val="9"/>
                <w:lang w:eastAsia="zh-CN"/>
              </w:rPr>
              <w:t>最终渗透率 (均值±95%CI)</w:t>
            </w:r>
          </w:p>
        </w:tc>
        <w:tc>
          <w:tcPr>
            <w:tcW w:w="521" w:type="dxa"/>
            <w:tcBorders>
              <w:bottom w:val="single" w:color="000000" w:sz="8" w:space="0"/>
            </w:tcBorders>
            <w:tcMar>
              <w:top w:w="18" w:type="dxa"/>
              <w:left w:w="18" w:type="dxa"/>
              <w:bottom w:w="18" w:type="dxa"/>
              <w:right w:w="18" w:type="dxa"/>
            </w:tcMar>
            <w:vAlign w:val="center"/>
          </w:tcPr>
          <w:p w14:paraId="6A8B6987">
            <w:pPr>
              <w:pStyle w:val="49"/>
              <w:keepNext w:val="0"/>
              <w:keepLines w:val="0"/>
              <w:spacing w:before="0" w:after="0" w:line="216" w:lineRule="auto"/>
              <w:ind w:left="0" w:right="0" w:firstLine="0"/>
              <w:jc w:val="center"/>
            </w:pPr>
            <w:r>
              <w:rPr>
                <w:rFonts w:ascii="Times New Roman" w:hAnsi="Times New Roman" w:eastAsia="宋体"/>
                <w:b/>
                <w:sz w:val="9"/>
              </w:rPr>
              <w:t>无效 JSON 率</w:t>
            </w:r>
          </w:p>
        </w:tc>
        <w:tc>
          <w:tcPr>
            <w:tcW w:w="633" w:type="dxa"/>
            <w:tcBorders>
              <w:bottom w:val="single" w:color="000000" w:sz="8" w:space="0"/>
            </w:tcBorders>
            <w:tcMar>
              <w:top w:w="18" w:type="dxa"/>
              <w:left w:w="18" w:type="dxa"/>
              <w:bottom w:w="18" w:type="dxa"/>
              <w:right w:w="18" w:type="dxa"/>
            </w:tcMar>
            <w:vAlign w:val="center"/>
          </w:tcPr>
          <w:p w14:paraId="015C5A41">
            <w:pPr>
              <w:pStyle w:val="49"/>
              <w:keepNext w:val="0"/>
              <w:keepLines w:val="0"/>
              <w:spacing w:before="0" w:after="0" w:line="216" w:lineRule="auto"/>
              <w:ind w:left="0" w:right="0" w:firstLine="0"/>
              <w:jc w:val="center"/>
            </w:pPr>
            <w:r>
              <w:rPr>
                <w:rFonts w:ascii="Times New Roman" w:hAnsi="Times New Roman" w:eastAsia="宋体"/>
                <w:b/>
                <w:sz w:val="9"/>
              </w:rPr>
              <w:t>可复现性</w:t>
            </w:r>
          </w:p>
        </w:tc>
      </w:tr>
      <w:tr w14:paraId="7955A0E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043" w:type="dxa"/>
            <w:tcMar>
              <w:top w:w="18" w:type="dxa"/>
              <w:left w:w="18" w:type="dxa"/>
              <w:bottom w:w="18" w:type="dxa"/>
              <w:right w:w="18" w:type="dxa"/>
            </w:tcMar>
            <w:vAlign w:val="center"/>
          </w:tcPr>
          <w:p w14:paraId="2E6A8A17">
            <w:pPr>
              <w:pStyle w:val="50"/>
              <w:keepNext w:val="0"/>
              <w:keepLines w:val="0"/>
              <w:spacing w:before="0" w:after="0" w:line="216" w:lineRule="auto"/>
              <w:ind w:left="0" w:right="0" w:firstLine="0"/>
              <w:jc w:val="center"/>
            </w:pPr>
            <w:r>
              <w:rPr>
                <w:rFonts w:ascii="Times New Roman" w:hAnsi="Times New Roman" w:eastAsia="宋体"/>
                <w:b w:val="0"/>
                <w:bCs/>
                <w:sz w:val="9"/>
              </w:rPr>
              <w:t>LEDS (Temp=0.0, 事件驱动, 本文)</w:t>
            </w:r>
          </w:p>
        </w:tc>
        <w:tc>
          <w:tcPr>
            <w:tcW w:w="521" w:type="dxa"/>
            <w:tcMar>
              <w:top w:w="18" w:type="dxa"/>
              <w:left w:w="18" w:type="dxa"/>
              <w:bottom w:w="18" w:type="dxa"/>
              <w:right w:w="18" w:type="dxa"/>
            </w:tcMar>
            <w:vAlign w:val="center"/>
          </w:tcPr>
          <w:p w14:paraId="48405013">
            <w:pPr>
              <w:pStyle w:val="50"/>
              <w:keepNext w:val="0"/>
              <w:keepLines w:val="0"/>
              <w:spacing w:before="0" w:after="0" w:line="216" w:lineRule="auto"/>
              <w:ind w:left="0" w:right="0" w:firstLine="0"/>
              <w:jc w:val="center"/>
            </w:pPr>
            <w:r>
              <w:rPr>
                <w:rFonts w:ascii="Times New Roman" w:hAnsi="Times New Roman" w:eastAsia="宋体"/>
                <w:b w:val="0"/>
                <w:bCs/>
                <w:sz w:val="9"/>
              </w:rPr>
              <w:t>701</w:t>
            </w:r>
          </w:p>
        </w:tc>
        <w:tc>
          <w:tcPr>
            <w:tcW w:w="559" w:type="dxa"/>
            <w:tcMar>
              <w:top w:w="18" w:type="dxa"/>
              <w:left w:w="18" w:type="dxa"/>
              <w:bottom w:w="18" w:type="dxa"/>
              <w:right w:w="18" w:type="dxa"/>
            </w:tcMar>
            <w:vAlign w:val="center"/>
          </w:tcPr>
          <w:p w14:paraId="664CB9D3">
            <w:pPr>
              <w:pStyle w:val="50"/>
              <w:keepNext w:val="0"/>
              <w:keepLines w:val="0"/>
              <w:spacing w:before="0" w:after="0" w:line="216" w:lineRule="auto"/>
              <w:ind w:left="0" w:right="0" w:firstLine="0"/>
              <w:jc w:val="center"/>
            </w:pPr>
            <w:r>
              <w:rPr>
                <w:rFonts w:ascii="Times New Roman" w:hAnsi="Times New Roman" w:eastAsia="宋体"/>
                <w:b w:val="0"/>
                <w:sz w:val="9"/>
              </w:rPr>
              <w:t>884</w:t>
            </w:r>
          </w:p>
        </w:tc>
        <w:tc>
          <w:tcPr>
            <w:tcW w:w="1043" w:type="dxa"/>
            <w:tcMar>
              <w:top w:w="18" w:type="dxa"/>
              <w:left w:w="18" w:type="dxa"/>
              <w:bottom w:w="18" w:type="dxa"/>
              <w:right w:w="18" w:type="dxa"/>
            </w:tcMar>
            <w:vAlign w:val="center"/>
          </w:tcPr>
          <w:p w14:paraId="2881B416">
            <w:pPr>
              <w:pStyle w:val="50"/>
              <w:keepNext w:val="0"/>
              <w:keepLines w:val="0"/>
              <w:spacing w:before="0" w:after="0" w:line="216" w:lineRule="auto"/>
              <w:ind w:left="0" w:right="0" w:firstLine="0"/>
              <w:jc w:val="center"/>
              <w:rPr>
                <w:lang w:eastAsia="zh-CN"/>
              </w:rPr>
            </w:pPr>
            <w:r>
              <w:rPr>
                <w:rFonts w:ascii="Times New Roman" w:hAnsi="Times New Roman" w:eastAsia="宋体"/>
                <w:b w:val="0"/>
                <w:sz w:val="9"/>
                <w:lang w:eastAsia="zh-CN"/>
              </w:rPr>
              <w:t>27.0%（缓存重放可精确复现）</w:t>
            </w:r>
          </w:p>
        </w:tc>
        <w:tc>
          <w:tcPr>
            <w:tcW w:w="521" w:type="dxa"/>
            <w:tcMar>
              <w:top w:w="18" w:type="dxa"/>
              <w:left w:w="18" w:type="dxa"/>
              <w:bottom w:w="18" w:type="dxa"/>
              <w:right w:w="18" w:type="dxa"/>
            </w:tcMar>
            <w:vAlign w:val="center"/>
          </w:tcPr>
          <w:p w14:paraId="12E68111">
            <w:pPr>
              <w:pStyle w:val="50"/>
              <w:keepNext w:val="0"/>
              <w:keepLines w:val="0"/>
              <w:spacing w:before="0" w:after="0" w:line="216" w:lineRule="auto"/>
              <w:ind w:left="0" w:right="0" w:firstLine="0"/>
              <w:jc w:val="center"/>
            </w:pPr>
            <w:r>
              <w:rPr>
                <w:rFonts w:ascii="Times New Roman" w:hAnsi="Times New Roman" w:eastAsia="宋体"/>
                <w:b w:val="0"/>
                <w:sz w:val="9"/>
              </w:rPr>
              <w:t>0%</w:t>
            </w:r>
          </w:p>
        </w:tc>
        <w:tc>
          <w:tcPr>
            <w:tcW w:w="633" w:type="dxa"/>
            <w:tcMar>
              <w:top w:w="18" w:type="dxa"/>
              <w:left w:w="18" w:type="dxa"/>
              <w:bottom w:w="18" w:type="dxa"/>
              <w:right w:w="18" w:type="dxa"/>
            </w:tcMar>
            <w:vAlign w:val="center"/>
          </w:tcPr>
          <w:p w14:paraId="2FF2312F">
            <w:pPr>
              <w:pStyle w:val="50"/>
              <w:keepNext w:val="0"/>
              <w:keepLines w:val="0"/>
              <w:spacing w:before="0" w:after="0" w:line="216" w:lineRule="auto"/>
              <w:ind w:left="0" w:right="0" w:firstLine="0"/>
              <w:jc w:val="center"/>
            </w:pPr>
            <w:r>
              <w:rPr>
                <w:rFonts w:ascii="Times New Roman" w:hAnsi="Times New Roman" w:eastAsia="宋体"/>
                <w:b w:val="0"/>
                <w:sz w:val="9"/>
              </w:rPr>
              <w:t>高（缓存重放）</w:t>
            </w:r>
          </w:p>
        </w:tc>
      </w:tr>
      <w:tr w14:paraId="685EE8F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043" w:type="dxa"/>
            <w:tcMar>
              <w:top w:w="18" w:type="dxa"/>
              <w:left w:w="18" w:type="dxa"/>
              <w:bottom w:w="18" w:type="dxa"/>
              <w:right w:w="18" w:type="dxa"/>
            </w:tcMar>
            <w:vAlign w:val="center"/>
          </w:tcPr>
          <w:p w14:paraId="650AAD09">
            <w:pPr>
              <w:pStyle w:val="50"/>
              <w:keepNext w:val="0"/>
              <w:keepLines w:val="0"/>
              <w:spacing w:before="0" w:after="0" w:line="216" w:lineRule="auto"/>
              <w:ind w:left="0" w:right="0" w:firstLine="0"/>
              <w:jc w:val="center"/>
            </w:pPr>
            <w:r>
              <w:rPr>
                <w:rFonts w:ascii="Times New Roman" w:hAnsi="Times New Roman" w:eastAsia="宋体"/>
                <w:b w:val="0"/>
                <w:sz w:val="9"/>
              </w:rPr>
              <w:t>Full Polling LLM (Temp=0.0, 全轮询)</w:t>
            </w:r>
          </w:p>
        </w:tc>
        <w:tc>
          <w:tcPr>
            <w:tcW w:w="521" w:type="dxa"/>
            <w:tcMar>
              <w:top w:w="18" w:type="dxa"/>
              <w:left w:w="18" w:type="dxa"/>
              <w:bottom w:w="18" w:type="dxa"/>
              <w:right w:w="18" w:type="dxa"/>
            </w:tcMar>
            <w:vAlign w:val="center"/>
          </w:tcPr>
          <w:p w14:paraId="659D1A7E">
            <w:pPr>
              <w:pStyle w:val="50"/>
              <w:keepNext w:val="0"/>
              <w:keepLines w:val="0"/>
              <w:spacing w:before="0" w:after="0" w:line="216" w:lineRule="auto"/>
              <w:ind w:left="0" w:right="0" w:firstLine="0"/>
              <w:jc w:val="center"/>
            </w:pPr>
            <w:r>
              <w:rPr>
                <w:rFonts w:ascii="Times New Roman" w:hAnsi="Times New Roman" w:eastAsia="宋体"/>
                <w:b w:val="0"/>
                <w:sz w:val="9"/>
              </w:rPr>
              <w:t>2,400</w:t>
            </w:r>
          </w:p>
        </w:tc>
        <w:tc>
          <w:tcPr>
            <w:tcW w:w="559" w:type="dxa"/>
            <w:tcMar>
              <w:top w:w="18" w:type="dxa"/>
              <w:left w:w="18" w:type="dxa"/>
              <w:bottom w:w="18" w:type="dxa"/>
              <w:right w:w="18" w:type="dxa"/>
            </w:tcMar>
            <w:vAlign w:val="center"/>
          </w:tcPr>
          <w:p w14:paraId="570E4703">
            <w:pPr>
              <w:pStyle w:val="50"/>
              <w:keepNext w:val="0"/>
              <w:keepLines w:val="0"/>
              <w:spacing w:before="0" w:after="0" w:line="216" w:lineRule="auto"/>
              <w:ind w:left="0" w:right="0" w:firstLine="0"/>
              <w:jc w:val="center"/>
            </w:pPr>
            <w:r>
              <w:rPr>
                <w:rFonts w:ascii="Times New Roman" w:hAnsi="Times New Roman" w:eastAsia="宋体"/>
                <w:b w:val="0"/>
                <w:sz w:val="9"/>
              </w:rPr>
              <w:t>471</w:t>
            </w:r>
          </w:p>
        </w:tc>
        <w:tc>
          <w:tcPr>
            <w:tcW w:w="1043" w:type="dxa"/>
            <w:tcMar>
              <w:top w:w="18" w:type="dxa"/>
              <w:left w:w="18" w:type="dxa"/>
              <w:bottom w:w="18" w:type="dxa"/>
              <w:right w:w="18" w:type="dxa"/>
            </w:tcMar>
            <w:vAlign w:val="center"/>
          </w:tcPr>
          <w:p w14:paraId="59C725DD">
            <w:pPr>
              <w:pStyle w:val="50"/>
              <w:keepNext w:val="0"/>
              <w:keepLines w:val="0"/>
              <w:spacing w:before="0" w:after="0" w:line="216" w:lineRule="auto"/>
              <w:ind w:left="0" w:right="0" w:firstLine="0"/>
              <w:jc w:val="center"/>
            </w:pPr>
            <w:r>
              <w:rPr>
                <w:rFonts w:ascii="Times New Roman" w:hAnsi="Times New Roman" w:eastAsia="宋体"/>
                <w:b w:val="0"/>
                <w:sz w:val="9"/>
              </w:rPr>
              <w:t>7.3%</w:t>
            </w:r>
          </w:p>
        </w:tc>
        <w:tc>
          <w:tcPr>
            <w:tcW w:w="521" w:type="dxa"/>
            <w:tcMar>
              <w:top w:w="18" w:type="dxa"/>
              <w:left w:w="18" w:type="dxa"/>
              <w:bottom w:w="18" w:type="dxa"/>
              <w:right w:w="18" w:type="dxa"/>
            </w:tcMar>
            <w:vAlign w:val="center"/>
          </w:tcPr>
          <w:p w14:paraId="48047F14">
            <w:pPr>
              <w:pStyle w:val="50"/>
              <w:keepNext w:val="0"/>
              <w:keepLines w:val="0"/>
              <w:spacing w:before="0" w:after="0" w:line="216" w:lineRule="auto"/>
              <w:ind w:left="0" w:right="0" w:firstLine="0"/>
              <w:jc w:val="center"/>
            </w:pPr>
            <w:r>
              <w:rPr>
                <w:rFonts w:ascii="Times New Roman" w:hAnsi="Times New Roman" w:eastAsia="宋体"/>
                <w:b w:val="0"/>
                <w:sz w:val="9"/>
              </w:rPr>
              <w:t>0%</w:t>
            </w:r>
          </w:p>
        </w:tc>
        <w:tc>
          <w:tcPr>
            <w:tcW w:w="633" w:type="dxa"/>
            <w:tcMar>
              <w:top w:w="18" w:type="dxa"/>
              <w:left w:w="18" w:type="dxa"/>
              <w:bottom w:w="18" w:type="dxa"/>
              <w:right w:w="18" w:type="dxa"/>
            </w:tcMar>
            <w:vAlign w:val="center"/>
          </w:tcPr>
          <w:p w14:paraId="6F8BFC67">
            <w:pPr>
              <w:pStyle w:val="50"/>
              <w:keepNext w:val="0"/>
              <w:keepLines w:val="0"/>
              <w:spacing w:before="0" w:after="0" w:line="216" w:lineRule="auto"/>
              <w:ind w:left="0" w:right="0" w:firstLine="0"/>
              <w:jc w:val="center"/>
            </w:pPr>
            <w:r>
              <w:rPr>
                <w:rFonts w:ascii="Times New Roman" w:hAnsi="Times New Roman" w:eastAsia="宋体"/>
                <w:b w:val="0"/>
                <w:sz w:val="9"/>
              </w:rPr>
              <w:t>低</w:t>
            </w:r>
          </w:p>
        </w:tc>
      </w:tr>
      <w:tr w14:paraId="7717811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043" w:type="dxa"/>
            <w:tcMar>
              <w:top w:w="18" w:type="dxa"/>
              <w:left w:w="18" w:type="dxa"/>
              <w:bottom w:w="18" w:type="dxa"/>
              <w:right w:w="18" w:type="dxa"/>
            </w:tcMar>
            <w:vAlign w:val="center"/>
          </w:tcPr>
          <w:p w14:paraId="1C1C14CA">
            <w:pPr>
              <w:pStyle w:val="50"/>
              <w:keepNext w:val="0"/>
              <w:keepLines w:val="0"/>
              <w:spacing w:before="0" w:after="0" w:line="216" w:lineRule="auto"/>
              <w:ind w:left="0" w:right="0" w:firstLine="0"/>
              <w:jc w:val="center"/>
            </w:pPr>
            <w:r>
              <w:rPr>
                <w:rFonts w:ascii="Times New Roman" w:hAnsi="Times New Roman" w:eastAsia="宋体"/>
                <w:b w:val="0"/>
                <w:sz w:val="9"/>
              </w:rPr>
              <w:t>Monte Carlo (Temp=0.7, 5 轮)</w:t>
            </w:r>
          </w:p>
        </w:tc>
        <w:tc>
          <w:tcPr>
            <w:tcW w:w="521" w:type="dxa"/>
            <w:tcMar>
              <w:top w:w="18" w:type="dxa"/>
              <w:left w:w="18" w:type="dxa"/>
              <w:bottom w:w="18" w:type="dxa"/>
              <w:right w:w="18" w:type="dxa"/>
            </w:tcMar>
            <w:vAlign w:val="center"/>
          </w:tcPr>
          <w:p w14:paraId="7C5640AD">
            <w:pPr>
              <w:pStyle w:val="50"/>
              <w:keepNext w:val="0"/>
              <w:keepLines w:val="0"/>
              <w:spacing w:before="0" w:after="0" w:line="216" w:lineRule="auto"/>
              <w:ind w:left="0" w:right="0" w:firstLine="0"/>
              <w:jc w:val="center"/>
            </w:pPr>
            <w:r>
              <w:rPr>
                <w:rFonts w:ascii="Times New Roman" w:hAnsi="Times New Roman" w:eastAsia="宋体"/>
                <w:b w:val="0"/>
                <w:sz w:val="9"/>
              </w:rPr>
              <w:t>3,993</w:t>
            </w:r>
          </w:p>
        </w:tc>
        <w:tc>
          <w:tcPr>
            <w:tcW w:w="559" w:type="dxa"/>
            <w:tcMar>
              <w:top w:w="18" w:type="dxa"/>
              <w:left w:w="18" w:type="dxa"/>
              <w:bottom w:w="18" w:type="dxa"/>
              <w:right w:w="18" w:type="dxa"/>
            </w:tcMar>
            <w:vAlign w:val="center"/>
          </w:tcPr>
          <w:p w14:paraId="13FC2F00">
            <w:pPr>
              <w:pStyle w:val="50"/>
              <w:keepNext w:val="0"/>
              <w:keepLines w:val="0"/>
              <w:spacing w:before="0" w:after="0" w:line="216" w:lineRule="auto"/>
              <w:ind w:left="0" w:right="0" w:firstLine="0"/>
              <w:jc w:val="center"/>
            </w:pPr>
            <w:r>
              <w:rPr>
                <w:rFonts w:ascii="Times New Roman" w:hAnsi="Times New Roman" w:eastAsia="宋体"/>
                <w:b w:val="0"/>
                <w:sz w:val="9"/>
              </w:rPr>
              <w:t>7,012</w:t>
            </w:r>
          </w:p>
        </w:tc>
        <w:tc>
          <w:tcPr>
            <w:tcW w:w="1043" w:type="dxa"/>
            <w:tcMar>
              <w:top w:w="18" w:type="dxa"/>
              <w:left w:w="18" w:type="dxa"/>
              <w:bottom w:w="18" w:type="dxa"/>
              <w:right w:w="18" w:type="dxa"/>
            </w:tcMar>
            <w:vAlign w:val="center"/>
          </w:tcPr>
          <w:p w14:paraId="4CA3DA1B">
            <w:pPr>
              <w:pStyle w:val="50"/>
              <w:keepNext w:val="0"/>
              <w:keepLines w:val="0"/>
              <w:spacing w:before="0" w:after="0" w:line="216" w:lineRule="auto"/>
              <w:ind w:left="0" w:right="0" w:firstLine="0"/>
              <w:jc w:val="center"/>
            </w:pPr>
            <w:r>
              <w:rPr>
                <w:rFonts w:ascii="Times New Roman" w:hAnsi="Times New Roman" w:eastAsia="宋体"/>
                <w:b w:val="0"/>
                <w:bCs/>
                <w:sz w:val="9"/>
              </w:rPr>
              <w:t>17.2% ± 4.6%</w:t>
            </w:r>
          </w:p>
        </w:tc>
        <w:tc>
          <w:tcPr>
            <w:tcW w:w="521" w:type="dxa"/>
            <w:tcMar>
              <w:top w:w="18" w:type="dxa"/>
              <w:left w:w="18" w:type="dxa"/>
              <w:bottom w:w="18" w:type="dxa"/>
              <w:right w:w="18" w:type="dxa"/>
            </w:tcMar>
            <w:vAlign w:val="center"/>
          </w:tcPr>
          <w:p w14:paraId="44F3261C">
            <w:pPr>
              <w:pStyle w:val="50"/>
              <w:keepNext w:val="0"/>
              <w:keepLines w:val="0"/>
              <w:spacing w:before="0" w:after="0" w:line="216" w:lineRule="auto"/>
              <w:ind w:left="0" w:right="0" w:firstLine="0"/>
              <w:jc w:val="center"/>
            </w:pPr>
            <w:r>
              <w:rPr>
                <w:rFonts w:ascii="Times New Roman" w:hAnsi="Times New Roman" w:eastAsia="宋体"/>
                <w:b w:val="0"/>
                <w:sz w:val="9"/>
              </w:rPr>
              <w:t>0.1%</w:t>
            </w:r>
          </w:p>
        </w:tc>
        <w:tc>
          <w:tcPr>
            <w:tcW w:w="633" w:type="dxa"/>
            <w:tcMar>
              <w:top w:w="18" w:type="dxa"/>
              <w:left w:w="18" w:type="dxa"/>
              <w:bottom w:w="18" w:type="dxa"/>
              <w:right w:w="18" w:type="dxa"/>
            </w:tcMar>
            <w:vAlign w:val="center"/>
          </w:tcPr>
          <w:p w14:paraId="3F09D404">
            <w:pPr>
              <w:pStyle w:val="50"/>
              <w:keepNext w:val="0"/>
              <w:keepLines w:val="0"/>
              <w:spacing w:before="0" w:after="0" w:line="216" w:lineRule="auto"/>
              <w:ind w:left="0" w:right="0" w:firstLine="0"/>
              <w:jc w:val="center"/>
            </w:pPr>
            <w:r>
              <w:rPr>
                <w:rFonts w:ascii="Times New Roman" w:hAnsi="Times New Roman" w:eastAsia="宋体"/>
                <w:b w:val="0"/>
                <w:sz w:val="9"/>
              </w:rPr>
              <w:t>极低</w:t>
            </w:r>
          </w:p>
        </w:tc>
      </w:tr>
      <w:tr w14:paraId="3698DB6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043" w:type="dxa"/>
            <w:tcMar>
              <w:top w:w="18" w:type="dxa"/>
              <w:left w:w="18" w:type="dxa"/>
              <w:bottom w:w="18" w:type="dxa"/>
              <w:right w:w="18" w:type="dxa"/>
            </w:tcMar>
            <w:vAlign w:val="center"/>
          </w:tcPr>
          <w:p w14:paraId="5BC0D8FA">
            <w:pPr>
              <w:pStyle w:val="50"/>
              <w:keepNext w:val="0"/>
              <w:keepLines w:val="0"/>
              <w:spacing w:before="0" w:after="0" w:line="216" w:lineRule="auto"/>
              <w:ind w:left="0" w:right="0" w:firstLine="0"/>
              <w:jc w:val="center"/>
            </w:pPr>
            <w:r>
              <w:rPr>
                <w:rFonts w:ascii="Times New Roman" w:hAnsi="Times New Roman" w:eastAsia="宋体"/>
                <w:b w:val="0"/>
                <w:sz w:val="9"/>
              </w:rPr>
              <w:t>Independent Cascade (传统, p=0.1)</w:t>
            </w:r>
          </w:p>
        </w:tc>
        <w:tc>
          <w:tcPr>
            <w:tcW w:w="521" w:type="dxa"/>
            <w:tcMar>
              <w:top w:w="18" w:type="dxa"/>
              <w:left w:w="18" w:type="dxa"/>
              <w:bottom w:w="18" w:type="dxa"/>
              <w:right w:w="18" w:type="dxa"/>
            </w:tcMar>
            <w:vAlign w:val="center"/>
          </w:tcPr>
          <w:p w14:paraId="1050C584">
            <w:pPr>
              <w:pStyle w:val="50"/>
              <w:keepNext w:val="0"/>
              <w:keepLines w:val="0"/>
              <w:spacing w:before="0" w:after="0" w:line="216" w:lineRule="auto"/>
              <w:ind w:left="0" w:right="0" w:firstLine="0"/>
              <w:jc w:val="center"/>
            </w:pPr>
            <w:r>
              <w:rPr>
                <w:rFonts w:ascii="Times New Roman" w:hAnsi="Times New Roman" w:eastAsia="宋体"/>
                <w:b w:val="0"/>
                <w:sz w:val="9"/>
              </w:rPr>
              <w:t>0</w:t>
            </w:r>
          </w:p>
        </w:tc>
        <w:tc>
          <w:tcPr>
            <w:tcW w:w="559" w:type="dxa"/>
            <w:tcMar>
              <w:top w:w="18" w:type="dxa"/>
              <w:left w:w="18" w:type="dxa"/>
              <w:bottom w:w="18" w:type="dxa"/>
              <w:right w:w="18" w:type="dxa"/>
            </w:tcMar>
            <w:vAlign w:val="center"/>
          </w:tcPr>
          <w:p w14:paraId="05B61280">
            <w:pPr>
              <w:pStyle w:val="50"/>
              <w:keepNext w:val="0"/>
              <w:keepLines w:val="0"/>
              <w:spacing w:before="0" w:after="0" w:line="216" w:lineRule="auto"/>
              <w:ind w:left="0" w:right="0" w:firstLine="0"/>
              <w:jc w:val="center"/>
            </w:pPr>
            <w:r>
              <w:rPr>
                <w:rFonts w:ascii="Times New Roman" w:hAnsi="Times New Roman" w:eastAsia="宋体"/>
                <w:b w:val="0"/>
                <w:sz w:val="9"/>
              </w:rPr>
              <w:t>N/A</w:t>
            </w:r>
          </w:p>
        </w:tc>
        <w:tc>
          <w:tcPr>
            <w:tcW w:w="1043" w:type="dxa"/>
            <w:tcMar>
              <w:top w:w="18" w:type="dxa"/>
              <w:left w:w="18" w:type="dxa"/>
              <w:bottom w:w="18" w:type="dxa"/>
              <w:right w:w="18" w:type="dxa"/>
            </w:tcMar>
            <w:vAlign w:val="center"/>
          </w:tcPr>
          <w:p w14:paraId="34F07F29">
            <w:pPr>
              <w:pStyle w:val="50"/>
              <w:keepNext w:val="0"/>
              <w:keepLines w:val="0"/>
              <w:spacing w:before="0" w:after="0" w:line="216" w:lineRule="auto"/>
              <w:ind w:left="0" w:right="0" w:firstLine="0"/>
              <w:jc w:val="center"/>
            </w:pPr>
            <w:r>
              <w:rPr>
                <w:rFonts w:ascii="Times New Roman" w:hAnsi="Times New Roman" w:eastAsia="宋体"/>
                <w:b w:val="0"/>
                <w:sz w:val="9"/>
              </w:rPr>
              <w:t>0.7% ± 0.2%</w:t>
            </w:r>
          </w:p>
        </w:tc>
        <w:tc>
          <w:tcPr>
            <w:tcW w:w="521" w:type="dxa"/>
            <w:tcMar>
              <w:top w:w="18" w:type="dxa"/>
              <w:left w:w="18" w:type="dxa"/>
              <w:bottom w:w="18" w:type="dxa"/>
              <w:right w:w="18" w:type="dxa"/>
            </w:tcMar>
            <w:vAlign w:val="center"/>
          </w:tcPr>
          <w:p w14:paraId="094B0663">
            <w:pPr>
              <w:pStyle w:val="50"/>
              <w:keepNext w:val="0"/>
              <w:keepLines w:val="0"/>
              <w:spacing w:before="0" w:after="0" w:line="216" w:lineRule="auto"/>
              <w:ind w:left="0" w:right="0" w:firstLine="0"/>
              <w:jc w:val="center"/>
            </w:pPr>
            <w:r>
              <w:rPr>
                <w:rFonts w:ascii="Times New Roman" w:hAnsi="Times New Roman" w:eastAsia="宋体"/>
                <w:b w:val="0"/>
                <w:sz w:val="9"/>
              </w:rPr>
              <w:t>N/A</w:t>
            </w:r>
          </w:p>
        </w:tc>
        <w:tc>
          <w:tcPr>
            <w:tcW w:w="633" w:type="dxa"/>
            <w:tcMar>
              <w:top w:w="18" w:type="dxa"/>
              <w:left w:w="18" w:type="dxa"/>
              <w:bottom w:w="18" w:type="dxa"/>
              <w:right w:w="18" w:type="dxa"/>
            </w:tcMar>
            <w:vAlign w:val="center"/>
          </w:tcPr>
          <w:p w14:paraId="1E40CA2D">
            <w:pPr>
              <w:pStyle w:val="50"/>
              <w:keepNext w:val="0"/>
              <w:keepLines w:val="0"/>
              <w:spacing w:before="0" w:after="0" w:line="216" w:lineRule="auto"/>
              <w:ind w:left="0" w:right="0" w:firstLine="0"/>
              <w:jc w:val="center"/>
            </w:pPr>
            <w:r>
              <w:rPr>
                <w:rFonts w:ascii="Times New Roman" w:hAnsi="Times New Roman" w:eastAsia="宋体"/>
                <w:b w:val="0"/>
                <w:sz w:val="9"/>
              </w:rPr>
              <w:t>N/A（无语义）</w:t>
            </w:r>
          </w:p>
        </w:tc>
      </w:tr>
    </w:tbl>
    <w:p w14:paraId="21256A44">
      <w:pPr>
        <w:pStyle w:val="48"/>
        <w:widowControl/>
        <w:spacing w:before="0" w:after="0" w:line="269" w:lineRule="auto"/>
        <w:ind w:left="0" w:right="0" w:firstLine="420"/>
        <w:jc w:val="both"/>
        <w:rPr>
          <w:lang w:eastAsia="zh-CN"/>
        </w:rPr>
      </w:pPr>
      <w:r>
        <w:rPr>
          <w:rFonts w:ascii="Times New Roman" w:hAnsi="Times New Roman" w:eastAsia="宋体"/>
          <w:sz w:val="21"/>
          <w:lang w:eastAsia="zh-CN"/>
        </w:rPr>
        <w:t>表 1 揭示了五方面结果。</w:t>
      </w:r>
    </w:p>
    <w:p w14:paraId="336A6B80">
      <w:pPr>
        <w:pStyle w:val="48"/>
        <w:widowControl/>
        <w:spacing w:before="0" w:after="0" w:line="269" w:lineRule="auto"/>
        <w:ind w:left="0" w:right="0" w:firstLine="420"/>
        <w:jc w:val="both"/>
        <w:rPr>
          <w:lang w:eastAsia="zh-CN"/>
        </w:rPr>
      </w:pPr>
      <w:r>
        <w:rPr>
          <w:rFonts w:ascii="Times New Roman" w:hAnsi="Times New Roman" w:eastAsia="宋体"/>
          <w:sz w:val="21"/>
          <w:lang w:eastAsia="zh-CN"/>
        </w:rPr>
        <w:t>（1）</w:t>
      </w:r>
      <w:r>
        <w:rPr>
          <w:rFonts w:ascii="Times New Roman" w:hAnsi="Times New Roman" w:eastAsia="宋体"/>
          <w:b/>
          <w:bCs/>
          <w:sz w:val="21"/>
          <w:lang w:eastAsia="zh-CN"/>
        </w:rPr>
        <w:t>可复现性与方差。</w:t>
      </w:r>
      <w:r>
        <w:rPr>
          <w:rFonts w:ascii="Times New Roman" w:hAnsi="Times New Roman" w:eastAsia="宋体"/>
          <w:sz w:val="21"/>
          <w:lang w:eastAsia="zh-CN"/>
        </w:rPr>
        <w:t xml:space="preserve"> 蒙特卡洛（</w:t>
      </w:r>
      <m:oMath>
        <m:r>
          <m:rPr/>
          <w:rPr>
            <w:rFonts w:ascii="Cambria Math" w:hAnsi="Cambria Math"/>
            <w:lang w:eastAsia="zh-CN"/>
          </w:rPr>
          <m:t>Temperature</m:t>
        </m:r>
        <m:r>
          <m:rPr>
            <m:sty m:val="p"/>
          </m:rPr>
          <w:rPr>
            <w:rFonts w:ascii="Cambria Math" w:hAnsi="Cambria Math"/>
            <w:lang w:eastAsia="zh-CN"/>
          </w:rPr>
          <m:t>=</m:t>
        </m:r>
        <m:r>
          <m:rPr/>
          <w:rPr>
            <w:rFonts w:ascii="Cambria Math" w:hAnsi="Cambria Math"/>
            <w:lang w:eastAsia="zh-CN"/>
          </w:rPr>
          <m:t>0.7</m:t>
        </m:r>
      </m:oMath>
      <w:r>
        <w:rPr>
          <w:rFonts w:ascii="Times New Roman" w:hAnsi="Times New Roman" w:eastAsia="宋体"/>
          <w:sz w:val="21"/>
          <w:lang w:eastAsia="zh-CN"/>
        </w:rPr>
        <w:t xml:space="preserve">）5 次采样的渗透率为 </w:t>
      </w:r>
      <m:oMath>
        <m:r>
          <m:rPr/>
          <w:rPr>
            <w:rFonts w:ascii="Cambria Math" w:hAnsi="Cambria Math"/>
            <w:lang w:eastAsia="zh-CN"/>
          </w:rPr>
          <m:t>17.2</m:t>
        </m:r>
        <m:r>
          <m:rPr>
            <m:sty m:val="p"/>
          </m:rPr>
          <w:rPr>
            <w:rFonts w:ascii="Cambria Math" w:hAnsi="Cambria Math"/>
            <w:lang w:eastAsia="zh-CN"/>
          </w:rPr>
          <m:t>%±</m:t>
        </m:r>
        <m:r>
          <m:rPr/>
          <w:rPr>
            <w:rFonts w:ascii="Cambria Math" w:hAnsi="Cambria Math"/>
            <w:lang w:eastAsia="zh-CN"/>
          </w:rPr>
          <m:t>4.6</m:t>
        </m:r>
        <m:r>
          <m:rPr>
            <m:sty m:val="p"/>
          </m:rPr>
          <w:rPr>
            <w:rFonts w:ascii="Cambria Math" w:hAnsi="Cambria Math"/>
            <w:lang w:eastAsia="zh-CN"/>
          </w:rPr>
          <m:t>%</m:t>
        </m:r>
      </m:oMath>
      <w:r>
        <w:rPr>
          <w:rFonts w:ascii="Times New Roman" w:hAnsi="Times New Roman" w:eastAsia="宋体"/>
          <w:sz w:val="21"/>
          <w:lang w:eastAsia="zh-CN"/>
        </w:rPr>
        <w:t xml:space="preserve">（样本跨度 8.0%～21.0%），单次运行的宏观结论并不可靠。即便在 </w:t>
      </w:r>
      <m:oMath>
        <m:r>
          <m:rPr/>
          <w:rPr>
            <w:rFonts w:ascii="Cambria Math" w:hAnsi="Cambria Math"/>
            <w:lang w:eastAsia="zh-CN"/>
          </w:rPr>
          <m:t>Temperature</m:t>
        </m:r>
        <m:r>
          <m:rPr>
            <m:sty m:val="p"/>
          </m:rPr>
          <w:rPr>
            <w:rFonts w:ascii="Cambria Math" w:hAnsi="Cambria Math"/>
            <w:lang w:eastAsia="zh-CN"/>
          </w:rPr>
          <m:t>=</m:t>
        </m:r>
        <m:r>
          <m:rPr/>
          <w:rPr>
            <w:rFonts w:ascii="Cambria Math" w:hAnsi="Cambria Math"/>
            <w:lang w:eastAsia="zh-CN"/>
          </w:rPr>
          <m:t>0</m:t>
        </m:r>
      </m:oMath>
      <w:r>
        <w:rPr>
          <w:rFonts w:ascii="Times New Roman" w:hAnsi="Times New Roman" w:eastAsia="宋体"/>
          <w:sz w:val="21"/>
          <w:lang w:eastAsia="zh-CN"/>
        </w:rPr>
        <w:t xml:space="preserve"> 下，独立运行仍会发散（本表 LEDS 为 27.0%，4.6 节合成网络同配置为 31.7%），4.4 节的探针对此作了系统刻画。因此 LEDS 的可复现性由缓存重放在实验层面保证，而非依赖重复运行的自然一致（见 3.4 节）。</w:t>
      </w:r>
    </w:p>
    <w:p w14:paraId="14AADB34">
      <w:pPr>
        <w:pStyle w:val="48"/>
        <w:widowControl/>
        <w:spacing w:before="0" w:after="0" w:line="269" w:lineRule="auto"/>
        <w:ind w:left="0" w:right="0" w:firstLine="420"/>
        <w:jc w:val="both"/>
        <w:rPr>
          <w:lang w:eastAsia="zh-CN"/>
        </w:rPr>
      </w:pPr>
      <w:r>
        <w:rPr>
          <w:rFonts w:ascii="Times New Roman" w:hAnsi="Times New Roman" w:eastAsia="宋体"/>
          <w:sz w:val="21"/>
          <w:lang w:eastAsia="zh-CN"/>
        </w:rPr>
        <w:t>（2）</w:t>
      </w:r>
      <w:r>
        <w:rPr>
          <w:rFonts w:ascii="Times New Roman" w:hAnsi="Times New Roman" w:eastAsia="宋体"/>
          <w:b/>
          <w:bCs/>
          <w:sz w:val="21"/>
          <w:lang w:eastAsia="zh-CN"/>
        </w:rPr>
        <w:t>评估次数与真实成本的关系。</w:t>
      </w:r>
      <w:r>
        <w:rPr>
          <w:rFonts w:ascii="Times New Roman" w:hAnsi="Times New Roman" w:eastAsia="宋体"/>
          <w:sz w:val="21"/>
          <w:lang w:eastAsia="zh-CN"/>
        </w:rPr>
        <w:t xml:space="preserve"> 事件驱动将 </w:t>
      </w:r>
      <m:oMath>
        <m:sSub>
          <m:sSubPr>
            <m:ctrlPr>
              <w:rPr>
                <w:rFonts w:ascii="Cambria Math" w:hAnsi="Cambria Math"/>
              </w:rPr>
            </m:ctrlPr>
          </m:sSubPr>
          <m:e>
            <m:r>
              <m:rPr/>
              <w:rPr>
                <w:rFonts w:ascii="Cambria Math" w:hAnsi="Cambria Math"/>
                <w:lang w:eastAsia="zh-CN"/>
              </w:rPr>
              <m:t>f</m:t>
            </m:r>
            <m:ctrlPr>
              <w:rPr>
                <w:rFonts w:ascii="Cambria Math" w:hAnsi="Cambria Math"/>
              </w:rPr>
            </m:ctrlPr>
          </m:e>
          <m:sub>
            <m:r>
              <m:rPr/>
              <w:rPr>
                <w:rFonts w:ascii="Cambria Math" w:hAnsi="Cambria Math"/>
                <w:lang w:eastAsia="zh-CN"/>
              </w:rPr>
              <m:t>LLM</m:t>
            </m:r>
            <m:ctrlPr>
              <w:rPr>
                <w:rFonts w:ascii="Cambria Math" w:hAnsi="Cambria Math"/>
              </w:rPr>
            </m:ctrlPr>
          </m:sub>
        </m:sSub>
      </m:oMath>
      <w:r>
        <w:rPr>
          <w:rFonts w:ascii="Times New Roman" w:hAnsi="Times New Roman" w:eastAsia="宋体"/>
          <w:sz w:val="21"/>
          <w:lang w:eastAsia="zh-CN"/>
        </w:rPr>
        <w:t xml:space="preserve"> 评估次数从全轮询的 2,400 次降至 701 次（约 1/3.4）。但评估次数的削减未必等比转化为成本或耗时：空闲节点的相同 Prompt 大多命中响应缓存，故全轮询的墙钟耗时（471 s）反而低于 LEDS（884 s）。评估次数削减是架构级指标，仅当每节点 Prompt 携带不可缓存的历史上下文（如自由对话式仿真）时，才转化为真实的 token 与耗时优势；不同规模下的削减比与该指标的边界详见附录 C。</w:t>
      </w:r>
    </w:p>
    <w:p w14:paraId="79A81B3A">
      <w:pPr>
        <w:pStyle w:val="48"/>
        <w:widowControl/>
        <w:spacing w:before="0" w:after="0" w:line="269" w:lineRule="auto"/>
        <w:ind w:left="0" w:right="0" w:firstLine="420"/>
        <w:jc w:val="both"/>
        <w:rPr>
          <w:lang w:eastAsia="zh-CN"/>
        </w:rPr>
      </w:pPr>
      <w:r>
        <w:rPr>
          <w:rFonts w:ascii="Times New Roman" w:hAnsi="Times New Roman" w:eastAsia="宋体"/>
          <w:sz w:val="21"/>
          <w:lang w:eastAsia="zh-CN"/>
        </w:rPr>
        <w:t>（3）</w:t>
      </w:r>
      <w:r>
        <w:rPr>
          <w:rFonts w:ascii="Times New Roman" w:hAnsi="Times New Roman" w:eastAsia="宋体"/>
          <w:b/>
          <w:bCs/>
          <w:sz w:val="21"/>
          <w:lang w:eastAsia="zh-CN"/>
        </w:rPr>
        <w:t>事件驱动对传播动力学的影响。</w:t>
      </w:r>
      <w:r>
        <w:rPr>
          <w:rFonts w:ascii="Times New Roman" w:hAnsi="Times New Roman" w:eastAsia="宋体"/>
          <w:sz w:val="21"/>
          <w:lang w:eastAsia="zh-CN"/>
        </w:rPr>
        <w:t xml:space="preserve"> 全轮询的最终渗透率（7.3%）远低于事件驱动（27.0%）：反复轮询使空闲节点被反复重判并逐步漂向 Reject。这表明全轮询并非“结果相同、开销更省”的等价替代，而是刻画了不同的传播过程；事件驱动对于忠实还原传播动力学是必要的，而不仅是性能优化。</w:t>
      </w:r>
    </w:p>
    <w:p w14:paraId="412968E5">
      <w:pPr>
        <w:pStyle w:val="48"/>
        <w:widowControl/>
        <w:spacing w:before="0" w:after="0" w:line="269" w:lineRule="auto"/>
        <w:ind w:left="0" w:right="0" w:firstLine="420"/>
        <w:jc w:val="both"/>
        <w:rPr>
          <w:lang w:eastAsia="zh-CN"/>
        </w:rPr>
      </w:pPr>
      <w:r>
        <w:rPr>
          <w:rFonts w:ascii="Times New Roman" w:hAnsi="Times New Roman" w:eastAsia="宋体"/>
          <w:sz w:val="21"/>
        </w:rPr>
        <w:t>（4）传统模型基线的解释边界。Independent Cascade（p=0.1）的渗透率为 0.7%±0.2%。该基线用于展示不含自然语言判别与辟谣动作的经典扩散过程，与 LEDS 的状态空间和转移机制并不等价；由于 p=0.1 未由真实传播数据校准，其绝对渗透率不能作为 LEDS 经验效度更高或传统模型必然低估传播的证据。</w:t>
      </w:r>
    </w:p>
    <w:p w14:paraId="6CA9F786">
      <w:pPr>
        <w:pStyle w:val="48"/>
        <w:widowControl/>
        <w:spacing w:before="0" w:after="0" w:line="269" w:lineRule="auto"/>
        <w:ind w:left="0" w:right="0" w:firstLine="420"/>
        <w:jc w:val="both"/>
      </w:pPr>
      <w:r>
        <w:rPr>
          <w:rFonts w:ascii="Times New Roman" w:hAnsi="Times New Roman" w:eastAsia="宋体"/>
          <w:sz w:val="21"/>
          <w:lang w:eastAsia="zh-CN"/>
        </w:rPr>
        <w:t>（5）</w:t>
      </w:r>
      <w:r>
        <w:rPr>
          <w:rFonts w:ascii="Times New Roman" w:hAnsi="Times New Roman" w:eastAsia="宋体"/>
          <w:b/>
          <w:bCs/>
          <w:sz w:val="21"/>
          <w:lang w:eastAsia="zh-CN"/>
        </w:rPr>
        <w:t>结构化输出的鲁棒性。</w:t>
      </w:r>
      <w:r>
        <w:rPr>
          <w:rFonts w:ascii="Times New Roman" w:hAnsi="Times New Roman" w:eastAsia="宋体"/>
          <w:sz w:val="21"/>
          <w:lang w:eastAsia="zh-CN"/>
        </w:rPr>
        <w:t xml:space="preserve"> </w:t>
      </w:r>
      <m:oMath>
        <m:r>
          <m:rPr/>
          <w:rPr>
            <w:rFonts w:ascii="Cambria Math" w:hAnsi="Cambria Math"/>
            <w:lang w:eastAsia="zh-CN"/>
          </w:rPr>
          <m:t>Temperature</m:t>
        </m:r>
        <m:r>
          <m:rPr>
            <m:sty m:val="p"/>
          </m:rPr>
          <w:rPr>
            <w:rFonts w:ascii="Cambria Math" w:hAnsi="Cambria Math"/>
            <w:lang w:eastAsia="zh-CN"/>
          </w:rPr>
          <m:t>=</m:t>
        </m:r>
        <m:r>
          <m:rPr/>
          <w:rPr>
            <w:rFonts w:ascii="Cambria Math" w:hAnsi="Cambria Math"/>
            <w:lang w:eastAsia="zh-CN"/>
          </w:rPr>
          <m:t>0</m:t>
        </m:r>
      </m:oMath>
      <w:r>
        <w:rPr>
          <w:rFonts w:ascii="Times New Roman" w:hAnsi="Times New Roman" w:eastAsia="宋体"/>
          <w:sz w:val="21"/>
          <w:lang w:eastAsia="zh-CN"/>
        </w:rPr>
        <w:t xml:space="preserve"> </w:t>
      </w:r>
      <w:r>
        <w:rPr>
          <w:rFonts w:ascii="Times New Roman" w:hAnsi="Times New Roman" w:eastAsia="宋体"/>
          <w:sz w:val="21"/>
        </w:rPr>
        <w:t>下 LEDS 与 Full Polling 的无效 JSON 率均为 0%；</w:t>
      </w:r>
      <m:oMath>
        <m:r>
          <m:rPr/>
          <w:rPr>
            <w:rFonts w:ascii="Cambria Math" w:hAnsi="Cambria Math"/>
          </w:rPr>
          <m:t>Temperature</m:t>
        </m:r>
        <m:r>
          <m:rPr>
            <m:sty m:val="p"/>
          </m:rPr>
          <w:rPr>
            <w:rFonts w:ascii="Cambria Math" w:hAnsi="Cambria Math"/>
          </w:rPr>
          <m:t>=</m:t>
        </m:r>
        <m:r>
          <m:rPr/>
          <w:rPr>
            <w:rFonts w:ascii="Cambria Math" w:hAnsi="Cambria Math"/>
          </w:rPr>
          <m:t>0.7</m:t>
        </m:r>
      </m:oMath>
      <w:r>
        <w:rPr>
          <w:rFonts w:ascii="Times New Roman" w:hAnsi="Times New Roman" w:eastAsia="宋体"/>
          <w:sz w:val="21"/>
        </w:rPr>
        <w:t xml:space="preserve"> 的 Monte Carlo 无效率为 0.1%（3,993 次判定中 4 次越界，如将 Ignore 截断为 Ignor），且全部经一次重采样恢复、无一触发兜底回退，量化了零温度与结构化约束对输出合法性的收益。</w:t>
      </w:r>
    </w:p>
    <w:p w14:paraId="4F89C3D1">
      <w:pPr>
        <w:pStyle w:val="46"/>
        <w:keepNext/>
        <w:pageBreakBefore w:val="0"/>
        <w:spacing w:before="100" w:after="40"/>
        <w:ind w:firstLine="0"/>
        <w:jc w:val="left"/>
      </w:pPr>
      <w:r>
        <w:rPr>
          <w:rFonts w:ascii="Times New Roman" w:hAnsi="Times New Roman" w:eastAsia="黑体"/>
          <w:b/>
          <w:sz w:val="21"/>
        </w:rPr>
        <w:t>4.4 实验二：运行间非确定性与缓存重放一致性探针</w:t>
      </w:r>
    </w:p>
    <w:p w14:paraId="732A17BE">
      <w:pPr>
        <w:pStyle w:val="48"/>
        <w:widowControl/>
        <w:spacing w:before="0" w:after="0" w:line="269" w:lineRule="auto"/>
        <w:ind w:left="0" w:right="0" w:firstLine="420"/>
        <w:jc w:val="both"/>
        <w:rPr>
          <w:lang w:eastAsia="zh-CN"/>
        </w:rPr>
      </w:pPr>
      <w:r>
        <w:rPr>
          <w:rFonts w:ascii="Times New Roman" w:hAnsi="Times New Roman" w:eastAsia="宋体"/>
          <w:sz w:val="21"/>
        </w:rPr>
        <w:t xml:space="preserve">实验二旨在为 3.4 节的核心论断（云端 LLM 即便在 </w:t>
      </w:r>
      <m:oMath>
        <m:r>
          <m:rPr/>
          <w:rPr>
            <w:rFonts w:ascii="Cambria Math" w:hAnsi="Cambria Math"/>
          </w:rPr>
          <m:t>Temperature</m:t>
        </m:r>
        <m:r>
          <m:rPr>
            <m:sty m:val="p"/>
          </m:rPr>
          <w:rPr>
            <w:rFonts w:ascii="Cambria Math" w:hAnsi="Cambria Math"/>
          </w:rPr>
          <m:t>=</m:t>
        </m:r>
        <m:r>
          <m:rPr/>
          <w:rPr>
            <w:rFonts w:ascii="Cambria Math" w:hAnsi="Cambria Math"/>
          </w:rPr>
          <m:t>0</m:t>
        </m:r>
      </m:oMath>
      <w:r>
        <w:rPr>
          <w:rFonts w:ascii="Times New Roman" w:hAnsi="Times New Roman" w:eastAsia="宋体"/>
          <w:sz w:val="21"/>
        </w:rPr>
        <w:t xml:space="preserve"> 下也非字节确定、可复现性须由缓存重放在实验层面保证）提供直接证据。</w:t>
      </w:r>
      <w:r>
        <w:rPr>
          <w:rFonts w:ascii="Times New Roman" w:hAnsi="Times New Roman" w:eastAsia="宋体"/>
          <w:sz w:val="21"/>
          <w:lang w:eastAsia="zh-CN"/>
        </w:rPr>
        <w:t>非确定性探针在同一冻结的无标度网络（</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300</m:t>
        </m:r>
      </m:oMath>
      <w:r>
        <w:rPr>
          <w:rFonts w:ascii="Times New Roman" w:hAnsi="Times New Roman" w:eastAsia="宋体"/>
          <w:sz w:val="21"/>
          <w:lang w:eastAsia="zh-CN"/>
        </w:rPr>
        <w:t>，人设映射与源节点固定）与真实 deepseek-chat（</w:t>
      </w:r>
      <m:oMath>
        <m:r>
          <m:rPr/>
          <w:rPr>
            <w:rFonts w:ascii="Cambria Math" w:hAnsi="Cambria Math"/>
            <w:lang w:eastAsia="zh-CN"/>
          </w:rPr>
          <m:t>Temperature</m:t>
        </m:r>
        <m:r>
          <m:rPr>
            <m:sty m:val="p"/>
          </m:rPr>
          <w:rPr>
            <w:rFonts w:ascii="Cambria Math" w:hAnsi="Cambria Math"/>
            <w:lang w:eastAsia="zh-CN"/>
          </w:rPr>
          <m:t>=</m:t>
        </m:r>
        <m:r>
          <m:rPr/>
          <w:rPr>
            <w:rFonts w:ascii="Cambria Math" w:hAnsi="Cambria Math"/>
            <w:lang w:eastAsia="zh-CN"/>
          </w:rPr>
          <m:t>0</m:t>
        </m:r>
      </m:oMath>
      <w:r>
        <w:rPr>
          <w:rFonts w:ascii="Times New Roman" w:hAnsi="Times New Roman" w:eastAsia="宋体"/>
          <w:sz w:val="21"/>
          <w:lang w:eastAsia="zh-CN"/>
        </w:rPr>
        <w:t xml:space="preserve">）下独立重复运行 </w:t>
      </w:r>
      <m:oMath>
        <m:r>
          <m:rPr/>
          <w:rPr>
            <w:rFonts w:ascii="Cambria Math" w:hAnsi="Cambria Math"/>
            <w:lang w:eastAsia="zh-CN"/>
          </w:rPr>
          <m:t>K</m:t>
        </m:r>
        <m:r>
          <m:rPr>
            <m:sty m:val="p"/>
          </m:rPr>
          <w:rPr>
            <w:rFonts w:ascii="Cambria Math" w:hAnsi="Cambria Math"/>
            <w:lang w:eastAsia="zh-CN"/>
          </w:rPr>
          <m:t>=</m:t>
        </m:r>
        <m:r>
          <m:rPr/>
          <w:rPr>
            <w:rFonts w:ascii="Cambria Math" w:hAnsi="Cambria Math"/>
            <w:lang w:eastAsia="zh-CN"/>
          </w:rPr>
          <m:t>3</m:t>
        </m:r>
      </m:oMath>
      <w:r>
        <w:rPr>
          <w:rFonts w:ascii="Times New Roman" w:hAnsi="Times New Roman" w:eastAsia="宋体"/>
          <w:sz w:val="21"/>
          <w:lang w:eastAsia="zh-CN"/>
        </w:rPr>
        <w:t xml:space="preserve"> 次，每次均使用全新且不落盘的内存缓存，使每个首见 Prompt 都真实向云端采样，从而暴露运行间的天然发散；随后写入一次磁盘缓存并回放一次，以量化缓存重放的复现精度。发散在两个层面刻画：宏观为最终渗透率的样本散布，微观为任意两次运行最终信念状态向量的成对 Hamming 距离（即最终 stance 不同的节点占比）。</w:t>
      </w:r>
    </w:p>
    <w:p w14:paraId="30DDC6AA">
      <w:pPr>
        <w:pStyle w:val="51"/>
        <w:keepNext/>
        <w:spacing w:before="60" w:after="20" w:line="240" w:lineRule="auto"/>
        <w:ind w:left="0" w:right="0" w:firstLine="0"/>
        <w:jc w:val="center"/>
      </w:pPr>
      <w:r>
        <w:drawing>
          <wp:inline distT="0" distB="0" distL="114300" distR="114300">
            <wp:extent cx="2743200" cy="1246505"/>
            <wp:effectExtent l="0" t="0" r="0" b="0"/>
            <wp:docPr id="2" name="Figure 2" descr="图 1　Temperature=0 运行间非确定性与缓存重放一致性。注：（A）宏观独立运行发散与缓存重放重合；（B）逐节点 Hamming 距离与缓存重放精确复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图 1　Temperature=0 运行间非确定性与缓存重放一致性。注：（A）宏观独立运行发散与缓存重放重合；（B）逐节点 Hamming 距离与缓存重放精确复现。"/>
                    <pic:cNvPicPr>
                      <a:picLocks noChangeAspect="1" noChangeArrowheads="1"/>
                    </pic:cNvPicPr>
                  </pic:nvPicPr>
                  <pic:blipFill>
                    <a:blip r:embed="rId12"/>
                    <a:stretch>
                      <a:fillRect/>
                    </a:stretch>
                  </pic:blipFill>
                  <pic:spPr>
                    <a:xfrm>
                      <a:off x="0" y="0"/>
                      <a:ext cx="2743200" cy="1246881"/>
                    </a:xfrm>
                    <a:prstGeom prst="rect">
                      <a:avLst/>
                    </a:prstGeom>
                    <a:noFill/>
                    <a:ln w="9525">
                      <a:noFill/>
                    </a:ln>
                  </pic:spPr>
                </pic:pic>
              </a:graphicData>
            </a:graphic>
          </wp:inline>
        </w:drawing>
      </w:r>
    </w:p>
    <w:p w14:paraId="09E828E7">
      <w:pPr>
        <w:pStyle w:val="51"/>
        <w:keepNext/>
        <w:spacing w:before="40" w:after="0"/>
        <w:jc w:val="center"/>
      </w:pPr>
      <w:r>
        <w:rPr>
          <w:rFonts w:ascii="Times New Roman" w:hAnsi="Times New Roman" w:eastAsia="宋体"/>
          <w:sz w:val="17"/>
        </w:rPr>
        <w:t>图2 运行间非确定性与缓存重放一致性。注：（a）宏观独立运行发散与缓存重放重合；（b）逐节点Hamming距离与缓存重放精确复现</w:t>
      </w:r>
    </w:p>
    <w:p w14:paraId="6A469B31">
      <w:pPr>
        <w:pStyle w:val="51"/>
        <w:keepNext w:val="0"/>
        <w:spacing w:before="0" w:after="60"/>
        <w:jc w:val="center"/>
      </w:pPr>
      <w:r>
        <w:rPr>
          <w:rFonts w:ascii="Times New Roman" w:hAnsi="Times New Roman" w:eastAsia="宋体"/>
          <w:sz w:val="16"/>
        </w:rPr>
        <w:t>Fig. 2 Run-to-run nondeterminism and cache-replay consistency</w:t>
      </w:r>
    </w:p>
    <w:p w14:paraId="0CA90A04">
      <w:pPr>
        <w:pStyle w:val="51"/>
        <w:keepNext/>
        <w:spacing w:before="40" w:after="0"/>
        <w:jc w:val="center"/>
      </w:pPr>
      <w:r>
        <w:rPr>
          <w:rFonts w:ascii="Times New Roman" w:hAnsi="Times New Roman" w:eastAsia="宋体"/>
          <w:sz w:val="17"/>
        </w:rPr>
        <w:t>表2 运行间非确定性与缓存重放一致性（真实deepseek-chat，同一冻结无标度网络）</w:t>
      </w:r>
    </w:p>
    <w:p w14:paraId="1AAB7C6F">
      <w:pPr>
        <w:pStyle w:val="51"/>
        <w:keepNext/>
        <w:spacing w:before="0" w:after="60"/>
        <w:jc w:val="center"/>
      </w:pPr>
      <w:r>
        <w:rPr>
          <w:rFonts w:ascii="Times New Roman" w:hAnsi="Times New Roman" w:eastAsia="宋体"/>
          <w:sz w:val="16"/>
        </w:rPr>
        <w:t>Table 2 Run-to-run nondeterminism and cache-replay consistency</w:t>
      </w:r>
    </w:p>
    <w:tbl>
      <w:tblPr>
        <w:tblStyle w:val="25"/>
        <w:tblW w:w="432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680"/>
        <w:gridCol w:w="2640"/>
      </w:tblGrid>
      <w:tr w14:paraId="58F7473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80" w:type="dxa"/>
            <w:tcBorders>
              <w:bottom w:val="single" w:color="000000" w:sz="8" w:space="0"/>
            </w:tcBorders>
            <w:tcMar>
              <w:top w:w="18" w:type="dxa"/>
              <w:left w:w="18" w:type="dxa"/>
              <w:bottom w:w="18" w:type="dxa"/>
              <w:right w:w="18" w:type="dxa"/>
            </w:tcMar>
            <w:vAlign w:val="center"/>
          </w:tcPr>
          <w:p w14:paraId="43B5CFD0">
            <w:pPr>
              <w:pStyle w:val="49"/>
              <w:keepNext w:val="0"/>
              <w:keepLines w:val="0"/>
              <w:spacing w:before="0" w:after="0" w:line="216" w:lineRule="auto"/>
              <w:ind w:left="0" w:right="0" w:firstLine="0"/>
              <w:jc w:val="center"/>
            </w:pPr>
            <w:r>
              <w:rPr>
                <w:rFonts w:ascii="Times New Roman" w:hAnsi="Times New Roman" w:eastAsia="宋体"/>
                <w:b/>
                <w:sz w:val="13"/>
              </w:rPr>
              <w:t>度量</w:t>
            </w:r>
          </w:p>
        </w:tc>
        <w:tc>
          <w:tcPr>
            <w:tcW w:w="2640" w:type="dxa"/>
            <w:tcBorders>
              <w:bottom w:val="single" w:color="000000" w:sz="8" w:space="0"/>
            </w:tcBorders>
            <w:tcMar>
              <w:top w:w="18" w:type="dxa"/>
              <w:left w:w="18" w:type="dxa"/>
              <w:bottom w:w="18" w:type="dxa"/>
              <w:right w:w="18" w:type="dxa"/>
            </w:tcMar>
            <w:vAlign w:val="center"/>
          </w:tcPr>
          <w:p w14:paraId="30F242BE">
            <w:pPr>
              <w:pStyle w:val="49"/>
              <w:keepNext w:val="0"/>
              <w:keepLines w:val="0"/>
              <w:spacing w:before="0" w:after="0" w:line="216" w:lineRule="auto"/>
              <w:ind w:left="0" w:right="0" w:firstLine="0"/>
              <w:jc w:val="center"/>
            </w:pPr>
            <w:r>
              <w:rPr>
                <w:rFonts w:ascii="Times New Roman" w:hAnsi="Times New Roman" w:eastAsia="宋体"/>
                <w:b/>
                <w:sz w:val="13"/>
              </w:rPr>
              <w:t>结果</w:t>
            </w:r>
          </w:p>
        </w:tc>
      </w:tr>
      <w:tr w14:paraId="05D9E4B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80" w:type="dxa"/>
            <w:tcMar>
              <w:top w:w="18" w:type="dxa"/>
              <w:left w:w="18" w:type="dxa"/>
              <w:bottom w:w="18" w:type="dxa"/>
              <w:right w:w="18" w:type="dxa"/>
            </w:tcMar>
            <w:vAlign w:val="center"/>
          </w:tcPr>
          <w:p w14:paraId="2174F5A9">
            <w:pPr>
              <w:pStyle w:val="50"/>
              <w:keepNext w:val="0"/>
              <w:keepLines w:val="0"/>
              <w:spacing w:before="0" w:after="0" w:line="216" w:lineRule="auto"/>
              <w:ind w:left="0" w:right="0" w:firstLine="0"/>
              <w:jc w:val="center"/>
              <w:rPr>
                <w:lang w:eastAsia="zh-CN"/>
              </w:rPr>
            </w:pPr>
            <w:r>
              <w:rPr>
                <w:rFonts w:ascii="Times New Roman" w:hAnsi="Times New Roman" w:eastAsia="宋体"/>
                <w:b w:val="0"/>
                <w:sz w:val="13"/>
                <w:lang w:eastAsia="zh-CN"/>
              </w:rPr>
              <w:t>3 次独立运行渗透率样本</w:t>
            </w:r>
          </w:p>
        </w:tc>
        <w:tc>
          <w:tcPr>
            <w:tcW w:w="2640" w:type="dxa"/>
            <w:tcMar>
              <w:top w:w="18" w:type="dxa"/>
              <w:left w:w="18" w:type="dxa"/>
              <w:bottom w:w="18" w:type="dxa"/>
              <w:right w:w="18" w:type="dxa"/>
            </w:tcMar>
            <w:vAlign w:val="center"/>
          </w:tcPr>
          <w:p w14:paraId="1F010999">
            <w:pPr>
              <w:pStyle w:val="50"/>
              <w:keepNext w:val="0"/>
              <w:keepLines w:val="0"/>
              <w:spacing w:before="0" w:after="0" w:line="216" w:lineRule="auto"/>
              <w:ind w:left="0" w:right="0" w:firstLine="0"/>
              <w:jc w:val="center"/>
            </w:pPr>
            <w:r>
              <w:rPr>
                <w:rFonts w:ascii="Times New Roman" w:hAnsi="Times New Roman" w:eastAsia="宋体"/>
                <w:b w:val="0"/>
                <w:sz w:val="13"/>
              </w:rPr>
              <w:t>27.0% / 27.3% / 22.7%</w:t>
            </w:r>
          </w:p>
        </w:tc>
      </w:tr>
      <w:tr w14:paraId="4629CE3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80" w:type="dxa"/>
            <w:tcMar>
              <w:top w:w="18" w:type="dxa"/>
              <w:left w:w="18" w:type="dxa"/>
              <w:bottom w:w="18" w:type="dxa"/>
              <w:right w:w="18" w:type="dxa"/>
            </w:tcMar>
            <w:vAlign w:val="center"/>
          </w:tcPr>
          <w:p w14:paraId="1327E174">
            <w:pPr>
              <w:pStyle w:val="50"/>
              <w:keepNext w:val="0"/>
              <w:keepLines w:val="0"/>
              <w:spacing w:before="0" w:after="0" w:line="216" w:lineRule="auto"/>
              <w:ind w:left="0" w:right="0" w:firstLine="0"/>
              <w:jc w:val="center"/>
              <w:rPr>
                <w:lang w:eastAsia="zh-CN"/>
              </w:rPr>
            </w:pPr>
            <w:r>
              <w:rPr>
                <w:rFonts w:ascii="Times New Roman" w:hAnsi="Times New Roman" w:eastAsia="宋体"/>
                <w:b w:val="0"/>
                <w:sz w:val="13"/>
                <w:lang w:eastAsia="zh-CN"/>
              </w:rPr>
              <w:t>渗透率均值 ± 总体标准差（极差）</w:t>
            </w:r>
          </w:p>
        </w:tc>
        <w:tc>
          <w:tcPr>
            <w:tcW w:w="2640" w:type="dxa"/>
            <w:tcMar>
              <w:top w:w="18" w:type="dxa"/>
              <w:left w:w="18" w:type="dxa"/>
              <w:bottom w:w="18" w:type="dxa"/>
              <w:right w:w="18" w:type="dxa"/>
            </w:tcMar>
            <w:vAlign w:val="center"/>
          </w:tcPr>
          <w:p w14:paraId="7C00CF9E">
            <w:pPr>
              <w:pStyle w:val="50"/>
              <w:keepNext w:val="0"/>
              <w:keepLines w:val="0"/>
              <w:spacing w:before="0" w:after="0" w:line="216" w:lineRule="auto"/>
              <w:ind w:left="0" w:right="0" w:firstLine="0"/>
              <w:jc w:val="center"/>
            </w:pPr>
            <w:r>
              <w:rPr>
                <w:rFonts w:ascii="Times New Roman" w:hAnsi="Times New Roman" w:eastAsia="宋体"/>
                <w:b w:val="0"/>
                <w:sz w:val="13"/>
              </w:rPr>
              <w:t>25.7% ± 2.1%（极差 4.7 个百分点）</w:t>
            </w:r>
          </w:p>
        </w:tc>
      </w:tr>
      <w:tr w14:paraId="77E900B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80" w:type="dxa"/>
            <w:tcMar>
              <w:top w:w="18" w:type="dxa"/>
              <w:left w:w="18" w:type="dxa"/>
              <w:bottom w:w="18" w:type="dxa"/>
              <w:right w:w="18" w:type="dxa"/>
            </w:tcMar>
            <w:vAlign w:val="center"/>
          </w:tcPr>
          <w:p w14:paraId="4CDA0574">
            <w:pPr>
              <w:pStyle w:val="50"/>
              <w:keepNext w:val="0"/>
              <w:keepLines w:val="0"/>
              <w:spacing w:before="0" w:after="0" w:line="216" w:lineRule="auto"/>
              <w:ind w:left="0" w:right="0" w:firstLine="0"/>
              <w:jc w:val="center"/>
            </w:pPr>
            <w:r>
              <w:rPr>
                <w:rFonts w:ascii="Times New Roman" w:hAnsi="Times New Roman" w:eastAsia="宋体"/>
                <w:b w:val="0"/>
                <w:sz w:val="13"/>
              </w:rPr>
              <w:t>稳态步数样本</w:t>
            </w:r>
          </w:p>
        </w:tc>
        <w:tc>
          <w:tcPr>
            <w:tcW w:w="2640" w:type="dxa"/>
            <w:tcMar>
              <w:top w:w="18" w:type="dxa"/>
              <w:left w:w="18" w:type="dxa"/>
              <w:bottom w:w="18" w:type="dxa"/>
              <w:right w:w="18" w:type="dxa"/>
            </w:tcMar>
            <w:vAlign w:val="center"/>
          </w:tcPr>
          <w:p w14:paraId="63100051">
            <w:pPr>
              <w:pStyle w:val="50"/>
              <w:keepNext w:val="0"/>
              <w:keepLines w:val="0"/>
              <w:spacing w:before="0" w:after="0" w:line="216" w:lineRule="auto"/>
              <w:ind w:left="0" w:right="0" w:firstLine="0"/>
              <w:jc w:val="center"/>
            </w:pPr>
            <w:r>
              <w:rPr>
                <w:rFonts w:ascii="Times New Roman" w:hAnsi="Times New Roman" w:eastAsia="宋体"/>
                <w:b w:val="0"/>
                <w:sz w:val="13"/>
              </w:rPr>
              <w:t>11 / 11 / 12</w:t>
            </w:r>
          </w:p>
        </w:tc>
      </w:tr>
      <w:tr w14:paraId="3A59B74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80" w:type="dxa"/>
            <w:tcMar>
              <w:top w:w="18" w:type="dxa"/>
              <w:left w:w="18" w:type="dxa"/>
              <w:bottom w:w="18" w:type="dxa"/>
              <w:right w:w="18" w:type="dxa"/>
            </w:tcMar>
            <w:vAlign w:val="center"/>
          </w:tcPr>
          <w:p w14:paraId="40CD256D">
            <w:pPr>
              <w:pStyle w:val="50"/>
              <w:keepNext w:val="0"/>
              <w:keepLines w:val="0"/>
              <w:spacing w:before="0" w:after="0" w:line="216" w:lineRule="auto"/>
              <w:ind w:left="0" w:right="0" w:firstLine="0"/>
              <w:jc w:val="center"/>
            </w:pPr>
            <w:r>
              <w:rPr>
                <w:rFonts w:ascii="Times New Roman" w:hAnsi="Times New Roman" w:eastAsia="宋体"/>
                <w:b w:val="0"/>
                <w:sz w:val="13"/>
              </w:rPr>
              <w:t>成对 Hamming 距离（3 对）</w:t>
            </w:r>
          </w:p>
        </w:tc>
        <w:tc>
          <w:tcPr>
            <w:tcW w:w="2640" w:type="dxa"/>
            <w:tcMar>
              <w:top w:w="18" w:type="dxa"/>
              <w:left w:w="18" w:type="dxa"/>
              <w:bottom w:w="18" w:type="dxa"/>
              <w:right w:w="18" w:type="dxa"/>
            </w:tcMar>
            <w:vAlign w:val="center"/>
          </w:tcPr>
          <w:p w14:paraId="1921A23D">
            <w:pPr>
              <w:pStyle w:val="50"/>
              <w:keepNext w:val="0"/>
              <w:keepLines w:val="0"/>
              <w:spacing w:before="0" w:after="0" w:line="216" w:lineRule="auto"/>
              <w:ind w:left="0" w:right="0" w:firstLine="0"/>
              <w:jc w:val="center"/>
            </w:pPr>
            <w:r>
              <w:rPr>
                <w:rFonts w:ascii="Times New Roman" w:hAnsi="Times New Roman" w:eastAsia="宋体"/>
                <w:b w:val="0"/>
                <w:sz w:val="13"/>
              </w:rPr>
              <w:t>0.33% / 21.0% / 20.67%</w:t>
            </w:r>
          </w:p>
        </w:tc>
      </w:tr>
      <w:tr w14:paraId="11698AF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80" w:type="dxa"/>
            <w:tcMar>
              <w:top w:w="18" w:type="dxa"/>
              <w:left w:w="18" w:type="dxa"/>
              <w:bottom w:w="18" w:type="dxa"/>
              <w:right w:w="18" w:type="dxa"/>
            </w:tcMar>
            <w:vAlign w:val="center"/>
          </w:tcPr>
          <w:p w14:paraId="1ED82231">
            <w:pPr>
              <w:pStyle w:val="50"/>
              <w:keepNext w:val="0"/>
              <w:keepLines w:val="0"/>
              <w:spacing w:before="0" w:after="0" w:line="216" w:lineRule="auto"/>
              <w:ind w:left="0" w:right="0" w:firstLine="0"/>
              <w:jc w:val="center"/>
            </w:pPr>
            <w:r>
              <w:rPr>
                <w:rFonts w:ascii="Times New Roman" w:hAnsi="Times New Roman" w:eastAsia="宋体"/>
                <w:b w:val="0"/>
                <w:sz w:val="13"/>
              </w:rPr>
              <w:t>Hamming 均值 / 最大值</w:t>
            </w:r>
          </w:p>
        </w:tc>
        <w:tc>
          <w:tcPr>
            <w:tcW w:w="2640" w:type="dxa"/>
            <w:tcMar>
              <w:top w:w="18" w:type="dxa"/>
              <w:left w:w="18" w:type="dxa"/>
              <w:bottom w:w="18" w:type="dxa"/>
              <w:right w:w="18" w:type="dxa"/>
            </w:tcMar>
            <w:vAlign w:val="center"/>
          </w:tcPr>
          <w:p w14:paraId="64A462A7">
            <w:pPr>
              <w:pStyle w:val="50"/>
              <w:keepNext w:val="0"/>
              <w:keepLines w:val="0"/>
              <w:spacing w:before="0" w:after="0" w:line="216" w:lineRule="auto"/>
              <w:ind w:left="0" w:right="0" w:firstLine="0"/>
              <w:jc w:val="center"/>
            </w:pPr>
            <w:r>
              <w:rPr>
                <w:rFonts w:ascii="Times New Roman" w:hAnsi="Times New Roman" w:eastAsia="宋体"/>
                <w:b w:val="0"/>
                <w:sz w:val="13"/>
              </w:rPr>
              <w:t>14.0% / 21.0%</w:t>
            </w:r>
          </w:p>
        </w:tc>
      </w:tr>
      <w:tr w14:paraId="7BAD1CB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80" w:type="dxa"/>
            <w:tcMar>
              <w:top w:w="18" w:type="dxa"/>
              <w:left w:w="18" w:type="dxa"/>
              <w:bottom w:w="18" w:type="dxa"/>
              <w:right w:w="18" w:type="dxa"/>
            </w:tcMar>
            <w:vAlign w:val="center"/>
          </w:tcPr>
          <w:p w14:paraId="19060273">
            <w:pPr>
              <w:pStyle w:val="50"/>
              <w:keepNext w:val="0"/>
              <w:keepLines w:val="0"/>
              <w:spacing w:before="0" w:after="0" w:line="216" w:lineRule="auto"/>
              <w:ind w:left="0" w:right="0" w:firstLine="0"/>
              <w:jc w:val="center"/>
            </w:pPr>
            <w:r>
              <w:rPr>
                <w:rFonts w:ascii="Times New Roman" w:hAnsi="Times New Roman" w:eastAsia="宋体"/>
                <w:b w:val="0"/>
                <w:sz w:val="13"/>
              </w:rPr>
              <w:t>缓存重放：seed 渗透率 → replay 渗透率</w:t>
            </w:r>
          </w:p>
        </w:tc>
        <w:tc>
          <w:tcPr>
            <w:tcW w:w="2640" w:type="dxa"/>
            <w:tcMar>
              <w:top w:w="18" w:type="dxa"/>
              <w:left w:w="18" w:type="dxa"/>
              <w:bottom w:w="18" w:type="dxa"/>
              <w:right w:w="18" w:type="dxa"/>
            </w:tcMar>
            <w:vAlign w:val="center"/>
          </w:tcPr>
          <w:p w14:paraId="1698B6E5">
            <w:pPr>
              <w:pStyle w:val="50"/>
              <w:keepNext w:val="0"/>
              <w:keepLines w:val="0"/>
              <w:spacing w:before="0" w:after="0" w:line="216" w:lineRule="auto"/>
              <w:ind w:left="0" w:right="0" w:firstLine="0"/>
              <w:jc w:val="center"/>
            </w:pPr>
            <w:r>
              <w:rPr>
                <w:rFonts w:ascii="Times New Roman" w:hAnsi="Times New Roman" w:eastAsia="宋体"/>
                <w:b w:val="0"/>
                <w:sz w:val="13"/>
              </w:rPr>
              <w:t>28.3% → 28.3%</w:t>
            </w:r>
          </w:p>
        </w:tc>
      </w:tr>
      <w:tr w14:paraId="160BA0C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80" w:type="dxa"/>
            <w:tcMar>
              <w:top w:w="18" w:type="dxa"/>
              <w:left w:w="18" w:type="dxa"/>
              <w:bottom w:w="18" w:type="dxa"/>
              <w:right w:w="18" w:type="dxa"/>
            </w:tcMar>
            <w:vAlign w:val="center"/>
          </w:tcPr>
          <w:p w14:paraId="3B34B603">
            <w:pPr>
              <w:pStyle w:val="50"/>
              <w:keepNext w:val="0"/>
              <w:keepLines w:val="0"/>
              <w:spacing w:before="0" w:after="0" w:line="216" w:lineRule="auto"/>
              <w:ind w:left="0" w:right="0" w:firstLine="0"/>
              <w:jc w:val="center"/>
            </w:pPr>
            <w:r>
              <w:rPr>
                <w:rFonts w:ascii="Times New Roman" w:hAnsi="Times New Roman" w:eastAsia="宋体"/>
                <w:b w:val="0"/>
                <w:sz w:val="13"/>
              </w:rPr>
              <w:t>缓存重放：逐节点 Hamming 距离</w:t>
            </w:r>
          </w:p>
        </w:tc>
        <w:tc>
          <w:tcPr>
            <w:tcW w:w="2640" w:type="dxa"/>
            <w:tcMar>
              <w:top w:w="18" w:type="dxa"/>
              <w:left w:w="18" w:type="dxa"/>
              <w:bottom w:w="18" w:type="dxa"/>
              <w:right w:w="18" w:type="dxa"/>
            </w:tcMar>
            <w:vAlign w:val="center"/>
          </w:tcPr>
          <w:p w14:paraId="703756D8">
            <w:pPr>
              <w:pStyle w:val="50"/>
              <w:keepNext w:val="0"/>
              <w:keepLines w:val="0"/>
              <w:spacing w:before="0" w:after="0" w:line="216" w:lineRule="auto"/>
              <w:ind w:left="0" w:right="0" w:firstLine="0"/>
              <w:jc w:val="center"/>
            </w:pPr>
            <w:r>
              <w:rPr>
                <w:rFonts w:ascii="Times New Roman" w:hAnsi="Times New Roman" w:eastAsia="宋体"/>
                <w:b w:val="0"/>
                <w:bCs/>
                <w:sz w:val="13"/>
              </w:rPr>
              <w:t>0.0%（精确复现）</w:t>
            </w:r>
          </w:p>
        </w:tc>
      </w:tr>
    </w:tbl>
    <w:p w14:paraId="57245D31">
      <w:pPr>
        <w:pStyle w:val="48"/>
        <w:widowControl/>
        <w:spacing w:before="0" w:after="0" w:line="269" w:lineRule="auto"/>
        <w:ind w:left="0" w:right="0" w:firstLine="420"/>
        <w:jc w:val="both"/>
        <w:rPr>
          <w:lang w:eastAsia="zh-CN"/>
        </w:rPr>
      </w:pPr>
      <w:r>
        <w:rPr>
          <w:rFonts w:ascii="Times New Roman" w:hAnsi="Times New Roman" w:eastAsia="宋体"/>
          <w:sz w:val="21"/>
          <w:lang w:eastAsia="zh-CN"/>
        </w:rPr>
        <w:t>表 2 与图2 给出三点结论。</w:t>
      </w:r>
      <w:r>
        <w:rPr>
          <w:rFonts w:ascii="Times New Roman" w:hAnsi="Times New Roman" w:eastAsia="宋体"/>
          <w:b/>
          <w:bCs/>
          <w:sz w:val="21"/>
          <w:lang w:eastAsia="zh-CN"/>
        </w:rPr>
        <w:t>宏观上</w:t>
      </w:r>
      <w:r>
        <w:rPr>
          <w:rFonts w:ascii="Times New Roman" w:hAnsi="Times New Roman" w:eastAsia="宋体"/>
          <w:sz w:val="21"/>
          <w:lang w:eastAsia="zh-CN"/>
        </w:rPr>
        <w:t>，三次独立运行的最终渗透率散布于 22.7%～27.3%（极差 4.7 个百分点），结合其他同配置实验（4.3 节 27.0%、4.6 节 31.7%），单次宏观结论并非可靠常量，构成对“贪婪解码即可确定复现”的反例。</w:t>
      </w:r>
      <w:r>
        <w:rPr>
          <w:rFonts w:ascii="Times New Roman" w:hAnsi="Times New Roman" w:eastAsia="宋体"/>
          <w:b/>
          <w:bCs/>
          <w:sz w:val="21"/>
          <w:lang w:eastAsia="zh-CN"/>
        </w:rPr>
        <w:t>微观上</w:t>
      </w:r>
      <w:r>
        <w:rPr>
          <w:rFonts w:ascii="Times New Roman" w:hAnsi="Times New Roman" w:eastAsia="宋体"/>
          <w:sz w:val="21"/>
          <w:lang w:eastAsia="zh-CN"/>
        </w:rPr>
        <w:t>，成对 Hamming 距离最高达 21.0%（均值 14.0%），即最多约五分之一节点在两次相同输入下最终信念不同，说明发散深入逐节点轨迹，正是自由生成式仿真难以审计的根源。</w:t>
      </w:r>
      <w:r>
        <w:rPr>
          <w:rFonts w:ascii="Times New Roman" w:hAnsi="Times New Roman" w:eastAsia="宋体"/>
          <w:b/>
          <w:bCs/>
          <w:sz w:val="21"/>
          <w:lang w:eastAsia="zh-CN"/>
        </w:rPr>
        <w:t>而缓存重放</w:t>
      </w:r>
      <w:r>
        <w:rPr>
          <w:rFonts w:ascii="Times New Roman" w:hAnsi="Times New Roman" w:eastAsia="宋体"/>
          <w:sz w:val="21"/>
          <w:lang w:eastAsia="zh-CN"/>
        </w:rPr>
        <w:t>给出逐字段一致的精确复现（渗透率 28.3%→28.3%、Hamming 0.0%、exact match 与 state hash 一致率均 100%），证实 LEDS 的复现一致性由重放机制在实验层面确定性保证，而非寄望于重复运行的自然吻合（呼应 3.4 节）。</w:t>
      </w:r>
    </w:p>
    <w:p w14:paraId="29180BA6">
      <w:pPr>
        <w:pStyle w:val="46"/>
        <w:keepNext/>
        <w:pageBreakBefore w:val="0"/>
        <w:spacing w:before="100" w:after="40"/>
        <w:ind w:firstLine="0"/>
        <w:jc w:val="left"/>
      </w:pPr>
      <w:r>
        <w:rPr>
          <w:rFonts w:ascii="Times New Roman" w:hAnsi="Times New Roman" w:eastAsia="黑体"/>
          <w:b/>
          <w:sz w:val="21"/>
        </w:rPr>
        <w:t>4.5 实验三：跨LLM后端鲁棒性</w:t>
      </w:r>
    </w:p>
    <w:p w14:paraId="1A83B9E5">
      <w:pPr>
        <w:pStyle w:val="48"/>
        <w:widowControl/>
        <w:spacing w:before="0" w:after="0" w:line="269" w:lineRule="auto"/>
        <w:ind w:left="0" w:right="0" w:firstLine="420"/>
        <w:jc w:val="both"/>
      </w:pPr>
      <w:r>
        <w:rPr>
          <w:rFonts w:ascii="Times New Roman" w:hAnsi="Times New Roman" w:eastAsia="宋体"/>
          <w:sz w:val="21"/>
        </w:rPr>
        <w:t>实验三检验可复现性命题与后续应用结论是否为单一模型 deepseek-chat 的特例。在完全相同的四组冻结配置（两类拓扑 × 两类干预部署，即 4.6 节的合成网络应用配置）上，改用第二后端 deepseek-reasoner（</w:t>
      </w:r>
      <m:oMath>
        <m:r>
          <m:rPr/>
          <w:rPr>
            <w:rFonts w:ascii="Cambria Math" w:hAnsi="Cambria Math"/>
          </w:rPr>
          <m:t>Temperature</m:t>
        </m:r>
        <m:r>
          <m:rPr>
            <m:sty m:val="p"/>
          </m:rPr>
          <w:rPr>
            <w:rFonts w:ascii="Cambria Math" w:hAnsi="Cambria Math"/>
          </w:rPr>
          <m:t>=</m:t>
        </m:r>
        <m:r>
          <m:rPr/>
          <w:rPr>
            <w:rFonts w:ascii="Cambria Math" w:hAnsi="Cambria Math"/>
          </w:rPr>
          <m:t>0</m:t>
        </m:r>
      </m:oMath>
      <w:r>
        <w:rPr>
          <w:rFonts w:ascii="Times New Roman" w:hAnsi="Times New Roman" w:eastAsia="宋体"/>
          <w:sz w:val="21"/>
        </w:rPr>
        <w:t>）重跑，并与 deepseek-chat 逐组对照。</w:t>
      </w:r>
    </w:p>
    <w:p w14:paraId="4A7F50D2">
      <w:pPr>
        <w:pStyle w:val="51"/>
        <w:keepNext/>
        <w:spacing w:before="60" w:after="20" w:line="240" w:lineRule="auto"/>
        <w:ind w:left="0" w:right="0" w:firstLine="0"/>
        <w:jc w:val="center"/>
      </w:pPr>
      <w:r>
        <w:drawing>
          <wp:inline distT="0" distB="0" distL="114300" distR="114300">
            <wp:extent cx="2743200" cy="1613535"/>
            <wp:effectExtent l="0" t="0" r="0" b="0"/>
            <wp:docPr id="3" name="Figure 3" descr="图 2　两个 LLM 后端上的单次渗透率对照。注：蓝柱为 deepseek-chat，橙柱为 deepseek-reasoner；中心部署均压制至近零，其余绝对数值与拓扑排序不作稳健结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图 2　两个 LLM 后端上的单次渗透率对照。注：蓝柱为 deepseek-chat，橙柱为 deepseek-reasoner；中心部署均压制至近零，其余绝对数值与拓扑排序不作稳健结论。"/>
                    <pic:cNvPicPr>
                      <a:picLocks noChangeAspect="1" noChangeArrowheads="1"/>
                    </pic:cNvPicPr>
                  </pic:nvPicPr>
                  <pic:blipFill>
                    <a:blip r:embed="rId13"/>
                    <a:stretch>
                      <a:fillRect/>
                    </a:stretch>
                  </pic:blipFill>
                  <pic:spPr>
                    <a:xfrm>
                      <a:off x="0" y="0"/>
                      <a:ext cx="2743200" cy="1613628"/>
                    </a:xfrm>
                    <a:prstGeom prst="rect">
                      <a:avLst/>
                    </a:prstGeom>
                    <a:noFill/>
                    <a:ln w="9525">
                      <a:noFill/>
                    </a:ln>
                  </pic:spPr>
                </pic:pic>
              </a:graphicData>
            </a:graphic>
          </wp:inline>
        </w:drawing>
      </w:r>
    </w:p>
    <w:p w14:paraId="6AE4B04A">
      <w:pPr>
        <w:pStyle w:val="51"/>
        <w:keepNext/>
        <w:spacing w:before="40" w:after="0"/>
        <w:jc w:val="center"/>
      </w:pPr>
      <w:r>
        <w:rPr>
          <w:rFonts w:ascii="Times New Roman" w:hAnsi="Times New Roman" w:eastAsia="宋体"/>
          <w:sz w:val="17"/>
        </w:rPr>
        <w:t>图3 两个LLM后端上的单次渗透率对照。注：蓝柱为deepseek-chat，橙柱为deepseek-reasoner；中心部署均压制至近零，其余绝对数值与拓扑排序不作稳健结论</w:t>
      </w:r>
    </w:p>
    <w:p w14:paraId="1691215D">
      <w:pPr>
        <w:pStyle w:val="51"/>
        <w:keepNext w:val="0"/>
        <w:spacing w:before="0" w:after="60"/>
        <w:jc w:val="center"/>
      </w:pPr>
      <w:r>
        <w:rPr>
          <w:rFonts w:ascii="Times New Roman" w:hAnsi="Times New Roman" w:eastAsia="宋体"/>
          <w:sz w:val="16"/>
        </w:rPr>
        <w:t>Fig. 3 Single-run penetration rates on two LLM backends</w:t>
      </w:r>
    </w:p>
    <w:p w14:paraId="7A5EA0EF">
      <w:pPr>
        <w:pStyle w:val="51"/>
        <w:keepNext/>
        <w:spacing w:before="40" w:after="0"/>
        <w:jc w:val="center"/>
      </w:pPr>
      <w:r>
        <w:rPr>
          <w:rFonts w:ascii="Times New Roman" w:hAnsi="Times New Roman" w:eastAsia="宋体"/>
          <w:sz w:val="17"/>
        </w:rPr>
        <w:t>表3 主实验在两个LLM后端上的对照（最终渗透率/稳态步数）</w:t>
      </w:r>
    </w:p>
    <w:p w14:paraId="3EEAE65B">
      <w:pPr>
        <w:pStyle w:val="51"/>
        <w:keepNext/>
        <w:spacing w:before="0" w:after="60"/>
        <w:jc w:val="center"/>
      </w:pPr>
      <w:r>
        <w:rPr>
          <w:rFonts w:ascii="Times New Roman" w:hAnsi="Times New Roman" w:eastAsia="宋体"/>
          <w:sz w:val="16"/>
        </w:rPr>
        <w:t>Table 3 Comparison of the main experiment on two LLM backends</w:t>
      </w:r>
    </w:p>
    <w:tbl>
      <w:tblPr>
        <w:tblStyle w:val="25"/>
        <w:tblW w:w="432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918"/>
        <w:gridCol w:w="1512"/>
        <w:gridCol w:w="1134"/>
        <w:gridCol w:w="756"/>
      </w:tblGrid>
      <w:tr w14:paraId="0B9766A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918" w:type="dxa"/>
            <w:tcBorders>
              <w:bottom w:val="single" w:color="000000" w:sz="8" w:space="0"/>
            </w:tcBorders>
            <w:tcMar>
              <w:top w:w="18" w:type="dxa"/>
              <w:left w:w="18" w:type="dxa"/>
              <w:bottom w:w="18" w:type="dxa"/>
              <w:right w:w="18" w:type="dxa"/>
            </w:tcMar>
            <w:vAlign w:val="center"/>
          </w:tcPr>
          <w:p w14:paraId="36C4C298">
            <w:pPr>
              <w:pStyle w:val="49"/>
              <w:keepNext w:val="0"/>
              <w:keepLines w:val="0"/>
              <w:spacing w:before="0" w:after="0" w:line="216" w:lineRule="auto"/>
              <w:ind w:left="0" w:right="0" w:firstLine="0"/>
              <w:jc w:val="center"/>
            </w:pPr>
            <w:r>
              <w:rPr>
                <w:rFonts w:ascii="Times New Roman" w:hAnsi="Times New Roman" w:eastAsia="宋体"/>
                <w:b/>
                <w:sz w:val="11"/>
              </w:rPr>
              <w:t>实验场景</w:t>
            </w:r>
          </w:p>
        </w:tc>
        <w:tc>
          <w:tcPr>
            <w:tcW w:w="1512" w:type="dxa"/>
            <w:tcBorders>
              <w:bottom w:val="single" w:color="000000" w:sz="8" w:space="0"/>
            </w:tcBorders>
            <w:tcMar>
              <w:top w:w="18" w:type="dxa"/>
              <w:left w:w="18" w:type="dxa"/>
              <w:bottom w:w="18" w:type="dxa"/>
              <w:right w:w="18" w:type="dxa"/>
            </w:tcMar>
            <w:vAlign w:val="center"/>
          </w:tcPr>
          <w:p w14:paraId="356A2553">
            <w:pPr>
              <w:pStyle w:val="49"/>
              <w:keepNext w:val="0"/>
              <w:keepLines w:val="0"/>
              <w:spacing w:before="0" w:after="0" w:line="216" w:lineRule="auto"/>
              <w:ind w:left="0" w:right="0" w:firstLine="0"/>
              <w:jc w:val="center"/>
            </w:pPr>
            <w:r>
              <w:rPr>
                <w:rFonts w:ascii="Times New Roman" w:hAnsi="Times New Roman" w:eastAsia="宋体"/>
                <w:b/>
                <w:sz w:val="11"/>
              </w:rPr>
              <w:t>deepseek-chat（单次）</w:t>
            </w:r>
          </w:p>
        </w:tc>
        <w:tc>
          <w:tcPr>
            <w:tcW w:w="1134" w:type="dxa"/>
            <w:tcBorders>
              <w:bottom w:val="single" w:color="000000" w:sz="8" w:space="0"/>
            </w:tcBorders>
            <w:tcMar>
              <w:top w:w="18" w:type="dxa"/>
              <w:left w:w="18" w:type="dxa"/>
              <w:bottom w:w="18" w:type="dxa"/>
              <w:right w:w="18" w:type="dxa"/>
            </w:tcMar>
            <w:vAlign w:val="center"/>
          </w:tcPr>
          <w:p w14:paraId="4426AE67">
            <w:pPr>
              <w:pStyle w:val="49"/>
              <w:keepNext w:val="0"/>
              <w:keepLines w:val="0"/>
              <w:spacing w:before="0" w:after="0" w:line="216" w:lineRule="auto"/>
              <w:ind w:left="0" w:right="0" w:firstLine="0"/>
              <w:jc w:val="center"/>
            </w:pPr>
            <w:r>
              <w:rPr>
                <w:rFonts w:ascii="Times New Roman" w:hAnsi="Times New Roman" w:eastAsia="宋体"/>
                <w:b/>
                <w:sz w:val="11"/>
              </w:rPr>
              <w:t>deepseek-reasoner（单次）</w:t>
            </w:r>
          </w:p>
        </w:tc>
        <w:tc>
          <w:tcPr>
            <w:tcW w:w="756" w:type="dxa"/>
            <w:tcBorders>
              <w:bottom w:val="single" w:color="000000" w:sz="8" w:space="0"/>
            </w:tcBorders>
            <w:tcMar>
              <w:top w:w="18" w:type="dxa"/>
              <w:left w:w="18" w:type="dxa"/>
              <w:bottom w:w="18" w:type="dxa"/>
              <w:right w:w="18" w:type="dxa"/>
            </w:tcMar>
            <w:vAlign w:val="center"/>
          </w:tcPr>
          <w:p w14:paraId="1AFD89AD">
            <w:pPr>
              <w:pStyle w:val="49"/>
              <w:keepNext w:val="0"/>
              <w:keepLines w:val="0"/>
              <w:spacing w:before="0" w:after="0" w:line="216" w:lineRule="auto"/>
              <w:ind w:left="0" w:right="0" w:firstLine="0"/>
              <w:jc w:val="center"/>
            </w:pPr>
            <w:r>
              <w:rPr>
                <w:rFonts w:ascii="Times New Roman" w:hAnsi="Times New Roman" w:eastAsia="宋体"/>
                <w:b/>
                <w:sz w:val="11"/>
              </w:rPr>
              <w:t>Hub 抑制是否复现</w:t>
            </w:r>
          </w:p>
        </w:tc>
      </w:tr>
      <w:tr w14:paraId="4F886B3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918" w:type="dxa"/>
            <w:tcMar>
              <w:top w:w="18" w:type="dxa"/>
              <w:left w:w="18" w:type="dxa"/>
              <w:bottom w:w="18" w:type="dxa"/>
              <w:right w:w="18" w:type="dxa"/>
            </w:tcMar>
            <w:vAlign w:val="center"/>
          </w:tcPr>
          <w:p w14:paraId="4A4AB07F">
            <w:pPr>
              <w:pStyle w:val="50"/>
              <w:keepNext w:val="0"/>
              <w:keepLines w:val="0"/>
              <w:spacing w:before="0" w:after="0" w:line="216" w:lineRule="auto"/>
              <w:ind w:left="0" w:right="0" w:firstLine="0"/>
              <w:jc w:val="center"/>
              <w:rPr>
                <w:lang w:eastAsia="zh-CN"/>
              </w:rPr>
            </w:pPr>
            <w:r>
              <w:rPr>
                <w:rFonts w:ascii="Times New Roman" w:hAnsi="Times New Roman" w:eastAsia="宋体"/>
                <w:b w:val="0"/>
                <w:sz w:val="11"/>
                <w:lang w:eastAsia="zh-CN"/>
              </w:rPr>
              <w:t>小世界（随机核查员）</w:t>
            </w:r>
          </w:p>
        </w:tc>
        <w:tc>
          <w:tcPr>
            <w:tcW w:w="1512" w:type="dxa"/>
            <w:tcMar>
              <w:top w:w="18" w:type="dxa"/>
              <w:left w:w="18" w:type="dxa"/>
              <w:bottom w:w="18" w:type="dxa"/>
              <w:right w:w="18" w:type="dxa"/>
            </w:tcMar>
            <w:vAlign w:val="center"/>
          </w:tcPr>
          <w:p w14:paraId="2E61D413">
            <w:pPr>
              <w:pStyle w:val="50"/>
              <w:keepNext w:val="0"/>
              <w:keepLines w:val="0"/>
              <w:spacing w:before="0" w:after="0" w:line="216" w:lineRule="auto"/>
              <w:ind w:left="0" w:right="0" w:firstLine="0"/>
              <w:jc w:val="center"/>
            </w:pPr>
            <w:r>
              <w:rPr>
                <w:rFonts w:ascii="Times New Roman" w:hAnsi="Times New Roman" w:eastAsia="宋体"/>
                <w:b w:val="0"/>
                <w:sz w:val="11"/>
              </w:rPr>
              <w:t>17.0% / 30 步（截断）</w:t>
            </w:r>
          </w:p>
        </w:tc>
        <w:tc>
          <w:tcPr>
            <w:tcW w:w="1134" w:type="dxa"/>
            <w:tcMar>
              <w:top w:w="18" w:type="dxa"/>
              <w:left w:w="18" w:type="dxa"/>
              <w:bottom w:w="18" w:type="dxa"/>
              <w:right w:w="18" w:type="dxa"/>
            </w:tcMar>
            <w:vAlign w:val="center"/>
          </w:tcPr>
          <w:p w14:paraId="7A11B1DE">
            <w:pPr>
              <w:pStyle w:val="50"/>
              <w:keepNext w:val="0"/>
              <w:keepLines w:val="0"/>
              <w:spacing w:before="0" w:after="0" w:line="216" w:lineRule="auto"/>
              <w:ind w:left="0" w:right="0" w:firstLine="0"/>
              <w:jc w:val="center"/>
            </w:pPr>
            <w:r>
              <w:rPr>
                <w:rFonts w:ascii="Times New Roman" w:hAnsi="Times New Roman" w:eastAsia="宋体"/>
                <w:b w:val="0"/>
                <w:sz w:val="11"/>
              </w:rPr>
              <w:t>28.7% / 30 步（截断）</w:t>
            </w:r>
          </w:p>
        </w:tc>
        <w:tc>
          <w:tcPr>
            <w:tcW w:w="756" w:type="dxa"/>
            <w:tcMar>
              <w:top w:w="18" w:type="dxa"/>
              <w:left w:w="18" w:type="dxa"/>
              <w:bottom w:w="18" w:type="dxa"/>
              <w:right w:w="18" w:type="dxa"/>
            </w:tcMar>
            <w:vAlign w:val="center"/>
          </w:tcPr>
          <w:p w14:paraId="13E1911B">
            <w:pPr>
              <w:pStyle w:val="50"/>
              <w:keepNext w:val="0"/>
              <w:keepLines w:val="0"/>
              <w:spacing w:before="0" w:after="0" w:line="216" w:lineRule="auto"/>
              <w:ind w:left="0" w:right="0" w:firstLine="0"/>
              <w:jc w:val="center"/>
            </w:pPr>
            <w:r>
              <w:rPr>
                <w:rFonts w:ascii="Times New Roman" w:hAnsi="Times New Roman" w:eastAsia="宋体"/>
                <w:b w:val="0"/>
                <w:sz w:val="11"/>
              </w:rPr>
              <w:t>不适用</w:t>
            </w:r>
          </w:p>
        </w:tc>
      </w:tr>
      <w:tr w14:paraId="5B3427F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918" w:type="dxa"/>
            <w:tcMar>
              <w:top w:w="18" w:type="dxa"/>
              <w:left w:w="18" w:type="dxa"/>
              <w:bottom w:w="18" w:type="dxa"/>
              <w:right w:w="18" w:type="dxa"/>
            </w:tcMar>
            <w:vAlign w:val="center"/>
          </w:tcPr>
          <w:p w14:paraId="3F86C001">
            <w:pPr>
              <w:pStyle w:val="50"/>
              <w:keepNext w:val="0"/>
              <w:keepLines w:val="0"/>
              <w:spacing w:before="0" w:after="0" w:line="216" w:lineRule="auto"/>
              <w:ind w:left="0" w:right="0" w:firstLine="0"/>
              <w:jc w:val="center"/>
              <w:rPr>
                <w:lang w:eastAsia="zh-CN"/>
              </w:rPr>
            </w:pPr>
            <w:r>
              <w:rPr>
                <w:rFonts w:ascii="Times New Roman" w:hAnsi="Times New Roman" w:eastAsia="宋体"/>
                <w:b w:val="0"/>
                <w:sz w:val="11"/>
                <w:lang w:eastAsia="zh-CN"/>
              </w:rPr>
              <w:t>无标度（随机核查员）</w:t>
            </w:r>
          </w:p>
        </w:tc>
        <w:tc>
          <w:tcPr>
            <w:tcW w:w="1512" w:type="dxa"/>
            <w:tcMar>
              <w:top w:w="18" w:type="dxa"/>
              <w:left w:w="18" w:type="dxa"/>
              <w:bottom w:w="18" w:type="dxa"/>
              <w:right w:w="18" w:type="dxa"/>
            </w:tcMar>
            <w:vAlign w:val="center"/>
          </w:tcPr>
          <w:p w14:paraId="2F80ACB9">
            <w:pPr>
              <w:pStyle w:val="50"/>
              <w:keepNext w:val="0"/>
              <w:keepLines w:val="0"/>
              <w:spacing w:before="0" w:after="0" w:line="216" w:lineRule="auto"/>
              <w:ind w:left="0" w:right="0" w:firstLine="0"/>
              <w:jc w:val="center"/>
            </w:pPr>
            <w:r>
              <w:rPr>
                <w:rFonts w:ascii="Times New Roman" w:hAnsi="Times New Roman" w:eastAsia="宋体"/>
                <w:b w:val="0"/>
                <w:sz w:val="11"/>
              </w:rPr>
              <w:t>31.7% / 9 步</w:t>
            </w:r>
          </w:p>
        </w:tc>
        <w:tc>
          <w:tcPr>
            <w:tcW w:w="1134" w:type="dxa"/>
            <w:tcMar>
              <w:top w:w="18" w:type="dxa"/>
              <w:left w:w="18" w:type="dxa"/>
              <w:bottom w:w="18" w:type="dxa"/>
              <w:right w:w="18" w:type="dxa"/>
            </w:tcMar>
            <w:vAlign w:val="center"/>
          </w:tcPr>
          <w:p w14:paraId="766EFE2F">
            <w:pPr>
              <w:pStyle w:val="50"/>
              <w:keepNext w:val="0"/>
              <w:keepLines w:val="0"/>
              <w:spacing w:before="0" w:after="0" w:line="216" w:lineRule="auto"/>
              <w:ind w:left="0" w:right="0" w:firstLine="0"/>
              <w:jc w:val="center"/>
            </w:pPr>
            <w:r>
              <w:rPr>
                <w:rFonts w:ascii="Times New Roman" w:hAnsi="Times New Roman" w:eastAsia="宋体"/>
                <w:b w:val="0"/>
                <w:sz w:val="11"/>
              </w:rPr>
              <w:t>56.3% / 8 步</w:t>
            </w:r>
          </w:p>
        </w:tc>
        <w:tc>
          <w:tcPr>
            <w:tcW w:w="756" w:type="dxa"/>
            <w:tcMar>
              <w:top w:w="18" w:type="dxa"/>
              <w:left w:w="18" w:type="dxa"/>
              <w:bottom w:w="18" w:type="dxa"/>
              <w:right w:w="18" w:type="dxa"/>
            </w:tcMar>
            <w:vAlign w:val="center"/>
          </w:tcPr>
          <w:p w14:paraId="1B1A4E22">
            <w:pPr>
              <w:pStyle w:val="50"/>
              <w:keepNext w:val="0"/>
              <w:keepLines w:val="0"/>
              <w:spacing w:before="0" w:after="0" w:line="216" w:lineRule="auto"/>
              <w:ind w:left="0" w:right="0" w:firstLine="0"/>
              <w:jc w:val="center"/>
            </w:pPr>
            <w:r>
              <w:rPr>
                <w:rFonts w:ascii="Times New Roman" w:hAnsi="Times New Roman" w:eastAsia="宋体"/>
                <w:b w:val="0"/>
                <w:sz w:val="11"/>
              </w:rPr>
              <w:t>不适用</w:t>
            </w:r>
          </w:p>
        </w:tc>
      </w:tr>
      <w:tr w14:paraId="0696CE7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918" w:type="dxa"/>
            <w:tcMar>
              <w:top w:w="18" w:type="dxa"/>
              <w:left w:w="18" w:type="dxa"/>
              <w:bottom w:w="18" w:type="dxa"/>
              <w:right w:w="18" w:type="dxa"/>
            </w:tcMar>
            <w:vAlign w:val="center"/>
          </w:tcPr>
          <w:p w14:paraId="7AEE4914">
            <w:pPr>
              <w:pStyle w:val="50"/>
              <w:keepNext w:val="0"/>
              <w:keepLines w:val="0"/>
              <w:spacing w:before="0" w:after="0" w:line="216" w:lineRule="auto"/>
              <w:ind w:left="0" w:right="0" w:firstLine="0"/>
              <w:jc w:val="center"/>
              <w:rPr>
                <w:lang w:eastAsia="zh-CN"/>
              </w:rPr>
            </w:pPr>
            <w:r>
              <w:rPr>
                <w:rFonts w:ascii="Times New Roman" w:hAnsi="Times New Roman" w:eastAsia="宋体"/>
                <w:b w:val="0"/>
                <w:sz w:val="11"/>
                <w:lang w:eastAsia="zh-CN"/>
              </w:rPr>
              <w:t>边缘部署（低度数核查员）</w:t>
            </w:r>
          </w:p>
        </w:tc>
        <w:tc>
          <w:tcPr>
            <w:tcW w:w="1512" w:type="dxa"/>
            <w:tcMar>
              <w:top w:w="18" w:type="dxa"/>
              <w:left w:w="18" w:type="dxa"/>
              <w:bottom w:w="18" w:type="dxa"/>
              <w:right w:w="18" w:type="dxa"/>
            </w:tcMar>
            <w:vAlign w:val="center"/>
          </w:tcPr>
          <w:p w14:paraId="22768B5D">
            <w:pPr>
              <w:pStyle w:val="50"/>
              <w:keepNext w:val="0"/>
              <w:keepLines w:val="0"/>
              <w:spacing w:before="0" w:after="0" w:line="216" w:lineRule="auto"/>
              <w:ind w:left="0" w:right="0" w:firstLine="0"/>
              <w:jc w:val="center"/>
            </w:pPr>
            <w:r>
              <w:rPr>
                <w:rFonts w:ascii="Times New Roman" w:hAnsi="Times New Roman" w:eastAsia="宋体"/>
                <w:b w:val="0"/>
                <w:sz w:val="11"/>
              </w:rPr>
              <w:t>30.0% / 10 步</w:t>
            </w:r>
          </w:p>
        </w:tc>
        <w:tc>
          <w:tcPr>
            <w:tcW w:w="1134" w:type="dxa"/>
            <w:tcMar>
              <w:top w:w="18" w:type="dxa"/>
              <w:left w:w="18" w:type="dxa"/>
              <w:bottom w:w="18" w:type="dxa"/>
              <w:right w:w="18" w:type="dxa"/>
            </w:tcMar>
            <w:vAlign w:val="center"/>
          </w:tcPr>
          <w:p w14:paraId="38CD3571">
            <w:pPr>
              <w:pStyle w:val="50"/>
              <w:keepNext w:val="0"/>
              <w:keepLines w:val="0"/>
              <w:spacing w:before="0" w:after="0" w:line="216" w:lineRule="auto"/>
              <w:ind w:left="0" w:right="0" w:firstLine="0"/>
              <w:jc w:val="center"/>
            </w:pPr>
            <w:r>
              <w:rPr>
                <w:rFonts w:ascii="Times New Roman" w:hAnsi="Times New Roman" w:eastAsia="宋体"/>
                <w:b w:val="0"/>
                <w:sz w:val="11"/>
              </w:rPr>
              <w:t>65.7% / 9 步</w:t>
            </w:r>
          </w:p>
        </w:tc>
        <w:tc>
          <w:tcPr>
            <w:tcW w:w="756" w:type="dxa"/>
            <w:tcMar>
              <w:top w:w="18" w:type="dxa"/>
              <w:left w:w="18" w:type="dxa"/>
              <w:bottom w:w="18" w:type="dxa"/>
              <w:right w:w="18" w:type="dxa"/>
            </w:tcMar>
            <w:vAlign w:val="center"/>
          </w:tcPr>
          <w:p w14:paraId="338814E8">
            <w:pPr>
              <w:pStyle w:val="50"/>
              <w:keepNext w:val="0"/>
              <w:keepLines w:val="0"/>
              <w:spacing w:before="0" w:after="0" w:line="216" w:lineRule="auto"/>
              <w:ind w:left="0" w:right="0" w:firstLine="0"/>
              <w:jc w:val="center"/>
            </w:pPr>
            <w:r>
              <w:rPr>
                <w:rFonts w:ascii="Times New Roman" w:hAnsi="Times New Roman" w:eastAsia="宋体"/>
                <w:b w:val="0"/>
                <w:sz w:val="11"/>
              </w:rPr>
              <w:t>不适用</w:t>
            </w:r>
          </w:p>
        </w:tc>
      </w:tr>
      <w:tr w14:paraId="3C83963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918" w:type="dxa"/>
            <w:tcMar>
              <w:top w:w="18" w:type="dxa"/>
              <w:left w:w="18" w:type="dxa"/>
              <w:bottom w:w="18" w:type="dxa"/>
              <w:right w:w="18" w:type="dxa"/>
            </w:tcMar>
            <w:vAlign w:val="center"/>
          </w:tcPr>
          <w:p w14:paraId="627C72D1">
            <w:pPr>
              <w:pStyle w:val="50"/>
              <w:keepNext w:val="0"/>
              <w:keepLines w:val="0"/>
              <w:spacing w:before="0" w:after="0" w:line="216" w:lineRule="auto"/>
              <w:ind w:left="0" w:right="0" w:firstLine="0"/>
              <w:jc w:val="center"/>
            </w:pPr>
            <w:r>
              <w:rPr>
                <w:rFonts w:ascii="Times New Roman" w:hAnsi="Times New Roman" w:eastAsia="宋体"/>
                <w:b w:val="0"/>
                <w:sz w:val="11"/>
              </w:rPr>
              <w:t>中心部署（Top Hub 核查员）</w:t>
            </w:r>
          </w:p>
        </w:tc>
        <w:tc>
          <w:tcPr>
            <w:tcW w:w="1512" w:type="dxa"/>
            <w:tcMar>
              <w:top w:w="18" w:type="dxa"/>
              <w:left w:w="18" w:type="dxa"/>
              <w:bottom w:w="18" w:type="dxa"/>
              <w:right w:w="18" w:type="dxa"/>
            </w:tcMar>
            <w:vAlign w:val="center"/>
          </w:tcPr>
          <w:p w14:paraId="5B4D9ADC">
            <w:pPr>
              <w:pStyle w:val="50"/>
              <w:keepNext w:val="0"/>
              <w:keepLines w:val="0"/>
              <w:spacing w:before="0" w:after="0" w:line="216" w:lineRule="auto"/>
              <w:ind w:left="0" w:right="0" w:firstLine="0"/>
              <w:jc w:val="center"/>
            </w:pPr>
            <w:r>
              <w:rPr>
                <w:rFonts w:ascii="Times New Roman" w:hAnsi="Times New Roman" w:eastAsia="宋体"/>
                <w:b w:val="0"/>
                <w:sz w:val="11"/>
              </w:rPr>
              <w:t>0.0% / 7 步</w:t>
            </w:r>
          </w:p>
        </w:tc>
        <w:tc>
          <w:tcPr>
            <w:tcW w:w="1134" w:type="dxa"/>
            <w:tcMar>
              <w:top w:w="18" w:type="dxa"/>
              <w:left w:w="18" w:type="dxa"/>
              <w:bottom w:w="18" w:type="dxa"/>
              <w:right w:w="18" w:type="dxa"/>
            </w:tcMar>
            <w:vAlign w:val="center"/>
          </w:tcPr>
          <w:p w14:paraId="4B3AC915">
            <w:pPr>
              <w:pStyle w:val="50"/>
              <w:keepNext w:val="0"/>
              <w:keepLines w:val="0"/>
              <w:spacing w:before="0" w:after="0" w:line="216" w:lineRule="auto"/>
              <w:ind w:left="0" w:right="0" w:firstLine="0"/>
              <w:jc w:val="center"/>
            </w:pPr>
            <w:r>
              <w:rPr>
                <w:rFonts w:ascii="Times New Roman" w:hAnsi="Times New Roman" w:eastAsia="宋体"/>
                <w:b w:val="0"/>
                <w:sz w:val="11"/>
              </w:rPr>
              <w:t>0.3% / 7 步</w:t>
            </w:r>
          </w:p>
        </w:tc>
        <w:tc>
          <w:tcPr>
            <w:tcW w:w="756" w:type="dxa"/>
            <w:tcMar>
              <w:top w:w="18" w:type="dxa"/>
              <w:left w:w="18" w:type="dxa"/>
              <w:bottom w:w="18" w:type="dxa"/>
              <w:right w:w="18" w:type="dxa"/>
            </w:tcMar>
            <w:vAlign w:val="center"/>
          </w:tcPr>
          <w:p w14:paraId="2940F855">
            <w:pPr>
              <w:pStyle w:val="50"/>
              <w:keepNext w:val="0"/>
              <w:keepLines w:val="0"/>
              <w:spacing w:before="0" w:after="0" w:line="216" w:lineRule="auto"/>
              <w:ind w:left="0" w:right="0" w:firstLine="0"/>
              <w:jc w:val="center"/>
            </w:pPr>
            <w:r>
              <w:rPr>
                <w:rFonts w:ascii="Times New Roman" w:hAnsi="Times New Roman" w:eastAsia="宋体"/>
                <w:b w:val="0"/>
                <w:sz w:val="11"/>
              </w:rPr>
              <w:t xml:space="preserve">是 </w:t>
            </w:r>
          </w:p>
        </w:tc>
      </w:tr>
    </w:tbl>
    <w:p w14:paraId="1F26A4CF">
      <w:pPr>
        <w:pStyle w:val="48"/>
        <w:widowControl/>
        <w:spacing w:before="0" w:after="0" w:line="269" w:lineRule="auto"/>
        <w:ind w:left="0" w:right="0" w:firstLine="420"/>
        <w:jc w:val="both"/>
        <w:rPr>
          <w:lang w:eastAsia="zh-CN"/>
        </w:rPr>
      </w:pPr>
      <w:r>
        <w:rPr>
          <w:rFonts w:ascii="Times New Roman" w:hAnsi="Times New Roman" w:eastAsia="宋体"/>
          <w:i/>
          <w:iCs/>
          <w:sz w:val="21"/>
          <w:lang w:eastAsia="zh-CN"/>
        </w:rPr>
        <w:t>两后端在全部四组上无效 JSON 率与兜底回退率均为 0%。本表为每后端单次运行值；结合 4.6 节的多次运行分析，仅 Hub 抑制与结构化输出鲁棒性作跨后端稳健结论，其余绝对数值与排序须计入运行间波动。</w:t>
      </w:r>
    </w:p>
    <w:p w14:paraId="288D5119">
      <w:pPr>
        <w:pStyle w:val="48"/>
        <w:widowControl/>
        <w:spacing w:before="0" w:after="0" w:line="269" w:lineRule="auto"/>
        <w:ind w:left="0" w:right="0" w:firstLine="420"/>
        <w:jc w:val="both"/>
        <w:rPr>
          <w:lang w:eastAsia="zh-CN"/>
        </w:rPr>
      </w:pPr>
      <w:r>
        <w:rPr>
          <w:rFonts w:ascii="Times New Roman" w:hAnsi="Times New Roman" w:eastAsia="宋体"/>
          <w:sz w:val="21"/>
          <w:lang w:eastAsia="zh-CN"/>
        </w:rPr>
        <w:t>本实验检验协议层面的两项性质是否为单一模型特例。如表 3 与图3 所示，两项性质跨后端稳健复现：</w:t>
      </w:r>
      <w:r>
        <w:rPr>
          <w:rFonts w:ascii="Times New Roman" w:hAnsi="Times New Roman" w:eastAsia="宋体"/>
          <w:b/>
          <w:bCs/>
          <w:sz w:val="21"/>
          <w:lang w:eastAsia="zh-CN"/>
        </w:rPr>
        <w:t>中心（Hub）部署</w:t>
      </w:r>
      <w:r>
        <w:rPr>
          <w:rFonts w:ascii="Times New Roman" w:hAnsi="Times New Roman" w:eastAsia="宋体"/>
          <w:sz w:val="21"/>
          <w:lang w:eastAsia="zh-CN"/>
        </w:rPr>
        <w:t>在两个后端上都将渗透率压制至近零（0.0% 与 0.3%，收敛步数同为 7 步），本文最可靠的干预结论不依赖具体模型；</w:t>
      </w:r>
      <w:r>
        <w:rPr>
          <w:rFonts w:ascii="Times New Roman" w:hAnsi="Times New Roman" w:eastAsia="宋体"/>
          <w:b/>
          <w:bCs/>
          <w:sz w:val="21"/>
          <w:lang w:eastAsia="zh-CN"/>
        </w:rPr>
        <w:t>结构化输出约束</w:t>
      </w:r>
      <w:r>
        <w:rPr>
          <w:rFonts w:ascii="Times New Roman" w:hAnsi="Times New Roman" w:eastAsia="宋体"/>
          <w:sz w:val="21"/>
          <w:lang w:eastAsia="zh-CN"/>
        </w:rPr>
        <w:t xml:space="preserve">在推理模型上同样零违规（无效 JSON 率 0%），说明零温度与 Schema 约束可跨厂商内核移植。推理内核下绝对渗透率整体抬升属正常的模型间差异；由于本表为单次运行，拓扑与”边缘 vs 随机”排序（已由 4.6 节以 </w:t>
      </w:r>
      <m:oMath>
        <m:r>
          <m:rPr/>
          <w:rPr>
            <w:rFonts w:ascii="Cambria Math" w:hAnsi="Cambria Math"/>
            <w:lang w:eastAsia="zh-CN"/>
          </w:rPr>
          <m:t>K</m:t>
        </m:r>
        <m:r>
          <m:rPr>
            <m:sty m:val="p"/>
          </m:rPr>
          <w:rPr>
            <w:rFonts w:ascii="Cambria Math" w:hAnsi="Cambria Math"/>
            <w:lang w:eastAsia="zh-CN"/>
          </w:rPr>
          <m:t>=</m:t>
        </m:r>
        <m:r>
          <m:rPr/>
          <w:rPr>
            <w:rFonts w:ascii="Cambria Math" w:hAnsi="Cambria Math"/>
            <w:lang w:eastAsia="zh-CN"/>
          </w:rPr>
          <m:t>5</m:t>
        </m:r>
      </m:oMath>
      <w:r>
        <w:rPr>
          <w:rFonts w:ascii="Times New Roman" w:hAnsi="Times New Roman" w:eastAsia="宋体"/>
          <w:sz w:val="21"/>
          <w:lang w:eastAsia="zh-CN"/>
        </w:rPr>
        <w:t xml:space="preserve"> 判定为噪声内不可判定）在此不作跨后端方向性断言。</w:t>
      </w:r>
    </w:p>
    <w:p w14:paraId="506CF2E3">
      <w:pPr>
        <w:pStyle w:val="46"/>
        <w:keepNext/>
        <w:pageBreakBefore w:val="0"/>
        <w:spacing w:before="100" w:after="40"/>
        <w:ind w:firstLine="0"/>
        <w:jc w:val="left"/>
      </w:pPr>
      <w:r>
        <w:rPr>
          <w:rFonts w:ascii="Times New Roman" w:hAnsi="Times New Roman" w:eastAsia="黑体"/>
          <w:b/>
          <w:sz w:val="21"/>
        </w:rPr>
        <w:t>4.6 实验四：合成网络上的传播机制与空间干预</w:t>
      </w:r>
    </w:p>
    <w:p w14:paraId="7EAEE140">
      <w:pPr>
        <w:pStyle w:val="48"/>
        <w:widowControl/>
        <w:spacing w:before="0" w:after="0" w:line="269" w:lineRule="auto"/>
        <w:ind w:left="0" w:right="0" w:firstLine="420"/>
        <w:jc w:val="both"/>
        <w:rPr>
          <w:lang w:eastAsia="zh-CN"/>
        </w:rPr>
      </w:pPr>
      <w:r>
        <w:rPr>
          <w:rFonts w:ascii="Times New Roman" w:hAnsi="Times New Roman" w:eastAsia="宋体"/>
          <w:sz w:val="21"/>
        </w:rPr>
        <w:t>在可复现协议之上，实验四以合成拓扑评估两个应用问题：拓扑对语义传播的影响，以及事实核查员部署位置对干预效能的边际作用。</w:t>
      </w:r>
      <w:r>
        <w:rPr>
          <w:rFonts w:ascii="Times New Roman" w:hAnsi="Times New Roman" w:eastAsia="宋体"/>
          <w:sz w:val="21"/>
          <w:lang w:eastAsia="zh-CN"/>
        </w:rPr>
        <w:t>所有配置于同一普通源节点（节点 47）注入相同初始谣言，仅改变受控变量（拓扑或核查员部署），人设映射与解码参数一致。</w:t>
      </w:r>
      <w:r>
        <w:rPr>
          <w:rFonts w:ascii="Times New Roman" w:hAnsi="Times New Roman" w:eastAsia="宋体"/>
          <w:b/>
          <w:bCs/>
          <w:sz w:val="21"/>
          <w:lang w:eastAsia="zh-CN"/>
        </w:rPr>
        <w:t xml:space="preserve">鉴于 4.4 节已证实云端 LLM 在 </w:t>
      </w:r>
      <m:oMath>
        <m:r>
          <m:rPr/>
          <w:rPr>
            <w:rFonts w:ascii="Cambria Math" w:hAnsi="Cambria Math"/>
            <w:lang w:eastAsia="zh-CN"/>
          </w:rPr>
          <m:t>Temperature</m:t>
        </m:r>
        <m:r>
          <m:rPr>
            <m:sty m:val="p"/>
          </m:rPr>
          <w:rPr>
            <w:rFonts w:ascii="Cambria Math" w:hAnsi="Cambria Math"/>
            <w:lang w:eastAsia="zh-CN"/>
          </w:rPr>
          <m:t>=</m:t>
        </m:r>
        <m:r>
          <m:rPr/>
          <w:rPr>
            <w:rFonts w:ascii="Cambria Math" w:hAnsi="Cambria Math"/>
            <w:lang w:eastAsia="zh-CN"/>
          </w:rPr>
          <m:t>0</m:t>
        </m:r>
      </m:oMath>
      <w:r>
        <w:rPr>
          <w:rFonts w:ascii="Times New Roman" w:hAnsi="Times New Roman" w:eastAsia="宋体"/>
          <w:b/>
          <w:bCs/>
          <w:sz w:val="21"/>
          <w:lang w:eastAsia="zh-CN"/>
        </w:rPr>
        <w:t xml:space="preserve"> 下存在显著运行间波动，本节的应用结论一律以每条件 5 次独立运行的均值 ± 95% 置信区间（CI）为准（每次运行均采用独立缓存），单次运行值仅作时序曲线（图4、图5）的示例。</w:t>
      </w:r>
      <w:r>
        <w:rPr>
          <w:rFonts w:ascii="Times New Roman" w:hAnsi="Times New Roman" w:eastAsia="宋体"/>
          <w:sz w:val="21"/>
          <w:lang w:eastAsia="zh-CN"/>
        </w:rPr>
        <w:t xml:space="preserve"> 这一做法本身也是本文核心命题的直接体现：脱离重复运行与区间估计的单次宏观结论不足为凭。</w:t>
      </w:r>
    </w:p>
    <w:p w14:paraId="16045EF2">
      <w:pPr>
        <w:pStyle w:val="51"/>
        <w:keepNext/>
        <w:spacing w:before="60" w:after="20" w:line="240" w:lineRule="auto"/>
        <w:ind w:left="0" w:right="0" w:firstLine="0"/>
        <w:jc w:val="center"/>
      </w:pPr>
      <w:r>
        <w:drawing>
          <wp:inline distT="0" distB="0" distL="114300" distR="114300">
            <wp:extent cx="2743200" cy="1713865"/>
            <wp:effectExtent l="0" t="0" r="0" b="0"/>
            <wp:docPr id="4" name="Figure 4" descr="图 3　合成网络上的拓扑传播时序（单次运行示例）。注：仅作时序展示，定量结论以表 4 的区间估计为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图 3　合成网络上的拓扑传播时序（单次运行示例）。注：仅作时序展示，定量结论以表 4 的区间估计为准。"/>
                    <pic:cNvPicPr>
                      <a:picLocks noChangeAspect="1" noChangeArrowheads="1"/>
                    </pic:cNvPicPr>
                  </pic:nvPicPr>
                  <pic:blipFill>
                    <a:blip r:embed="rId14"/>
                    <a:stretch>
                      <a:fillRect/>
                    </a:stretch>
                  </pic:blipFill>
                  <pic:spPr>
                    <a:xfrm>
                      <a:off x="0" y="0"/>
                      <a:ext cx="2743200" cy="1714337"/>
                    </a:xfrm>
                    <a:prstGeom prst="rect">
                      <a:avLst/>
                    </a:prstGeom>
                    <a:noFill/>
                    <a:ln w="9525">
                      <a:noFill/>
                    </a:ln>
                  </pic:spPr>
                </pic:pic>
              </a:graphicData>
            </a:graphic>
          </wp:inline>
        </w:drawing>
      </w:r>
    </w:p>
    <w:p w14:paraId="2EB4DB96">
      <w:pPr>
        <w:pStyle w:val="51"/>
        <w:keepNext/>
        <w:spacing w:before="40" w:after="0"/>
        <w:jc w:val="center"/>
      </w:pPr>
      <w:r>
        <w:rPr>
          <w:rFonts w:ascii="Times New Roman" w:hAnsi="Times New Roman" w:eastAsia="宋体"/>
          <w:sz w:val="17"/>
        </w:rPr>
        <w:t>图4 合成网络上的拓扑传播时序（单次运行示例）。注：仅作时序展示，定量结论以表4的区间估计为准</w:t>
      </w:r>
    </w:p>
    <w:p w14:paraId="5EA7D298">
      <w:pPr>
        <w:pStyle w:val="51"/>
        <w:keepNext w:val="0"/>
        <w:spacing w:before="0" w:after="60"/>
        <w:jc w:val="center"/>
      </w:pPr>
      <w:r>
        <w:rPr>
          <w:rFonts w:ascii="Times New Roman" w:hAnsi="Times New Roman" w:eastAsia="宋体"/>
          <w:sz w:val="16"/>
        </w:rPr>
        <w:t>Fig. 4 Diffusion trajectories on synthetic network topologies (single-run examples)</w:t>
      </w:r>
    </w:p>
    <w:p w14:paraId="66A54883">
      <w:pPr>
        <w:pStyle w:val="51"/>
        <w:keepNext/>
        <w:spacing w:before="60" w:after="20" w:line="240" w:lineRule="auto"/>
        <w:ind w:left="0" w:right="0" w:firstLine="0"/>
        <w:jc w:val="center"/>
      </w:pPr>
      <w:r>
        <w:drawing>
          <wp:inline distT="0" distB="0" distL="114300" distR="114300">
            <wp:extent cx="2743200" cy="1713865"/>
            <wp:effectExtent l="0" t="0" r="0" b="0"/>
            <wp:docPr id="5" name="Figure 5" descr="图 4　合成网络上的空间干预时序（单次运行示例）。注：仅作时序展示，定量结论以表 4 的区间估计为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descr="图 4　合成网络上的空间干预时序（单次运行示例）。注：仅作时序展示，定量结论以表 4 的区间估计为准。"/>
                    <pic:cNvPicPr>
                      <a:picLocks noChangeAspect="1" noChangeArrowheads="1"/>
                    </pic:cNvPicPr>
                  </pic:nvPicPr>
                  <pic:blipFill>
                    <a:blip r:embed="rId15"/>
                    <a:stretch>
                      <a:fillRect/>
                    </a:stretch>
                  </pic:blipFill>
                  <pic:spPr>
                    <a:xfrm>
                      <a:off x="0" y="0"/>
                      <a:ext cx="2743200" cy="1714337"/>
                    </a:xfrm>
                    <a:prstGeom prst="rect">
                      <a:avLst/>
                    </a:prstGeom>
                    <a:noFill/>
                    <a:ln w="9525">
                      <a:noFill/>
                    </a:ln>
                  </pic:spPr>
                </pic:pic>
              </a:graphicData>
            </a:graphic>
          </wp:inline>
        </w:drawing>
      </w:r>
    </w:p>
    <w:p w14:paraId="31C4B07F">
      <w:pPr>
        <w:pStyle w:val="51"/>
        <w:keepNext/>
        <w:spacing w:before="40" w:after="0"/>
        <w:jc w:val="center"/>
      </w:pPr>
      <w:r>
        <w:rPr>
          <w:rFonts w:ascii="Times New Roman" w:hAnsi="Times New Roman" w:eastAsia="宋体"/>
          <w:sz w:val="17"/>
        </w:rPr>
        <w:t>图5 合成网络上的空间干预时序（单次运行示例）。注：仅作时序展示，定量结论以表4的区间估计为准</w:t>
      </w:r>
    </w:p>
    <w:p w14:paraId="0006A2E7">
      <w:pPr>
        <w:pStyle w:val="51"/>
        <w:keepNext w:val="0"/>
        <w:spacing w:before="0" w:after="60"/>
        <w:jc w:val="center"/>
      </w:pPr>
      <w:r>
        <w:rPr>
          <w:rFonts w:ascii="Times New Roman" w:hAnsi="Times New Roman" w:eastAsia="宋体"/>
          <w:sz w:val="16"/>
        </w:rPr>
        <w:t>Fig. 5 Spatial-intervention trajectories on synthetic networks (single-run examples)</w:t>
      </w:r>
    </w:p>
    <w:p w14:paraId="3F82EDB6">
      <w:pPr>
        <w:pStyle w:val="51"/>
        <w:keepNext/>
        <w:spacing w:before="40" w:after="0"/>
        <w:jc w:val="center"/>
      </w:pPr>
      <w:r>
        <w:rPr>
          <w:rFonts w:ascii="Times New Roman" w:hAnsi="Times New Roman" w:eastAsia="宋体"/>
          <w:sz w:val="17"/>
        </w:rPr>
        <w:t>表4 合成网络上的拓扑与干预效能（真实deepseek-chat，每条件5次独立运行）</w:t>
      </w:r>
    </w:p>
    <w:p w14:paraId="4E0A848E">
      <w:pPr>
        <w:pStyle w:val="51"/>
        <w:keepNext/>
        <w:spacing w:before="0" w:after="60"/>
        <w:jc w:val="center"/>
      </w:pPr>
      <w:r>
        <w:rPr>
          <w:rFonts w:ascii="Times New Roman" w:hAnsi="Times New Roman" w:eastAsia="宋体"/>
          <w:sz w:val="16"/>
        </w:rPr>
        <w:t>Table 4 Topology and intervention effectiveness on synthetic networks</w:t>
      </w:r>
    </w:p>
    <w:tbl>
      <w:tblPr>
        <w:tblStyle w:val="25"/>
        <w:tblW w:w="432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639"/>
        <w:gridCol w:w="1392"/>
        <w:gridCol w:w="1083"/>
        <w:gridCol w:w="639"/>
        <w:gridCol w:w="567"/>
      </w:tblGrid>
      <w:tr w14:paraId="256483D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639" w:type="dxa"/>
            <w:tcBorders>
              <w:bottom w:val="single" w:color="000000" w:sz="8" w:space="0"/>
            </w:tcBorders>
            <w:tcMar>
              <w:top w:w="18" w:type="dxa"/>
              <w:left w:w="18" w:type="dxa"/>
              <w:bottom w:w="18" w:type="dxa"/>
              <w:right w:w="18" w:type="dxa"/>
            </w:tcMar>
            <w:vAlign w:val="center"/>
          </w:tcPr>
          <w:p w14:paraId="66C8C2AA">
            <w:pPr>
              <w:pStyle w:val="49"/>
              <w:keepNext w:val="0"/>
              <w:keepLines w:val="0"/>
              <w:spacing w:before="0" w:after="0" w:line="216" w:lineRule="auto"/>
              <w:ind w:left="0" w:right="0" w:firstLine="0"/>
              <w:jc w:val="center"/>
            </w:pPr>
            <w:r>
              <w:rPr>
                <w:rFonts w:ascii="Times New Roman" w:hAnsi="Times New Roman" w:eastAsia="宋体"/>
                <w:b/>
                <w:sz w:val="10"/>
              </w:rPr>
              <w:t>配置</w:t>
            </w:r>
          </w:p>
        </w:tc>
        <w:tc>
          <w:tcPr>
            <w:tcW w:w="1392" w:type="dxa"/>
            <w:tcBorders>
              <w:bottom w:val="single" w:color="000000" w:sz="8" w:space="0"/>
            </w:tcBorders>
            <w:tcMar>
              <w:top w:w="18" w:type="dxa"/>
              <w:left w:w="18" w:type="dxa"/>
              <w:bottom w:w="18" w:type="dxa"/>
              <w:right w:w="18" w:type="dxa"/>
            </w:tcMar>
            <w:vAlign w:val="center"/>
          </w:tcPr>
          <w:p w14:paraId="3EE0E01B">
            <w:pPr>
              <w:pStyle w:val="49"/>
              <w:keepNext w:val="0"/>
              <w:keepLines w:val="0"/>
              <w:spacing w:before="0" w:after="0" w:line="216" w:lineRule="auto"/>
              <w:ind w:left="0" w:right="0" w:firstLine="0"/>
              <w:jc w:val="center"/>
            </w:pPr>
            <w:r>
              <w:rPr>
                <w:rFonts w:ascii="Times New Roman" w:hAnsi="Times New Roman" w:eastAsia="宋体"/>
                <w:b/>
                <w:sz w:val="10"/>
              </w:rPr>
              <w:t>网络 / 核查员部署</w:t>
            </w:r>
          </w:p>
        </w:tc>
        <w:tc>
          <w:tcPr>
            <w:tcW w:w="1083" w:type="dxa"/>
            <w:tcBorders>
              <w:bottom w:val="single" w:color="000000" w:sz="8" w:space="0"/>
            </w:tcBorders>
            <w:tcMar>
              <w:top w:w="18" w:type="dxa"/>
              <w:left w:w="18" w:type="dxa"/>
              <w:bottom w:w="18" w:type="dxa"/>
              <w:right w:w="18" w:type="dxa"/>
            </w:tcMar>
            <w:vAlign w:val="center"/>
          </w:tcPr>
          <w:p w14:paraId="5402384F">
            <w:pPr>
              <w:pStyle w:val="49"/>
              <w:keepNext w:val="0"/>
              <w:keepLines w:val="0"/>
              <w:spacing w:before="0" w:after="0" w:line="216" w:lineRule="auto"/>
              <w:ind w:left="0" w:right="0" w:firstLine="0"/>
              <w:jc w:val="center"/>
            </w:pPr>
            <w:r>
              <w:rPr>
                <w:rFonts w:ascii="Times New Roman" w:hAnsi="Times New Roman" w:eastAsia="宋体"/>
                <w:b/>
                <w:sz w:val="10"/>
              </w:rPr>
              <w:t>渗透率均值 ± 95%CI</w:t>
            </w:r>
          </w:p>
        </w:tc>
        <w:tc>
          <w:tcPr>
            <w:tcW w:w="639" w:type="dxa"/>
            <w:tcBorders>
              <w:bottom w:val="single" w:color="000000" w:sz="8" w:space="0"/>
            </w:tcBorders>
            <w:tcMar>
              <w:top w:w="18" w:type="dxa"/>
              <w:left w:w="18" w:type="dxa"/>
              <w:bottom w:w="18" w:type="dxa"/>
              <w:right w:w="18" w:type="dxa"/>
            </w:tcMar>
            <w:vAlign w:val="center"/>
          </w:tcPr>
          <w:p w14:paraId="743719FE">
            <w:pPr>
              <w:pStyle w:val="49"/>
              <w:keepNext w:val="0"/>
              <w:keepLines w:val="0"/>
              <w:spacing w:before="0" w:after="0" w:line="216" w:lineRule="auto"/>
              <w:ind w:left="0" w:right="0" w:firstLine="0"/>
              <w:jc w:val="center"/>
            </w:pPr>
            <w:r>
              <w:rPr>
                <w:rFonts w:ascii="Times New Roman" w:hAnsi="Times New Roman" w:eastAsia="宋体"/>
                <w:b/>
                <w:sz w:val="10"/>
              </w:rPr>
              <w:t>5 次样本极差</w:t>
            </w:r>
          </w:p>
        </w:tc>
        <w:tc>
          <w:tcPr>
            <w:tcW w:w="567" w:type="dxa"/>
            <w:tcBorders>
              <w:bottom w:val="single" w:color="000000" w:sz="8" w:space="0"/>
            </w:tcBorders>
            <w:tcMar>
              <w:top w:w="18" w:type="dxa"/>
              <w:left w:w="18" w:type="dxa"/>
              <w:bottom w:w="18" w:type="dxa"/>
              <w:right w:w="18" w:type="dxa"/>
            </w:tcMar>
            <w:vAlign w:val="center"/>
          </w:tcPr>
          <w:p w14:paraId="00ED29AD">
            <w:pPr>
              <w:pStyle w:val="49"/>
              <w:keepNext w:val="0"/>
              <w:keepLines w:val="0"/>
              <w:spacing w:before="0" w:after="0" w:line="216" w:lineRule="auto"/>
              <w:ind w:left="0" w:right="0" w:firstLine="0"/>
              <w:jc w:val="center"/>
            </w:pPr>
            <w:r>
              <w:rPr>
                <w:rFonts w:ascii="Times New Roman" w:hAnsi="Times New Roman" w:eastAsia="宋体"/>
                <w:b/>
                <w:sz w:val="10"/>
              </w:rPr>
              <w:t>稳态步数</w:t>
            </w:r>
          </w:p>
        </w:tc>
      </w:tr>
      <w:tr w14:paraId="0BC5687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639" w:type="dxa"/>
            <w:tcMar>
              <w:top w:w="18" w:type="dxa"/>
              <w:left w:w="18" w:type="dxa"/>
              <w:bottom w:w="18" w:type="dxa"/>
              <w:right w:w="18" w:type="dxa"/>
            </w:tcMar>
            <w:vAlign w:val="center"/>
          </w:tcPr>
          <w:p w14:paraId="1C22156A">
            <w:pPr>
              <w:pStyle w:val="50"/>
              <w:keepNext w:val="0"/>
              <w:keepLines w:val="0"/>
              <w:spacing w:before="0" w:after="0" w:line="216" w:lineRule="auto"/>
              <w:ind w:left="0" w:right="0" w:firstLine="0"/>
              <w:jc w:val="center"/>
            </w:pPr>
            <w:r>
              <w:rPr>
                <w:rFonts w:ascii="Times New Roman" w:hAnsi="Times New Roman" w:eastAsia="宋体"/>
                <w:b w:val="0"/>
                <w:sz w:val="10"/>
              </w:rPr>
              <w:t>拓扑 A</w:t>
            </w:r>
          </w:p>
        </w:tc>
        <w:tc>
          <w:tcPr>
            <w:tcW w:w="1392" w:type="dxa"/>
            <w:tcMar>
              <w:top w:w="18" w:type="dxa"/>
              <w:left w:w="18" w:type="dxa"/>
              <w:bottom w:w="18" w:type="dxa"/>
              <w:right w:w="18" w:type="dxa"/>
            </w:tcMar>
            <w:vAlign w:val="center"/>
          </w:tcPr>
          <w:p w14:paraId="629C47BA">
            <w:pPr>
              <w:pStyle w:val="50"/>
              <w:keepNext w:val="0"/>
              <w:keepLines w:val="0"/>
              <w:spacing w:before="0" w:after="0" w:line="216" w:lineRule="auto"/>
              <w:ind w:left="0" w:right="0" w:firstLine="0"/>
              <w:jc w:val="center"/>
            </w:pPr>
            <w:r>
              <w:rPr>
                <w:rFonts w:ascii="Times New Roman" w:hAnsi="Times New Roman" w:eastAsia="宋体"/>
                <w:b w:val="0"/>
                <w:sz w:val="10"/>
              </w:rPr>
              <w:t>无标度 BA(m=2) / 随机</w:t>
            </w:r>
          </w:p>
        </w:tc>
        <w:tc>
          <w:tcPr>
            <w:tcW w:w="1083" w:type="dxa"/>
            <w:tcMar>
              <w:top w:w="18" w:type="dxa"/>
              <w:left w:w="18" w:type="dxa"/>
              <w:bottom w:w="18" w:type="dxa"/>
              <w:right w:w="18" w:type="dxa"/>
            </w:tcMar>
            <w:vAlign w:val="center"/>
          </w:tcPr>
          <w:p w14:paraId="2078A651">
            <w:pPr>
              <w:pStyle w:val="50"/>
              <w:keepNext w:val="0"/>
              <w:keepLines w:val="0"/>
              <w:spacing w:before="0" w:after="0" w:line="216" w:lineRule="auto"/>
              <w:ind w:left="0" w:right="0" w:firstLine="0"/>
              <w:jc w:val="center"/>
            </w:pPr>
            <w:r>
              <w:rPr>
                <w:rFonts w:ascii="Times New Roman" w:hAnsi="Times New Roman" w:eastAsia="宋体"/>
                <w:b w:val="0"/>
                <w:sz w:val="10"/>
              </w:rPr>
              <w:t>13.1% ± 2.2%</w:t>
            </w:r>
          </w:p>
        </w:tc>
        <w:tc>
          <w:tcPr>
            <w:tcW w:w="639" w:type="dxa"/>
            <w:tcMar>
              <w:top w:w="18" w:type="dxa"/>
              <w:left w:w="18" w:type="dxa"/>
              <w:bottom w:w="18" w:type="dxa"/>
              <w:right w:w="18" w:type="dxa"/>
            </w:tcMar>
            <w:vAlign w:val="center"/>
          </w:tcPr>
          <w:p w14:paraId="4F913742">
            <w:pPr>
              <w:pStyle w:val="50"/>
              <w:keepNext w:val="0"/>
              <w:keepLines w:val="0"/>
              <w:spacing w:before="0" w:after="0" w:line="216" w:lineRule="auto"/>
              <w:ind w:left="0" w:right="0" w:firstLine="0"/>
              <w:jc w:val="center"/>
            </w:pPr>
            <w:r>
              <w:rPr>
                <w:rFonts w:ascii="Times New Roman" w:hAnsi="Times New Roman" w:eastAsia="宋体"/>
                <w:b w:val="0"/>
                <w:sz w:val="10"/>
              </w:rPr>
              <w:t>6.3 pp</w:t>
            </w:r>
          </w:p>
        </w:tc>
        <w:tc>
          <w:tcPr>
            <w:tcW w:w="567" w:type="dxa"/>
            <w:tcMar>
              <w:top w:w="18" w:type="dxa"/>
              <w:left w:w="18" w:type="dxa"/>
              <w:bottom w:w="18" w:type="dxa"/>
              <w:right w:w="18" w:type="dxa"/>
            </w:tcMar>
            <w:vAlign w:val="center"/>
          </w:tcPr>
          <w:p w14:paraId="1101C3E8">
            <w:pPr>
              <w:pStyle w:val="50"/>
              <w:keepNext w:val="0"/>
              <w:keepLines w:val="0"/>
              <w:spacing w:before="0" w:after="0" w:line="216" w:lineRule="auto"/>
              <w:ind w:left="0" w:right="0" w:firstLine="0"/>
              <w:jc w:val="center"/>
            </w:pPr>
            <w:r>
              <w:rPr>
                <w:rFonts w:ascii="Times New Roman" w:hAnsi="Times New Roman" w:eastAsia="宋体"/>
                <w:b w:val="0"/>
                <w:sz w:val="10"/>
              </w:rPr>
              <w:t>9</w:t>
            </w:r>
          </w:p>
        </w:tc>
      </w:tr>
      <w:tr w14:paraId="0DACCE2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639" w:type="dxa"/>
            <w:tcMar>
              <w:top w:w="18" w:type="dxa"/>
              <w:left w:w="18" w:type="dxa"/>
              <w:bottom w:w="18" w:type="dxa"/>
              <w:right w:w="18" w:type="dxa"/>
            </w:tcMar>
            <w:vAlign w:val="center"/>
          </w:tcPr>
          <w:p w14:paraId="2F452DCA">
            <w:pPr>
              <w:pStyle w:val="50"/>
              <w:keepNext w:val="0"/>
              <w:keepLines w:val="0"/>
              <w:spacing w:before="0" w:after="0" w:line="216" w:lineRule="auto"/>
              <w:ind w:left="0" w:right="0" w:firstLine="0"/>
              <w:jc w:val="center"/>
            </w:pPr>
            <w:r>
              <w:rPr>
                <w:rFonts w:ascii="Times New Roman" w:hAnsi="Times New Roman" w:eastAsia="宋体"/>
                <w:b w:val="0"/>
                <w:sz w:val="10"/>
              </w:rPr>
              <w:t>拓扑 B</w:t>
            </w:r>
          </w:p>
        </w:tc>
        <w:tc>
          <w:tcPr>
            <w:tcW w:w="1392" w:type="dxa"/>
            <w:tcMar>
              <w:top w:w="18" w:type="dxa"/>
              <w:left w:w="18" w:type="dxa"/>
              <w:bottom w:w="18" w:type="dxa"/>
              <w:right w:w="18" w:type="dxa"/>
            </w:tcMar>
            <w:vAlign w:val="center"/>
          </w:tcPr>
          <w:p w14:paraId="0BFA7DB2">
            <w:pPr>
              <w:pStyle w:val="50"/>
              <w:keepNext w:val="0"/>
              <w:keepLines w:val="0"/>
              <w:spacing w:before="0" w:after="0" w:line="216" w:lineRule="auto"/>
              <w:ind w:left="0" w:right="0" w:firstLine="0"/>
              <w:jc w:val="center"/>
            </w:pPr>
            <w:r>
              <w:rPr>
                <w:rFonts w:ascii="Times New Roman" w:hAnsi="Times New Roman" w:eastAsia="宋体"/>
                <w:b w:val="0"/>
                <w:sz w:val="10"/>
              </w:rPr>
              <w:t>小世界 WS(k=4,p=0.1) / 随机</w:t>
            </w:r>
          </w:p>
        </w:tc>
        <w:tc>
          <w:tcPr>
            <w:tcW w:w="1083" w:type="dxa"/>
            <w:tcMar>
              <w:top w:w="18" w:type="dxa"/>
              <w:left w:w="18" w:type="dxa"/>
              <w:bottom w:w="18" w:type="dxa"/>
              <w:right w:w="18" w:type="dxa"/>
            </w:tcMar>
            <w:vAlign w:val="center"/>
          </w:tcPr>
          <w:p w14:paraId="23B4CAF1">
            <w:pPr>
              <w:pStyle w:val="50"/>
              <w:keepNext w:val="0"/>
              <w:keepLines w:val="0"/>
              <w:spacing w:before="0" w:after="0" w:line="216" w:lineRule="auto"/>
              <w:ind w:left="0" w:right="0" w:firstLine="0"/>
              <w:jc w:val="center"/>
            </w:pPr>
            <w:r>
              <w:rPr>
                <w:rFonts w:ascii="Times New Roman" w:hAnsi="Times New Roman" w:eastAsia="宋体"/>
                <w:b w:val="0"/>
                <w:sz w:val="10"/>
              </w:rPr>
              <w:t>17.3% ± 0.5%（T_max=30 截断）</w:t>
            </w:r>
          </w:p>
        </w:tc>
        <w:tc>
          <w:tcPr>
            <w:tcW w:w="639" w:type="dxa"/>
            <w:tcMar>
              <w:top w:w="18" w:type="dxa"/>
              <w:left w:w="18" w:type="dxa"/>
              <w:bottom w:w="18" w:type="dxa"/>
              <w:right w:w="18" w:type="dxa"/>
            </w:tcMar>
            <w:vAlign w:val="center"/>
          </w:tcPr>
          <w:p w14:paraId="69DA38A5">
            <w:pPr>
              <w:pStyle w:val="50"/>
              <w:keepNext w:val="0"/>
              <w:keepLines w:val="0"/>
              <w:spacing w:before="0" w:after="0" w:line="216" w:lineRule="auto"/>
              <w:ind w:left="0" w:right="0" w:firstLine="0"/>
              <w:jc w:val="center"/>
            </w:pPr>
            <w:r>
              <w:rPr>
                <w:rFonts w:ascii="Times New Roman" w:hAnsi="Times New Roman" w:eastAsia="宋体"/>
                <w:b w:val="0"/>
                <w:sz w:val="10"/>
              </w:rPr>
              <w:t>1.3 pp</w:t>
            </w:r>
          </w:p>
        </w:tc>
        <w:tc>
          <w:tcPr>
            <w:tcW w:w="567" w:type="dxa"/>
            <w:tcMar>
              <w:top w:w="18" w:type="dxa"/>
              <w:left w:w="18" w:type="dxa"/>
              <w:bottom w:w="18" w:type="dxa"/>
              <w:right w:w="18" w:type="dxa"/>
            </w:tcMar>
            <w:vAlign w:val="center"/>
          </w:tcPr>
          <w:p w14:paraId="73BBFB83">
            <w:pPr>
              <w:pStyle w:val="50"/>
              <w:keepNext w:val="0"/>
              <w:keepLines w:val="0"/>
              <w:spacing w:before="0" w:after="0" w:line="216" w:lineRule="auto"/>
              <w:ind w:left="0" w:right="0" w:firstLine="0"/>
              <w:jc w:val="center"/>
            </w:pPr>
            <w:r>
              <w:rPr>
                <w:rFonts w:ascii="Times New Roman" w:hAnsi="Times New Roman" w:eastAsia="宋体"/>
                <w:b w:val="0"/>
                <w:sz w:val="10"/>
              </w:rPr>
              <w:t>30</w:t>
            </w:r>
          </w:p>
        </w:tc>
      </w:tr>
      <w:tr w14:paraId="54F916B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639" w:type="dxa"/>
            <w:tcMar>
              <w:top w:w="18" w:type="dxa"/>
              <w:left w:w="18" w:type="dxa"/>
              <w:bottom w:w="18" w:type="dxa"/>
              <w:right w:w="18" w:type="dxa"/>
            </w:tcMar>
            <w:vAlign w:val="center"/>
          </w:tcPr>
          <w:p w14:paraId="396E31F2">
            <w:pPr>
              <w:pStyle w:val="50"/>
              <w:keepNext w:val="0"/>
              <w:keepLines w:val="0"/>
              <w:spacing w:before="0" w:after="0" w:line="216" w:lineRule="auto"/>
              <w:ind w:left="0" w:right="0" w:firstLine="0"/>
              <w:jc w:val="center"/>
            </w:pPr>
            <w:r>
              <w:rPr>
                <w:rFonts w:ascii="Times New Roman" w:hAnsi="Times New Roman" w:eastAsia="宋体"/>
                <w:b w:val="0"/>
                <w:sz w:val="10"/>
              </w:rPr>
              <w:t>干预-边缘</w:t>
            </w:r>
          </w:p>
        </w:tc>
        <w:tc>
          <w:tcPr>
            <w:tcW w:w="1392" w:type="dxa"/>
            <w:tcMar>
              <w:top w:w="18" w:type="dxa"/>
              <w:left w:w="18" w:type="dxa"/>
              <w:bottom w:w="18" w:type="dxa"/>
              <w:right w:w="18" w:type="dxa"/>
            </w:tcMar>
            <w:vAlign w:val="center"/>
          </w:tcPr>
          <w:p w14:paraId="537EE116">
            <w:pPr>
              <w:pStyle w:val="50"/>
              <w:keepNext w:val="0"/>
              <w:keepLines w:val="0"/>
              <w:spacing w:before="0" w:after="0" w:line="216" w:lineRule="auto"/>
              <w:ind w:left="0" w:right="0" w:firstLine="0"/>
              <w:jc w:val="center"/>
              <w:rPr>
                <w:lang w:eastAsia="zh-CN"/>
              </w:rPr>
            </w:pPr>
            <w:r>
              <w:rPr>
                <w:rFonts w:ascii="Times New Roman" w:hAnsi="Times New Roman" w:eastAsia="宋体"/>
                <w:b w:val="0"/>
                <w:sz w:val="10"/>
                <w:lang w:eastAsia="zh-CN"/>
              </w:rPr>
              <w:t>无标度 BA / 低度数节点</w:t>
            </w:r>
          </w:p>
        </w:tc>
        <w:tc>
          <w:tcPr>
            <w:tcW w:w="1083" w:type="dxa"/>
            <w:tcMar>
              <w:top w:w="18" w:type="dxa"/>
              <w:left w:w="18" w:type="dxa"/>
              <w:bottom w:w="18" w:type="dxa"/>
              <w:right w:w="18" w:type="dxa"/>
            </w:tcMar>
            <w:vAlign w:val="center"/>
          </w:tcPr>
          <w:p w14:paraId="458DF078">
            <w:pPr>
              <w:pStyle w:val="50"/>
              <w:keepNext w:val="0"/>
              <w:keepLines w:val="0"/>
              <w:spacing w:before="0" w:after="0" w:line="216" w:lineRule="auto"/>
              <w:ind w:left="0" w:right="0" w:firstLine="0"/>
              <w:jc w:val="center"/>
            </w:pPr>
            <w:r>
              <w:rPr>
                <w:rFonts w:ascii="Times New Roman" w:hAnsi="Times New Roman" w:eastAsia="宋体"/>
                <w:b w:val="0"/>
                <w:sz w:val="10"/>
              </w:rPr>
              <w:t>25.1% ± 4.7%</w:t>
            </w:r>
          </w:p>
        </w:tc>
        <w:tc>
          <w:tcPr>
            <w:tcW w:w="639" w:type="dxa"/>
            <w:tcMar>
              <w:top w:w="18" w:type="dxa"/>
              <w:left w:w="18" w:type="dxa"/>
              <w:bottom w:w="18" w:type="dxa"/>
              <w:right w:w="18" w:type="dxa"/>
            </w:tcMar>
            <w:vAlign w:val="center"/>
          </w:tcPr>
          <w:p w14:paraId="714EFF83">
            <w:pPr>
              <w:pStyle w:val="50"/>
              <w:keepNext w:val="0"/>
              <w:keepLines w:val="0"/>
              <w:spacing w:before="0" w:after="0" w:line="216" w:lineRule="auto"/>
              <w:ind w:left="0" w:right="0" w:firstLine="0"/>
              <w:jc w:val="center"/>
            </w:pPr>
            <w:r>
              <w:rPr>
                <w:rFonts w:ascii="Times New Roman" w:hAnsi="Times New Roman" w:eastAsia="宋体"/>
                <w:b w:val="0"/>
                <w:sz w:val="10"/>
              </w:rPr>
              <w:t>14.3 pp</w:t>
            </w:r>
          </w:p>
        </w:tc>
        <w:tc>
          <w:tcPr>
            <w:tcW w:w="567" w:type="dxa"/>
            <w:tcMar>
              <w:top w:w="18" w:type="dxa"/>
              <w:left w:w="18" w:type="dxa"/>
              <w:bottom w:w="18" w:type="dxa"/>
              <w:right w:w="18" w:type="dxa"/>
            </w:tcMar>
            <w:vAlign w:val="center"/>
          </w:tcPr>
          <w:p w14:paraId="7EAD2F36">
            <w:pPr>
              <w:pStyle w:val="50"/>
              <w:keepNext w:val="0"/>
              <w:keepLines w:val="0"/>
              <w:spacing w:before="0" w:after="0" w:line="216" w:lineRule="auto"/>
              <w:ind w:left="0" w:right="0" w:firstLine="0"/>
              <w:jc w:val="center"/>
            </w:pPr>
            <w:r>
              <w:rPr>
                <w:rFonts w:ascii="Times New Roman" w:hAnsi="Times New Roman" w:eastAsia="宋体"/>
                <w:b w:val="0"/>
                <w:sz w:val="10"/>
              </w:rPr>
              <w:t>10–11</w:t>
            </w:r>
          </w:p>
        </w:tc>
      </w:tr>
      <w:tr w14:paraId="775290A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639" w:type="dxa"/>
            <w:tcMar>
              <w:top w:w="18" w:type="dxa"/>
              <w:left w:w="18" w:type="dxa"/>
              <w:bottom w:w="18" w:type="dxa"/>
              <w:right w:w="18" w:type="dxa"/>
            </w:tcMar>
            <w:vAlign w:val="center"/>
          </w:tcPr>
          <w:p w14:paraId="72EA2EB1">
            <w:pPr>
              <w:pStyle w:val="50"/>
              <w:keepNext w:val="0"/>
              <w:keepLines w:val="0"/>
              <w:spacing w:before="0" w:after="0" w:line="216" w:lineRule="auto"/>
              <w:ind w:left="0" w:right="0" w:firstLine="0"/>
              <w:jc w:val="center"/>
            </w:pPr>
            <w:r>
              <w:rPr>
                <w:rFonts w:ascii="Times New Roman" w:hAnsi="Times New Roman" w:eastAsia="宋体"/>
                <w:b w:val="0"/>
                <w:sz w:val="10"/>
              </w:rPr>
              <w:t>干预-中心</w:t>
            </w:r>
          </w:p>
        </w:tc>
        <w:tc>
          <w:tcPr>
            <w:tcW w:w="1392" w:type="dxa"/>
            <w:tcMar>
              <w:top w:w="18" w:type="dxa"/>
              <w:left w:w="18" w:type="dxa"/>
              <w:bottom w:w="18" w:type="dxa"/>
              <w:right w:w="18" w:type="dxa"/>
            </w:tcMar>
            <w:vAlign w:val="center"/>
          </w:tcPr>
          <w:p w14:paraId="1D0E3AEF">
            <w:pPr>
              <w:pStyle w:val="50"/>
              <w:keepNext w:val="0"/>
              <w:keepLines w:val="0"/>
              <w:spacing w:before="0" w:after="0" w:line="216" w:lineRule="auto"/>
              <w:ind w:left="0" w:right="0" w:firstLine="0"/>
              <w:jc w:val="center"/>
            </w:pPr>
            <w:r>
              <w:rPr>
                <w:rFonts w:ascii="Times New Roman" w:hAnsi="Times New Roman" w:eastAsia="宋体"/>
                <w:b w:val="0"/>
                <w:sz w:val="10"/>
              </w:rPr>
              <w:t>无标度 BA / Top-30 Hub</w:t>
            </w:r>
          </w:p>
        </w:tc>
        <w:tc>
          <w:tcPr>
            <w:tcW w:w="1083" w:type="dxa"/>
            <w:tcMar>
              <w:top w:w="18" w:type="dxa"/>
              <w:left w:w="18" w:type="dxa"/>
              <w:bottom w:w="18" w:type="dxa"/>
              <w:right w:w="18" w:type="dxa"/>
            </w:tcMar>
            <w:vAlign w:val="center"/>
          </w:tcPr>
          <w:p w14:paraId="45F79567">
            <w:pPr>
              <w:pStyle w:val="50"/>
              <w:keepNext w:val="0"/>
              <w:keepLines w:val="0"/>
              <w:spacing w:before="0" w:after="0" w:line="216" w:lineRule="auto"/>
              <w:ind w:left="0" w:right="0" w:firstLine="0"/>
              <w:jc w:val="center"/>
            </w:pPr>
            <w:r>
              <w:rPr>
                <w:rFonts w:ascii="Times New Roman" w:hAnsi="Times New Roman" w:eastAsia="宋体"/>
                <w:b w:val="0"/>
                <w:bCs/>
                <w:sz w:val="10"/>
              </w:rPr>
              <w:t>0.0% ± 0.0%</w:t>
            </w:r>
          </w:p>
        </w:tc>
        <w:tc>
          <w:tcPr>
            <w:tcW w:w="639" w:type="dxa"/>
            <w:tcMar>
              <w:top w:w="18" w:type="dxa"/>
              <w:left w:w="18" w:type="dxa"/>
              <w:bottom w:w="18" w:type="dxa"/>
              <w:right w:w="18" w:type="dxa"/>
            </w:tcMar>
            <w:vAlign w:val="center"/>
          </w:tcPr>
          <w:p w14:paraId="462B5B32">
            <w:pPr>
              <w:pStyle w:val="50"/>
              <w:keepNext w:val="0"/>
              <w:keepLines w:val="0"/>
              <w:spacing w:before="0" w:after="0" w:line="216" w:lineRule="auto"/>
              <w:ind w:left="0" w:right="0" w:firstLine="0"/>
              <w:jc w:val="center"/>
            </w:pPr>
            <w:r>
              <w:rPr>
                <w:rFonts w:ascii="Times New Roman" w:hAnsi="Times New Roman" w:eastAsia="宋体"/>
                <w:b w:val="0"/>
                <w:sz w:val="10"/>
              </w:rPr>
              <w:t>0.0 pp</w:t>
            </w:r>
          </w:p>
        </w:tc>
        <w:tc>
          <w:tcPr>
            <w:tcW w:w="567" w:type="dxa"/>
            <w:tcMar>
              <w:top w:w="18" w:type="dxa"/>
              <w:left w:w="18" w:type="dxa"/>
              <w:bottom w:w="18" w:type="dxa"/>
              <w:right w:w="18" w:type="dxa"/>
            </w:tcMar>
            <w:vAlign w:val="center"/>
          </w:tcPr>
          <w:p w14:paraId="085671A6">
            <w:pPr>
              <w:pStyle w:val="50"/>
              <w:keepNext w:val="0"/>
              <w:keepLines w:val="0"/>
              <w:spacing w:before="0" w:after="0" w:line="216" w:lineRule="auto"/>
              <w:ind w:left="0" w:right="0" w:firstLine="0"/>
              <w:jc w:val="center"/>
            </w:pPr>
            <w:r>
              <w:rPr>
                <w:rFonts w:ascii="Times New Roman" w:hAnsi="Times New Roman" w:eastAsia="宋体"/>
                <w:b w:val="0"/>
                <w:sz w:val="10"/>
              </w:rPr>
              <w:t>7</w:t>
            </w:r>
          </w:p>
        </w:tc>
      </w:tr>
    </w:tbl>
    <w:p w14:paraId="1AFB7D95">
      <w:pPr>
        <w:pStyle w:val="48"/>
        <w:widowControl/>
        <w:spacing w:before="0" w:after="0" w:line="269" w:lineRule="auto"/>
        <w:ind w:left="0" w:right="0" w:firstLine="420"/>
        <w:jc w:val="both"/>
        <w:rPr>
          <w:lang w:eastAsia="zh-CN"/>
        </w:rPr>
      </w:pPr>
      <w:r>
        <w:rPr>
          <w:rFonts w:ascii="Times New Roman" w:hAnsi="Times New Roman" w:eastAsia="宋体"/>
          <w:b/>
          <w:bCs/>
          <w:sz w:val="21"/>
          <w:lang w:eastAsia="zh-CN"/>
        </w:rPr>
        <w:t>（1）拓扑效应：</w:t>
      </w:r>
      <w:r>
        <w:rPr>
          <w:rFonts w:hint="eastAsia" w:ascii="Times New Roman" w:hAnsi="Times New Roman" w:eastAsia="宋体"/>
          <w:sz w:val="21"/>
          <w:lang w:eastAsia="zh-CN"/>
        </w:rPr>
        <w:t>现有证据不足以支持稳定的渗透率排序。 在每种条件独立运行 K=5 次的情况下，无标度网络与小世界网络的平均渗透率分别为 13.1%±2.2% 和 17.3%±0.5%。两组结果的置信区间较为接近，且渗透率关系与早期单次实验观察并不一致；其中，无标度网络的运行间极差达到6.3个百分点，表明该条件下存在较为明显的运行间波动。</w:t>
      </w:r>
      <w:r>
        <w:rPr>
          <w:rFonts w:hint="eastAsia" w:ascii="Times New Roman" w:hAnsi="Times New Roman" w:eastAsia="宋体"/>
          <w:sz w:val="21"/>
          <w:lang w:val="en-US" w:eastAsia="zh-CN"/>
        </w:rPr>
        <w:t>考虑到</w:t>
      </w:r>
      <w:r>
        <w:rPr>
          <w:rFonts w:hint="eastAsia" w:ascii="Times New Roman" w:hAnsi="Times New Roman" w:eastAsia="宋体"/>
          <w:sz w:val="21"/>
          <w:lang w:eastAsia="zh-CN"/>
        </w:rPr>
        <w:t>云端LLM的运行间不确定性可能掩盖或放大中等强度的拓扑差异，基于单次运行进行拓扑排序容易产生不稳健结论。现阶段可以支持的审慎结论是：两类网络均能够形成语义级信息传播，其平均渗透率总体处于同一数量级，约为10%～20%；若要识别更细粒度的拓扑差异，仍需扩大独立重复次数并开展相应的统计显著性与效应量分析。</w:t>
      </w:r>
    </w:p>
    <w:p w14:paraId="467D837D">
      <w:pPr>
        <w:pStyle w:val="48"/>
        <w:widowControl/>
        <w:spacing w:before="0" w:after="0" w:line="269" w:lineRule="auto"/>
        <w:ind w:left="0" w:right="0" w:firstLine="420"/>
        <w:jc w:val="both"/>
        <w:rPr>
          <w:lang w:eastAsia="zh-CN"/>
        </w:rPr>
      </w:pPr>
      <w:r>
        <w:rPr>
          <w:rFonts w:ascii="Times New Roman" w:hAnsi="Times New Roman" w:eastAsia="宋体"/>
          <w:sz w:val="21"/>
        </w:rPr>
        <w:t>（2）空间干预：在当前合成场景下，只有中心（Hub）部署呈现稳定抑制。三种部署中，中心部署的 5 次运行均得到 0.0% 渗透率，说明该效应相对于本组观测到的运行间波动较强。相比之下，边缘部署（25.1% ± 4.7%）与随机基准（13.1% ± 2.2%）的区间较宽，当前 K=5 的证据不足以支持二者的方向性排序。因此，本文将应用结论限定为：在给定合成网络、固定人设与传播文本下，中心部署表现出稳定的强抑制；其向其他网络、文本和人群设定的推广仍需独立检验。表 5 的真实网络结果仅提供探索性迁移观察。</w:t>
      </w:r>
    </w:p>
    <w:p w14:paraId="582A23C8">
      <w:pPr>
        <w:pStyle w:val="46"/>
        <w:keepNext/>
        <w:pageBreakBefore w:val="0"/>
        <w:spacing w:before="100" w:after="40"/>
        <w:ind w:firstLine="0"/>
        <w:jc w:val="left"/>
        <w:rPr>
          <w:lang w:eastAsia="zh-CN"/>
        </w:rPr>
      </w:pPr>
      <w:r>
        <w:rPr>
          <w:rFonts w:ascii="Times New Roman" w:hAnsi="Times New Roman" w:eastAsia="黑体"/>
          <w:b/>
          <w:sz w:val="21"/>
        </w:rPr>
        <w:t>4.7 实验五：真实社交网络上的干预效能与外部效度</w:t>
      </w:r>
    </w:p>
    <w:p w14:paraId="63AB9389">
      <w:pPr>
        <w:pStyle w:val="48"/>
        <w:widowControl/>
        <w:spacing w:before="0" w:after="0" w:line="269" w:lineRule="auto"/>
        <w:ind w:left="0" w:right="0" w:firstLine="420"/>
        <w:jc w:val="both"/>
        <w:rPr>
          <w:lang w:eastAsia="zh-CN"/>
        </w:rPr>
      </w:pPr>
      <w:r>
        <w:rPr>
          <w:rFonts w:ascii="Times New Roman" w:hAnsi="Times New Roman" w:eastAsia="宋体"/>
          <w:sz w:val="21"/>
          <w:lang w:eastAsia="zh-CN"/>
        </w:rPr>
        <w:t xml:space="preserve">4.6 节在合成拓扑上给出了干预机制的归因。为检验结论是否依赖合成结构，实验五将同一干预协议迁移到真实社交网络：取 SNAP Facebook ego-network，重标为 </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334</m:t>
        </m:r>
      </m:oMath>
      <w:r>
        <w:rPr>
          <w:rFonts w:ascii="Times New Roman" w:hAnsi="Times New Roman" w:eastAsia="宋体"/>
          <w:sz w:val="21"/>
          <w:lang w:eastAsia="zh-CN"/>
        </w:rPr>
        <w:t xml:space="preserve"> 个连续节点、双向边 5,704 条，平均度约 17；沿用 60%/30%/10% 的人设比例与同一普通源节点，仅改变 10% 核查员的空间部署（随机 / 边缘低度数 / 中心 Hub），以真实 deepseek-chat（</w:t>
      </w:r>
      <m:oMath>
        <m:r>
          <m:rPr/>
          <w:rPr>
            <w:rFonts w:ascii="Cambria Math" w:hAnsi="Cambria Math"/>
            <w:lang w:eastAsia="zh-CN"/>
          </w:rPr>
          <m:t>Temperature</m:t>
        </m:r>
        <m:r>
          <m:rPr>
            <m:sty m:val="p"/>
          </m:rPr>
          <w:rPr>
            <w:rFonts w:ascii="Cambria Math" w:hAnsi="Cambria Math"/>
            <w:lang w:eastAsia="zh-CN"/>
          </w:rPr>
          <m:t>=</m:t>
        </m:r>
        <m:r>
          <m:rPr/>
          <w:rPr>
            <w:rFonts w:ascii="Cambria Math" w:hAnsi="Cambria Math"/>
            <w:lang w:eastAsia="zh-CN"/>
          </w:rPr>
          <m:t>0</m:t>
        </m:r>
      </m:oMath>
      <w:r>
        <w:rPr>
          <w:rFonts w:ascii="Times New Roman" w:hAnsi="Times New Roman" w:eastAsia="宋体"/>
          <w:sz w:val="21"/>
          <w:lang w:eastAsia="zh-CN"/>
        </w:rPr>
        <w:t>）运行。</w:t>
      </w:r>
    </w:p>
    <w:p w14:paraId="4847CD7B">
      <w:pPr>
        <w:pStyle w:val="51"/>
        <w:keepNext/>
        <w:spacing w:before="60" w:after="20" w:line="240" w:lineRule="auto"/>
        <w:ind w:left="0" w:right="0" w:firstLine="0"/>
        <w:jc w:val="center"/>
      </w:pPr>
      <w:r>
        <w:drawing>
          <wp:inline distT="0" distB="0" distL="114300" distR="114300">
            <wp:extent cx="2743200" cy="1958975"/>
            <wp:effectExtent l="0" t="0" r="0" b="0"/>
            <wp:docPr id="6" name="Figure 6" descr="图 5　真实 Facebook 网络（N=334）三种部署的最终渗透率对比（单次运行）。注：随机部署 0.0%、边缘部署 9.9%、中心部署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descr="图 5　真实 Facebook 网络（N=334）三种部署的最终渗透率对比（单次运行）。注：随机部署 0.0%、边缘部署 9.9%、中心部署 0.0%。"/>
                    <pic:cNvPicPr>
                      <a:picLocks noChangeAspect="1" noChangeArrowheads="1"/>
                    </pic:cNvPicPr>
                  </pic:nvPicPr>
                  <pic:blipFill>
                    <a:blip r:embed="rId16"/>
                    <a:stretch>
                      <a:fillRect/>
                    </a:stretch>
                  </pic:blipFill>
                  <pic:spPr>
                    <a:xfrm>
                      <a:off x="0" y="0"/>
                      <a:ext cx="2743200" cy="1959272"/>
                    </a:xfrm>
                    <a:prstGeom prst="rect">
                      <a:avLst/>
                    </a:prstGeom>
                    <a:noFill/>
                    <a:ln w="9525">
                      <a:noFill/>
                    </a:ln>
                  </pic:spPr>
                </pic:pic>
              </a:graphicData>
            </a:graphic>
          </wp:inline>
        </w:drawing>
      </w:r>
    </w:p>
    <w:p w14:paraId="27A6674B">
      <w:pPr>
        <w:pStyle w:val="51"/>
        <w:keepNext/>
        <w:spacing w:before="40" w:after="0"/>
        <w:jc w:val="center"/>
      </w:pPr>
      <w:r>
        <w:rPr>
          <w:rFonts w:ascii="Times New Roman" w:hAnsi="Times New Roman" w:eastAsia="宋体"/>
          <w:sz w:val="17"/>
        </w:rPr>
        <w:t>图6 真实Facebook网络三种部署的最终渗透率对比（单次运行）。注：随机部署0.0%、边缘部署9.9%、中心部署0.0%</w:t>
      </w:r>
    </w:p>
    <w:p w14:paraId="7D132B2F">
      <w:pPr>
        <w:pStyle w:val="51"/>
        <w:keepNext w:val="0"/>
        <w:spacing w:before="0" w:after="60"/>
        <w:jc w:val="center"/>
      </w:pPr>
      <w:r>
        <w:rPr>
          <w:rFonts w:ascii="Times New Roman" w:hAnsi="Times New Roman" w:eastAsia="宋体"/>
          <w:sz w:val="16"/>
        </w:rPr>
        <w:t>Fig. 6 Final penetration rates under three deployments on the Facebook network (single run)</w:t>
      </w:r>
    </w:p>
    <w:p w14:paraId="45EFD16E">
      <w:pPr>
        <w:pStyle w:val="51"/>
        <w:keepNext/>
        <w:spacing w:before="40" w:after="0"/>
        <w:jc w:val="center"/>
      </w:pPr>
      <w:r>
        <w:rPr>
          <w:rFonts w:ascii="Times New Roman" w:hAnsi="Times New Roman" w:eastAsia="宋体"/>
          <w:sz w:val="17"/>
        </w:rPr>
        <w:t>表5 合成BA网络与真实Facebook网络上的干预效能对照（真实deepseek-chat）</w:t>
      </w:r>
    </w:p>
    <w:p w14:paraId="7CBB20E6">
      <w:pPr>
        <w:pStyle w:val="51"/>
        <w:keepNext/>
        <w:spacing w:before="0" w:after="60"/>
        <w:jc w:val="center"/>
      </w:pPr>
      <w:r>
        <w:rPr>
          <w:rFonts w:ascii="Times New Roman" w:hAnsi="Times New Roman" w:eastAsia="宋体"/>
          <w:sz w:val="16"/>
        </w:rPr>
        <w:t>Table 5 Intervention effectiveness on synthetic BA and real Facebook networks</w:t>
      </w:r>
    </w:p>
    <w:tbl>
      <w:tblPr>
        <w:tblStyle w:val="25"/>
        <w:tblW w:w="432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111"/>
        <w:gridCol w:w="679"/>
        <w:gridCol w:w="2530"/>
      </w:tblGrid>
      <w:tr w14:paraId="5725298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jc w:val="center"/>
        </w:trPr>
        <w:tc>
          <w:tcPr>
            <w:tcW w:w="1111" w:type="dxa"/>
            <w:tcBorders>
              <w:bottom w:val="single" w:color="000000" w:sz="8" w:space="0"/>
            </w:tcBorders>
            <w:tcMar>
              <w:top w:w="18" w:type="dxa"/>
              <w:left w:w="18" w:type="dxa"/>
              <w:bottom w:w="18" w:type="dxa"/>
              <w:right w:w="18" w:type="dxa"/>
            </w:tcMar>
            <w:vAlign w:val="center"/>
          </w:tcPr>
          <w:p w14:paraId="534263D3">
            <w:pPr>
              <w:pStyle w:val="49"/>
              <w:keepNext w:val="0"/>
              <w:keepLines w:val="0"/>
              <w:spacing w:before="0" w:after="0" w:line="216" w:lineRule="auto"/>
              <w:ind w:left="0" w:right="0" w:firstLine="0"/>
              <w:jc w:val="center"/>
            </w:pPr>
            <w:r>
              <w:rPr>
                <w:rFonts w:ascii="Times New Roman" w:hAnsi="Times New Roman" w:eastAsia="宋体"/>
                <w:b/>
                <w:sz w:val="12"/>
              </w:rPr>
              <w:t>部署策略</w:t>
            </w:r>
          </w:p>
        </w:tc>
        <w:tc>
          <w:tcPr>
            <w:tcW w:w="679" w:type="dxa"/>
            <w:tcBorders>
              <w:bottom w:val="single" w:color="000000" w:sz="8" w:space="0"/>
            </w:tcBorders>
            <w:tcMar>
              <w:top w:w="18" w:type="dxa"/>
              <w:left w:w="18" w:type="dxa"/>
              <w:bottom w:w="18" w:type="dxa"/>
              <w:right w:w="18" w:type="dxa"/>
            </w:tcMar>
            <w:vAlign w:val="center"/>
          </w:tcPr>
          <w:p w14:paraId="34FC890B">
            <w:pPr>
              <w:pStyle w:val="49"/>
              <w:keepNext w:val="0"/>
              <w:keepLines w:val="0"/>
              <w:spacing w:before="0" w:after="0" w:line="216" w:lineRule="auto"/>
              <w:ind w:left="0" w:right="0" w:firstLine="0"/>
              <w:jc w:val="center"/>
            </w:pPr>
            <w:r>
              <w:rPr>
                <w:rFonts w:ascii="Times New Roman" w:hAnsi="Times New Roman" w:eastAsia="宋体"/>
                <w:b/>
                <w:sz w:val="12"/>
              </w:rPr>
              <w:t>合成 BA（N=300）</w:t>
            </w:r>
          </w:p>
        </w:tc>
        <w:tc>
          <w:tcPr>
            <w:tcW w:w="2530" w:type="dxa"/>
            <w:tcBorders>
              <w:bottom w:val="single" w:color="000000" w:sz="8" w:space="0"/>
            </w:tcBorders>
            <w:tcMar>
              <w:top w:w="18" w:type="dxa"/>
              <w:left w:w="18" w:type="dxa"/>
              <w:bottom w:w="18" w:type="dxa"/>
              <w:right w:w="18" w:type="dxa"/>
            </w:tcMar>
            <w:vAlign w:val="center"/>
          </w:tcPr>
          <w:p w14:paraId="57223A58">
            <w:pPr>
              <w:pStyle w:val="49"/>
              <w:keepNext w:val="0"/>
              <w:keepLines w:val="0"/>
              <w:spacing w:before="0" w:after="0" w:line="216" w:lineRule="auto"/>
              <w:ind w:left="0" w:right="0" w:firstLine="0"/>
              <w:jc w:val="center"/>
            </w:pPr>
            <w:r>
              <w:rPr>
                <w:rFonts w:ascii="Times New Roman" w:hAnsi="Times New Roman" w:eastAsia="宋体"/>
                <w:b/>
                <w:sz w:val="12"/>
              </w:rPr>
              <w:t>真实 Facebook（N=334）</w:t>
            </w:r>
          </w:p>
        </w:tc>
      </w:tr>
      <w:tr w14:paraId="3A2A403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111" w:type="dxa"/>
            <w:tcMar>
              <w:top w:w="18" w:type="dxa"/>
              <w:left w:w="18" w:type="dxa"/>
              <w:bottom w:w="18" w:type="dxa"/>
              <w:right w:w="18" w:type="dxa"/>
            </w:tcMar>
            <w:vAlign w:val="center"/>
          </w:tcPr>
          <w:p w14:paraId="47B6AE34">
            <w:pPr>
              <w:pStyle w:val="50"/>
              <w:keepNext w:val="0"/>
              <w:keepLines w:val="0"/>
              <w:spacing w:before="0" w:after="0" w:line="216" w:lineRule="auto"/>
              <w:ind w:left="0" w:right="0" w:firstLine="0"/>
              <w:jc w:val="center"/>
            </w:pPr>
            <w:r>
              <w:rPr>
                <w:rFonts w:ascii="Times New Roman" w:hAnsi="Times New Roman" w:eastAsia="宋体"/>
                <w:b w:val="0"/>
                <w:sz w:val="12"/>
              </w:rPr>
              <w:t>随机部署</w:t>
            </w:r>
          </w:p>
        </w:tc>
        <w:tc>
          <w:tcPr>
            <w:tcW w:w="679" w:type="dxa"/>
            <w:tcMar>
              <w:top w:w="18" w:type="dxa"/>
              <w:left w:w="18" w:type="dxa"/>
              <w:bottom w:w="18" w:type="dxa"/>
              <w:right w:w="18" w:type="dxa"/>
            </w:tcMar>
            <w:vAlign w:val="center"/>
          </w:tcPr>
          <w:p w14:paraId="4645E764">
            <w:pPr>
              <w:pStyle w:val="50"/>
              <w:keepNext w:val="0"/>
              <w:keepLines w:val="0"/>
              <w:spacing w:before="0" w:after="0" w:line="216" w:lineRule="auto"/>
              <w:ind w:left="0" w:right="0" w:firstLine="0"/>
              <w:jc w:val="center"/>
            </w:pPr>
            <w:r>
              <w:rPr>
                <w:rFonts w:ascii="Times New Roman" w:hAnsi="Times New Roman" w:eastAsia="宋体"/>
                <w:b w:val="0"/>
                <w:sz w:val="12"/>
              </w:rPr>
              <w:t>31.7%</w:t>
            </w:r>
          </w:p>
        </w:tc>
        <w:tc>
          <w:tcPr>
            <w:tcW w:w="2530" w:type="dxa"/>
            <w:tcMar>
              <w:top w:w="18" w:type="dxa"/>
              <w:left w:w="18" w:type="dxa"/>
              <w:bottom w:w="18" w:type="dxa"/>
              <w:right w:w="18" w:type="dxa"/>
            </w:tcMar>
            <w:vAlign w:val="center"/>
          </w:tcPr>
          <w:p w14:paraId="02CAD3C1">
            <w:pPr>
              <w:pStyle w:val="50"/>
              <w:keepNext w:val="0"/>
              <w:keepLines w:val="0"/>
              <w:spacing w:before="0" w:after="0" w:line="216" w:lineRule="auto"/>
              <w:ind w:left="0" w:right="0" w:firstLine="0"/>
              <w:jc w:val="center"/>
            </w:pPr>
            <w:r>
              <w:rPr>
                <w:rFonts w:ascii="Times New Roman" w:hAnsi="Times New Roman" w:eastAsia="宋体"/>
                <w:b w:val="0"/>
                <w:sz w:val="12"/>
              </w:rPr>
              <w:t>0.0%</w:t>
            </w:r>
          </w:p>
        </w:tc>
      </w:tr>
      <w:tr w14:paraId="70A8420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111" w:type="dxa"/>
            <w:tcMar>
              <w:top w:w="18" w:type="dxa"/>
              <w:left w:w="18" w:type="dxa"/>
              <w:bottom w:w="18" w:type="dxa"/>
              <w:right w:w="18" w:type="dxa"/>
            </w:tcMar>
            <w:vAlign w:val="center"/>
          </w:tcPr>
          <w:p w14:paraId="01EE8B87">
            <w:pPr>
              <w:pStyle w:val="50"/>
              <w:keepNext w:val="0"/>
              <w:keepLines w:val="0"/>
              <w:spacing w:before="0" w:after="0" w:line="216" w:lineRule="auto"/>
              <w:ind w:left="0" w:right="0" w:firstLine="0"/>
              <w:jc w:val="center"/>
            </w:pPr>
            <w:r>
              <w:rPr>
                <w:rFonts w:ascii="Times New Roman" w:hAnsi="Times New Roman" w:eastAsia="宋体"/>
                <w:b w:val="0"/>
                <w:sz w:val="12"/>
              </w:rPr>
              <w:t>边缘部署（低度数）</w:t>
            </w:r>
          </w:p>
        </w:tc>
        <w:tc>
          <w:tcPr>
            <w:tcW w:w="679" w:type="dxa"/>
            <w:tcMar>
              <w:top w:w="18" w:type="dxa"/>
              <w:left w:w="18" w:type="dxa"/>
              <w:bottom w:w="18" w:type="dxa"/>
              <w:right w:w="18" w:type="dxa"/>
            </w:tcMar>
            <w:vAlign w:val="center"/>
          </w:tcPr>
          <w:p w14:paraId="376B62BB">
            <w:pPr>
              <w:pStyle w:val="50"/>
              <w:keepNext w:val="0"/>
              <w:keepLines w:val="0"/>
              <w:spacing w:before="0" w:after="0" w:line="216" w:lineRule="auto"/>
              <w:ind w:left="0" w:right="0" w:firstLine="0"/>
              <w:jc w:val="center"/>
            </w:pPr>
            <w:r>
              <w:rPr>
                <w:rFonts w:ascii="Times New Roman" w:hAnsi="Times New Roman" w:eastAsia="宋体"/>
                <w:b w:val="0"/>
                <w:sz w:val="12"/>
              </w:rPr>
              <w:t>30.0%</w:t>
            </w:r>
          </w:p>
        </w:tc>
        <w:tc>
          <w:tcPr>
            <w:tcW w:w="2530" w:type="dxa"/>
            <w:tcMar>
              <w:top w:w="18" w:type="dxa"/>
              <w:left w:w="18" w:type="dxa"/>
              <w:bottom w:w="18" w:type="dxa"/>
              <w:right w:w="18" w:type="dxa"/>
            </w:tcMar>
            <w:vAlign w:val="center"/>
          </w:tcPr>
          <w:p w14:paraId="2DB76B9D">
            <w:pPr>
              <w:pStyle w:val="50"/>
              <w:keepNext w:val="0"/>
              <w:keepLines w:val="0"/>
              <w:spacing w:before="0" w:after="0" w:line="216" w:lineRule="auto"/>
              <w:ind w:left="0" w:right="0" w:firstLine="0"/>
              <w:jc w:val="center"/>
            </w:pPr>
            <w:r>
              <w:rPr>
                <w:rFonts w:ascii="Times New Roman" w:hAnsi="Times New Roman" w:eastAsia="宋体"/>
                <w:b w:val="0"/>
                <w:sz w:val="12"/>
              </w:rPr>
              <w:t>9.9%</w:t>
            </w:r>
          </w:p>
        </w:tc>
      </w:tr>
      <w:tr w14:paraId="65E27B2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111" w:type="dxa"/>
            <w:tcMar>
              <w:top w:w="18" w:type="dxa"/>
              <w:left w:w="18" w:type="dxa"/>
              <w:bottom w:w="18" w:type="dxa"/>
              <w:right w:w="18" w:type="dxa"/>
            </w:tcMar>
            <w:vAlign w:val="center"/>
          </w:tcPr>
          <w:p w14:paraId="01FAA24D">
            <w:pPr>
              <w:pStyle w:val="50"/>
              <w:keepNext w:val="0"/>
              <w:keepLines w:val="0"/>
              <w:spacing w:before="0" w:after="0" w:line="216" w:lineRule="auto"/>
              <w:ind w:left="0" w:right="0" w:firstLine="0"/>
              <w:jc w:val="center"/>
            </w:pPr>
            <w:r>
              <w:rPr>
                <w:rFonts w:ascii="Times New Roman" w:hAnsi="Times New Roman" w:eastAsia="宋体"/>
                <w:b w:val="0"/>
                <w:sz w:val="12"/>
              </w:rPr>
              <w:t>中心部署（Hub）</w:t>
            </w:r>
          </w:p>
        </w:tc>
        <w:tc>
          <w:tcPr>
            <w:tcW w:w="679" w:type="dxa"/>
            <w:tcMar>
              <w:top w:w="18" w:type="dxa"/>
              <w:left w:w="18" w:type="dxa"/>
              <w:bottom w:w="18" w:type="dxa"/>
              <w:right w:w="18" w:type="dxa"/>
            </w:tcMar>
            <w:vAlign w:val="center"/>
          </w:tcPr>
          <w:p w14:paraId="073112A8">
            <w:pPr>
              <w:pStyle w:val="50"/>
              <w:keepNext w:val="0"/>
              <w:keepLines w:val="0"/>
              <w:spacing w:before="0" w:after="0" w:line="216" w:lineRule="auto"/>
              <w:ind w:left="0" w:right="0" w:firstLine="0"/>
              <w:jc w:val="center"/>
            </w:pPr>
            <w:r>
              <w:rPr>
                <w:rFonts w:ascii="Times New Roman" w:hAnsi="Times New Roman" w:eastAsia="宋体"/>
                <w:b w:val="0"/>
                <w:sz w:val="12"/>
              </w:rPr>
              <w:t>0.0%</w:t>
            </w:r>
          </w:p>
        </w:tc>
        <w:tc>
          <w:tcPr>
            <w:tcW w:w="2530" w:type="dxa"/>
            <w:tcMar>
              <w:top w:w="18" w:type="dxa"/>
              <w:left w:w="18" w:type="dxa"/>
              <w:bottom w:w="18" w:type="dxa"/>
              <w:right w:w="18" w:type="dxa"/>
            </w:tcMar>
            <w:vAlign w:val="center"/>
          </w:tcPr>
          <w:p w14:paraId="00A570BC">
            <w:pPr>
              <w:pStyle w:val="50"/>
              <w:keepNext w:val="0"/>
              <w:keepLines w:val="0"/>
              <w:spacing w:before="0" w:after="0" w:line="216" w:lineRule="auto"/>
              <w:ind w:left="0" w:right="0" w:firstLine="0"/>
              <w:jc w:val="center"/>
            </w:pPr>
            <w:r>
              <w:rPr>
                <w:rFonts w:ascii="Times New Roman" w:hAnsi="Times New Roman" w:eastAsia="宋体"/>
                <w:b w:val="0"/>
                <w:sz w:val="12"/>
              </w:rPr>
              <w:t>0.0%</w:t>
            </w:r>
          </w:p>
        </w:tc>
      </w:tr>
    </w:tbl>
    <w:p w14:paraId="3C9B982F">
      <w:pPr>
        <w:pStyle w:val="48"/>
        <w:widowControl/>
        <w:spacing w:before="0" w:after="0" w:line="269" w:lineRule="auto"/>
        <w:ind w:left="0" w:right="0" w:firstLine="420"/>
        <w:jc w:val="both"/>
        <w:rPr>
          <w:lang w:eastAsia="zh-CN"/>
        </w:rPr>
      </w:pPr>
      <w:r>
        <w:rPr>
          <w:rFonts w:ascii="Times New Roman" w:hAnsi="Times New Roman" w:eastAsia="宋体"/>
          <w:i/>
          <w:iCs/>
          <w:sz w:val="21"/>
          <w:lang w:eastAsia="zh-CN"/>
        </w:rPr>
        <w:t>说明：真实网络三组无效 JSON 率均为 0%，与合成网络一致。</w:t>
      </w:r>
    </w:p>
    <w:p w14:paraId="46EC2B90">
      <w:pPr>
        <w:pStyle w:val="48"/>
        <w:widowControl/>
        <w:spacing w:before="0" w:after="0" w:line="269" w:lineRule="auto"/>
        <w:ind w:left="0" w:right="0" w:firstLine="420"/>
        <w:jc w:val="both"/>
        <w:rPr>
          <w:lang w:eastAsia="zh-CN"/>
        </w:rPr>
      </w:pPr>
      <w:r>
        <w:rPr>
          <w:rFonts w:ascii="Times New Roman" w:hAnsi="Times New Roman" w:eastAsia="宋体" w:cs="Times New Roman"/>
          <w:color w:val="000000"/>
          <w:kern w:val="0"/>
          <w:sz w:val="21"/>
          <w:szCs w:val="24"/>
          <w:lang w:val="en-US" w:eastAsia="en-US" w:bidi="ar-SA"/>
        </w:rPr>
        <w:t>表5报告的是 Facebook 真实网络上的单次运行结果。鉴于第4.6节在合成网络中通过每个条件 K=5 次独立运行已揭示出较为显著的运行间波动，对该组结果应采取审慎解释。当前证据主要支持一项相对稳健的发现：中心节点（Hub）部署在合成网络的重复实验中将渗透率稳定压制至 0.0%，并在真实 Facebook 网络的单次运行中同样获得0.0% 的结果。由此可见，Hub 部署的强抑制效应不仅在合成网络的重复实验中得到验证，也在真实网络实例中获得了方向一致的探索性支持，构成本文应用分析中证据最为充分的结论。相较之下，真实网络中随机部署的0.0% 与边缘部署的 9.9% 均为单次观测，不宜据此推断两种策略之间存在稳定的性能差异。第4.6节已表明，在合成网络 K=5的条件下，边缘部署与随机部署的差异仍处于运行间波动范围之内，尚不足以确定其优劣排序；因此，真实网络中的 9.9% 与 0.0% 之差同样可能受到运行间不确定性的显著影响。综合而言，现有结果表明，Hub 部署的强抑制方向在由合成网络迁移至真实稠密社交网络后未出现反向证据，而非 Hub 部署策略之间的细粒度差异仍需通过逐条件多次独立运行加以检验。需要强调的是，该结论目前仅建立在单个 Facebook ego-network 和合成谣言场景之上，其外部效度仍有待通过更多真实网络、真实传播数据校准及重复实验进一步验证。</w:t>
      </w:r>
    </w:p>
    <w:p w14:paraId="427330E1">
      <w:pPr>
        <w:pStyle w:val="46"/>
        <w:keepNext/>
        <w:pageBreakBefore w:val="0"/>
        <w:spacing w:before="100" w:after="40"/>
        <w:ind w:firstLine="0"/>
        <w:jc w:val="left"/>
      </w:pPr>
      <w:r>
        <w:rPr>
          <w:rFonts w:ascii="Times New Roman" w:hAnsi="Times New Roman" w:eastAsia="黑体"/>
          <w:b/>
          <w:sz w:val="21"/>
        </w:rPr>
        <w:t>4.8 实验六：可审计的信念翻转链走查</w:t>
      </w:r>
    </w:p>
    <w:p w14:paraId="5826FA75">
      <w:pPr>
        <w:pStyle w:val="48"/>
        <w:widowControl/>
        <w:spacing w:before="0" w:after="0" w:line="269" w:lineRule="auto"/>
        <w:ind w:left="0" w:right="0" w:firstLine="420"/>
        <w:jc w:val="both"/>
        <w:rPr>
          <w:lang w:eastAsia="zh-CN"/>
        </w:rPr>
      </w:pPr>
      <w:r>
        <w:rPr>
          <w:rFonts w:ascii="Times New Roman" w:hAnsi="Times New Roman" w:eastAsia="宋体"/>
          <w:sz w:val="21"/>
        </w:rPr>
        <w:t>LEDS 的完整轨迹日志（3.1 节 Stage 3）支持对任意节点的信念演化做零成本、逐消息的事后审计。</w:t>
      </w:r>
      <w:r>
        <w:rPr>
          <w:rFonts w:ascii="Times New Roman" w:hAnsi="Times New Roman" w:eastAsia="宋体"/>
          <w:sz w:val="21"/>
          <w:lang w:eastAsia="zh-CN"/>
        </w:rPr>
        <w:t>作为示例，我们从边缘部署实验的完整轨迹记录中抽取节点 3（易感者）的信念生命周期，展示协议如何把一次宏观渗透率变化归因到具体的消息事件。</w:t>
      </w:r>
    </w:p>
    <w:p w14:paraId="56807F5E">
      <w:pPr>
        <w:pStyle w:val="51"/>
        <w:keepNext/>
        <w:spacing w:before="40" w:after="0"/>
        <w:jc w:val="center"/>
      </w:pPr>
      <w:r>
        <w:rPr>
          <w:rFonts w:ascii="Times New Roman" w:hAnsi="Times New Roman" w:eastAsia="宋体"/>
          <w:sz w:val="17"/>
        </w:rPr>
        <w:t>表6 节点3（易感者）的可审计信念翻转链</w:t>
      </w:r>
    </w:p>
    <w:p w14:paraId="0ECA62C5">
      <w:pPr>
        <w:pStyle w:val="51"/>
        <w:keepNext/>
        <w:spacing w:before="0" w:after="60"/>
        <w:jc w:val="center"/>
      </w:pPr>
      <w:r>
        <w:rPr>
          <w:rFonts w:ascii="Times New Roman" w:hAnsi="Times New Roman" w:eastAsia="宋体"/>
          <w:sz w:val="16"/>
        </w:rPr>
        <w:t>Table 6 Auditable belief-flip chain of node 3 (susceptible)</w:t>
      </w:r>
    </w:p>
    <w:tbl>
      <w:tblPr>
        <w:tblStyle w:val="25"/>
        <w:tblW w:w="432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918"/>
        <w:gridCol w:w="1512"/>
        <w:gridCol w:w="1134"/>
        <w:gridCol w:w="756"/>
      </w:tblGrid>
      <w:tr w14:paraId="7C618AE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jc w:val="center"/>
        </w:trPr>
        <w:tc>
          <w:tcPr>
            <w:tcW w:w="918" w:type="dxa"/>
            <w:tcBorders>
              <w:bottom w:val="single" w:color="000000" w:sz="8" w:space="0"/>
            </w:tcBorders>
            <w:tcMar>
              <w:top w:w="18" w:type="dxa"/>
              <w:left w:w="18" w:type="dxa"/>
              <w:bottom w:w="18" w:type="dxa"/>
              <w:right w:w="18" w:type="dxa"/>
            </w:tcMar>
            <w:vAlign w:val="center"/>
          </w:tcPr>
          <w:p w14:paraId="7DE9C276">
            <w:pPr>
              <w:pStyle w:val="49"/>
              <w:keepNext w:val="0"/>
              <w:keepLines w:val="0"/>
              <w:spacing w:before="0" w:after="0" w:line="216" w:lineRule="auto"/>
              <w:ind w:left="0" w:right="0" w:firstLine="0"/>
              <w:jc w:val="center"/>
            </w:pPr>
            <w:r>
              <w:rPr>
                <w:rFonts w:ascii="Times New Roman" w:hAnsi="Times New Roman" w:eastAsia="宋体"/>
                <w:b/>
                <w:sz w:val="11"/>
              </w:rPr>
              <w:t>时间步</w:t>
            </w:r>
          </w:p>
        </w:tc>
        <w:tc>
          <w:tcPr>
            <w:tcW w:w="1512" w:type="dxa"/>
            <w:tcBorders>
              <w:bottom w:val="single" w:color="000000" w:sz="8" w:space="0"/>
            </w:tcBorders>
            <w:tcMar>
              <w:top w:w="18" w:type="dxa"/>
              <w:left w:w="18" w:type="dxa"/>
              <w:bottom w:w="18" w:type="dxa"/>
              <w:right w:w="18" w:type="dxa"/>
            </w:tcMar>
            <w:vAlign w:val="center"/>
          </w:tcPr>
          <w:p w14:paraId="0BD6203B">
            <w:pPr>
              <w:pStyle w:val="49"/>
              <w:keepNext w:val="0"/>
              <w:keepLines w:val="0"/>
              <w:spacing w:before="0" w:after="0" w:line="216" w:lineRule="auto"/>
              <w:ind w:left="0" w:right="0" w:firstLine="0"/>
              <w:jc w:val="center"/>
              <w:rPr>
                <w:lang w:eastAsia="zh-CN"/>
              </w:rPr>
            </w:pPr>
            <w:r>
              <w:rPr>
                <w:rFonts w:ascii="Times New Roman" w:hAnsi="Times New Roman" w:eastAsia="宋体"/>
                <w:b/>
                <w:sz w:val="11"/>
                <w:lang w:eastAsia="zh-CN"/>
              </w:rPr>
              <w:t>收到的关键消息（类型, 发送者）</w:t>
            </w:r>
          </w:p>
        </w:tc>
        <w:tc>
          <w:tcPr>
            <w:tcW w:w="1134" w:type="dxa"/>
            <w:tcBorders>
              <w:bottom w:val="single" w:color="000000" w:sz="8" w:space="0"/>
            </w:tcBorders>
            <w:tcMar>
              <w:top w:w="18" w:type="dxa"/>
              <w:left w:w="18" w:type="dxa"/>
              <w:bottom w:w="18" w:type="dxa"/>
              <w:right w:w="18" w:type="dxa"/>
            </w:tcMar>
            <w:vAlign w:val="center"/>
          </w:tcPr>
          <w:p w14:paraId="309F388C">
            <w:pPr>
              <w:pStyle w:val="49"/>
              <w:keepNext w:val="0"/>
              <w:keepLines w:val="0"/>
              <w:spacing w:before="0" w:after="0" w:line="216" w:lineRule="auto"/>
              <w:ind w:left="0" w:right="0" w:firstLine="0"/>
              <w:jc w:val="center"/>
            </w:pPr>
            <w:r>
              <w:rPr>
                <w:rFonts w:ascii="Times New Roman" w:hAnsi="Times New Roman" w:eastAsia="宋体"/>
                <w:b/>
                <w:sz w:val="11"/>
              </w:rPr>
              <w:t>信念转移</w:t>
            </w:r>
          </w:p>
        </w:tc>
        <w:tc>
          <w:tcPr>
            <w:tcW w:w="756" w:type="dxa"/>
            <w:tcBorders>
              <w:bottom w:val="single" w:color="000000" w:sz="8" w:space="0"/>
            </w:tcBorders>
            <w:tcMar>
              <w:top w:w="18" w:type="dxa"/>
              <w:left w:w="18" w:type="dxa"/>
              <w:bottom w:w="18" w:type="dxa"/>
              <w:right w:w="18" w:type="dxa"/>
            </w:tcMar>
            <w:vAlign w:val="center"/>
          </w:tcPr>
          <w:p w14:paraId="674926C7">
            <w:pPr>
              <w:pStyle w:val="49"/>
              <w:keepNext w:val="0"/>
              <w:keepLines w:val="0"/>
              <w:spacing w:before="0" w:after="0" w:line="216" w:lineRule="auto"/>
              <w:ind w:left="0" w:right="0" w:firstLine="0"/>
              <w:jc w:val="center"/>
            </w:pPr>
            <w:r>
              <w:rPr>
                <w:rFonts w:ascii="Times New Roman" w:hAnsi="Times New Roman" w:eastAsia="宋体"/>
                <w:b/>
                <w:sz w:val="11"/>
              </w:rPr>
              <w:t>动作</w:t>
            </w:r>
          </w:p>
        </w:tc>
      </w:tr>
      <w:tr w14:paraId="1E7A29E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918" w:type="dxa"/>
            <w:tcMar>
              <w:top w:w="18" w:type="dxa"/>
              <w:left w:w="18" w:type="dxa"/>
              <w:bottom w:w="18" w:type="dxa"/>
              <w:right w:w="18" w:type="dxa"/>
            </w:tcMar>
            <w:vAlign w:val="center"/>
          </w:tcPr>
          <w:p w14:paraId="451B1F0E">
            <w:pPr>
              <w:pStyle w:val="50"/>
              <w:keepNext w:val="0"/>
              <w:keepLines w:val="0"/>
              <w:spacing w:before="0" w:after="0" w:line="216" w:lineRule="auto"/>
              <w:ind w:left="0" w:right="0" w:firstLine="0"/>
              <w:jc w:val="center"/>
            </w:pPr>
            <w:r>
              <w:rPr>
                <w:rFonts w:ascii="Times New Roman" w:hAnsi="Times New Roman" w:eastAsia="宋体"/>
                <w:b w:val="0"/>
                <w:sz w:val="11"/>
              </w:rPr>
              <w:t>t=2</w:t>
            </w:r>
          </w:p>
        </w:tc>
        <w:tc>
          <w:tcPr>
            <w:tcW w:w="1512" w:type="dxa"/>
            <w:tcMar>
              <w:top w:w="18" w:type="dxa"/>
              <w:left w:w="18" w:type="dxa"/>
              <w:bottom w:w="18" w:type="dxa"/>
              <w:right w:w="18" w:type="dxa"/>
            </w:tcMar>
            <w:vAlign w:val="center"/>
          </w:tcPr>
          <w:p w14:paraId="3C83333A">
            <w:pPr>
              <w:pStyle w:val="50"/>
              <w:keepNext w:val="0"/>
              <w:keepLines w:val="0"/>
              <w:spacing w:before="0" w:after="0" w:line="216" w:lineRule="auto"/>
              <w:ind w:left="0" w:right="0" w:firstLine="0"/>
              <w:jc w:val="center"/>
              <w:rPr>
                <w:lang w:eastAsia="zh-CN"/>
              </w:rPr>
            </w:pPr>
            <w:r>
              <w:rPr>
                <w:rFonts w:ascii="Times New Roman" w:hAnsi="Times New Roman" w:eastAsia="宋体"/>
                <w:b w:val="0"/>
                <w:sz w:val="11"/>
                <w:lang w:eastAsia="zh-CN"/>
              </w:rPr>
              <w:t>谣言（RUMOR, 源节点 47）</w:t>
            </w:r>
          </w:p>
        </w:tc>
        <w:tc>
          <w:tcPr>
            <w:tcW w:w="1134" w:type="dxa"/>
            <w:tcMar>
              <w:top w:w="18" w:type="dxa"/>
              <w:left w:w="18" w:type="dxa"/>
              <w:bottom w:w="18" w:type="dxa"/>
              <w:right w:w="18" w:type="dxa"/>
            </w:tcMar>
            <w:vAlign w:val="center"/>
          </w:tcPr>
          <w:p w14:paraId="10511B6E">
            <w:pPr>
              <w:pStyle w:val="50"/>
              <w:keepNext w:val="0"/>
              <w:keepLines w:val="0"/>
              <w:spacing w:before="0" w:after="0" w:line="216" w:lineRule="auto"/>
              <w:ind w:left="350" w:leftChars="100" w:right="0" w:hanging="110" w:hangingChars="100"/>
              <w:jc w:val="center"/>
            </w:pPr>
            <w:r>
              <w:rPr>
                <w:rFonts w:ascii="Times New Roman" w:hAnsi="Times New Roman" w:eastAsia="宋体"/>
                <w:b w:val="0"/>
                <w:sz w:val="11"/>
              </w:rPr>
              <w:t>Neutral → Accept</w:t>
            </w:r>
          </w:p>
        </w:tc>
        <w:tc>
          <w:tcPr>
            <w:tcW w:w="756" w:type="dxa"/>
            <w:tcMar>
              <w:top w:w="18" w:type="dxa"/>
              <w:left w:w="18" w:type="dxa"/>
              <w:bottom w:w="18" w:type="dxa"/>
              <w:right w:w="18" w:type="dxa"/>
            </w:tcMar>
            <w:vAlign w:val="center"/>
          </w:tcPr>
          <w:p w14:paraId="1295F8E5">
            <w:pPr>
              <w:pStyle w:val="50"/>
              <w:keepNext w:val="0"/>
              <w:keepLines w:val="0"/>
              <w:spacing w:before="0" w:after="0" w:line="216" w:lineRule="auto"/>
              <w:ind w:left="0" w:right="0" w:firstLine="0"/>
              <w:jc w:val="center"/>
            </w:pPr>
            <w:r>
              <w:rPr>
                <w:rFonts w:ascii="Times New Roman" w:hAnsi="Times New Roman" w:eastAsia="宋体"/>
                <w:b w:val="0"/>
                <w:sz w:val="11"/>
              </w:rPr>
              <w:t>Share</w:t>
            </w:r>
          </w:p>
        </w:tc>
      </w:tr>
      <w:tr w14:paraId="376455C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918" w:type="dxa"/>
            <w:tcMar>
              <w:top w:w="18" w:type="dxa"/>
              <w:left w:w="18" w:type="dxa"/>
              <w:bottom w:w="18" w:type="dxa"/>
              <w:right w:w="18" w:type="dxa"/>
            </w:tcMar>
            <w:vAlign w:val="center"/>
          </w:tcPr>
          <w:p w14:paraId="4FA766E7">
            <w:pPr>
              <w:pStyle w:val="50"/>
              <w:keepNext w:val="0"/>
              <w:keepLines w:val="0"/>
              <w:spacing w:before="0" w:after="0" w:line="216" w:lineRule="auto"/>
              <w:ind w:left="0" w:right="0" w:firstLine="0"/>
              <w:jc w:val="center"/>
            </w:pPr>
            <w:r>
              <w:rPr>
                <w:rFonts w:ascii="Times New Roman" w:hAnsi="Times New Roman" w:eastAsia="宋体"/>
                <w:b w:val="0"/>
                <w:sz w:val="11"/>
              </w:rPr>
              <w:t>t=4</w:t>
            </w:r>
          </w:p>
        </w:tc>
        <w:tc>
          <w:tcPr>
            <w:tcW w:w="1512" w:type="dxa"/>
            <w:tcMar>
              <w:top w:w="18" w:type="dxa"/>
              <w:left w:w="18" w:type="dxa"/>
              <w:bottom w:w="18" w:type="dxa"/>
              <w:right w:w="18" w:type="dxa"/>
            </w:tcMar>
            <w:vAlign w:val="center"/>
          </w:tcPr>
          <w:p w14:paraId="642384C8">
            <w:pPr>
              <w:pStyle w:val="50"/>
              <w:keepNext w:val="0"/>
              <w:keepLines w:val="0"/>
              <w:spacing w:before="0" w:after="0" w:line="216" w:lineRule="auto"/>
              <w:ind w:left="0" w:right="0" w:firstLine="0"/>
              <w:jc w:val="center"/>
              <w:rPr>
                <w:lang w:eastAsia="zh-CN"/>
              </w:rPr>
            </w:pPr>
            <w:r>
              <w:rPr>
                <w:rFonts w:ascii="Times New Roman" w:hAnsi="Times New Roman" w:eastAsia="宋体"/>
                <w:b w:val="0"/>
                <w:sz w:val="11"/>
                <w:lang w:eastAsia="zh-CN"/>
              </w:rPr>
              <w:t>多条谣言 + 核查员辟谣（DEBUNK, 20/102/118）</w:t>
            </w:r>
          </w:p>
        </w:tc>
        <w:tc>
          <w:tcPr>
            <w:tcW w:w="1134" w:type="dxa"/>
            <w:tcMar>
              <w:top w:w="18" w:type="dxa"/>
              <w:left w:w="18" w:type="dxa"/>
              <w:bottom w:w="18" w:type="dxa"/>
              <w:right w:w="18" w:type="dxa"/>
            </w:tcMar>
            <w:vAlign w:val="center"/>
          </w:tcPr>
          <w:p w14:paraId="41A9D6D4">
            <w:pPr>
              <w:pStyle w:val="50"/>
              <w:keepNext w:val="0"/>
              <w:keepLines w:val="0"/>
              <w:spacing w:before="0" w:after="0" w:line="216" w:lineRule="auto"/>
              <w:ind w:left="0" w:right="0" w:firstLine="0"/>
              <w:jc w:val="center"/>
            </w:pPr>
            <w:r>
              <w:rPr>
                <w:rFonts w:ascii="Times New Roman" w:hAnsi="Times New Roman" w:eastAsia="宋体"/>
                <w:b w:val="0"/>
                <w:sz w:val="11"/>
              </w:rPr>
              <w:t>Accept → Reject</w:t>
            </w:r>
          </w:p>
        </w:tc>
        <w:tc>
          <w:tcPr>
            <w:tcW w:w="756" w:type="dxa"/>
            <w:tcMar>
              <w:top w:w="18" w:type="dxa"/>
              <w:left w:w="18" w:type="dxa"/>
              <w:bottom w:w="18" w:type="dxa"/>
              <w:right w:w="18" w:type="dxa"/>
            </w:tcMar>
            <w:vAlign w:val="center"/>
          </w:tcPr>
          <w:p w14:paraId="2BA36B9E">
            <w:pPr>
              <w:pStyle w:val="50"/>
              <w:keepNext w:val="0"/>
              <w:keepLines w:val="0"/>
              <w:spacing w:before="0" w:after="0" w:line="216" w:lineRule="auto"/>
              <w:ind w:left="0" w:right="0" w:firstLine="0"/>
              <w:jc w:val="center"/>
            </w:pPr>
            <w:r>
              <w:rPr>
                <w:rFonts w:ascii="Times New Roman" w:hAnsi="Times New Roman" w:eastAsia="宋体"/>
                <w:b w:val="0"/>
                <w:sz w:val="11"/>
              </w:rPr>
              <w:t>Ignore</w:t>
            </w:r>
          </w:p>
        </w:tc>
      </w:tr>
      <w:tr w14:paraId="22F7E81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918" w:type="dxa"/>
            <w:tcMar>
              <w:top w:w="18" w:type="dxa"/>
              <w:left w:w="18" w:type="dxa"/>
              <w:bottom w:w="18" w:type="dxa"/>
              <w:right w:w="18" w:type="dxa"/>
            </w:tcMar>
            <w:vAlign w:val="center"/>
          </w:tcPr>
          <w:p w14:paraId="1F3AA049">
            <w:pPr>
              <w:pStyle w:val="50"/>
              <w:keepNext w:val="0"/>
              <w:keepLines w:val="0"/>
              <w:spacing w:before="0" w:after="0" w:line="216" w:lineRule="auto"/>
              <w:ind w:left="0" w:right="0" w:firstLine="0"/>
              <w:jc w:val="center"/>
            </w:pPr>
            <w:r>
              <w:rPr>
                <w:rFonts w:ascii="Times New Roman" w:hAnsi="Times New Roman" w:eastAsia="宋体"/>
                <w:b w:val="0"/>
                <w:sz w:val="11"/>
              </w:rPr>
              <w:t>t=5,8,9</w:t>
            </w:r>
          </w:p>
        </w:tc>
        <w:tc>
          <w:tcPr>
            <w:tcW w:w="1512" w:type="dxa"/>
            <w:tcMar>
              <w:top w:w="18" w:type="dxa"/>
              <w:left w:w="18" w:type="dxa"/>
              <w:bottom w:w="18" w:type="dxa"/>
              <w:right w:w="18" w:type="dxa"/>
            </w:tcMar>
            <w:vAlign w:val="center"/>
          </w:tcPr>
          <w:p w14:paraId="2723DBD3">
            <w:pPr>
              <w:pStyle w:val="50"/>
              <w:keepNext w:val="0"/>
              <w:keepLines w:val="0"/>
              <w:spacing w:before="0" w:after="0" w:line="216" w:lineRule="auto"/>
              <w:ind w:left="0" w:right="0" w:firstLine="0"/>
              <w:jc w:val="center"/>
            </w:pPr>
            <w:r>
              <w:rPr>
                <w:rFonts w:ascii="Times New Roman" w:hAnsi="Times New Roman" w:eastAsia="宋体"/>
                <w:b w:val="0"/>
                <w:sz w:val="11"/>
              </w:rPr>
              <w:t>后续辟谣（DEBUNK, 66/2/167/237）</w:t>
            </w:r>
          </w:p>
        </w:tc>
        <w:tc>
          <w:tcPr>
            <w:tcW w:w="1134" w:type="dxa"/>
            <w:tcMar>
              <w:top w:w="18" w:type="dxa"/>
              <w:left w:w="18" w:type="dxa"/>
              <w:bottom w:w="18" w:type="dxa"/>
              <w:right w:w="18" w:type="dxa"/>
            </w:tcMar>
            <w:vAlign w:val="center"/>
          </w:tcPr>
          <w:p w14:paraId="25B4F62F">
            <w:pPr>
              <w:pStyle w:val="50"/>
              <w:keepNext w:val="0"/>
              <w:keepLines w:val="0"/>
              <w:spacing w:before="0" w:after="0" w:line="216" w:lineRule="auto"/>
              <w:ind w:left="0" w:right="0" w:firstLine="0"/>
              <w:jc w:val="center"/>
            </w:pPr>
            <w:r>
              <w:rPr>
                <w:rFonts w:ascii="Times New Roman" w:hAnsi="Times New Roman" w:eastAsia="宋体"/>
                <w:b w:val="0"/>
                <w:sz w:val="11"/>
              </w:rPr>
              <w:t>Reject → Reject（稳定）</w:t>
            </w:r>
          </w:p>
        </w:tc>
        <w:tc>
          <w:tcPr>
            <w:tcW w:w="756" w:type="dxa"/>
            <w:tcMar>
              <w:top w:w="18" w:type="dxa"/>
              <w:left w:w="18" w:type="dxa"/>
              <w:bottom w:w="18" w:type="dxa"/>
              <w:right w:w="18" w:type="dxa"/>
            </w:tcMar>
            <w:vAlign w:val="center"/>
          </w:tcPr>
          <w:p w14:paraId="2A553C52">
            <w:pPr>
              <w:pStyle w:val="50"/>
              <w:keepNext w:val="0"/>
              <w:keepLines w:val="0"/>
              <w:spacing w:before="0" w:after="0" w:line="216" w:lineRule="auto"/>
              <w:ind w:left="0" w:right="0" w:firstLine="0"/>
              <w:jc w:val="center"/>
            </w:pPr>
            <w:r>
              <w:rPr>
                <w:rFonts w:ascii="Times New Roman" w:hAnsi="Times New Roman" w:eastAsia="宋体"/>
                <w:b w:val="0"/>
                <w:sz w:val="11"/>
              </w:rPr>
              <w:t>Ignore</w:t>
            </w:r>
          </w:p>
        </w:tc>
      </w:tr>
    </w:tbl>
    <w:p w14:paraId="1B8E7239">
      <w:pPr>
        <w:pStyle w:val="48"/>
        <w:widowControl/>
        <w:spacing w:before="0" w:after="0" w:line="269" w:lineRule="auto"/>
        <w:ind w:left="0" w:right="0" w:firstLine="420"/>
        <w:jc w:val="both"/>
        <w:rPr>
          <w:lang w:eastAsia="zh-CN"/>
        </w:rPr>
      </w:pPr>
      <w:r>
        <w:rPr>
          <w:rFonts w:ascii="Times New Roman" w:hAnsi="Times New Roman" w:eastAsia="宋体"/>
          <w:sz w:val="21"/>
          <w:lang w:eastAsia="zh-CN"/>
        </w:rPr>
        <w:t xml:space="preserve">表 6 呈现了一条可完整追溯的因果链：节点 3 在 </w:t>
      </w:r>
      <m:oMath>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2</m:t>
        </m:r>
      </m:oMath>
      <w:r>
        <w:rPr>
          <w:rFonts w:ascii="Times New Roman" w:hAnsi="Times New Roman" w:eastAsia="宋体"/>
          <w:sz w:val="21"/>
          <w:lang w:eastAsia="zh-CN"/>
        </w:rPr>
        <w:t xml:space="preserve"> 因收到源节点的谣言由存疑转为接受并转发；在 </w:t>
      </w:r>
      <m:oMath>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4</m:t>
        </m:r>
      </m:oMath>
      <w:r>
        <w:rPr>
          <w:rFonts w:ascii="Times New Roman" w:hAnsi="Times New Roman" w:eastAsia="宋体"/>
          <w:sz w:val="21"/>
          <w:lang w:eastAsia="zh-CN"/>
        </w:rPr>
        <w:t xml:space="preserve"> 同时收到多条谣言与三名核查员的辟谣后被纠偏为拒绝，并停止传播；此后持续收到辟谣、信念稳定于拒绝。每一步的信念转移都能指向触发它的具体消息，且该轨迹在缓存重放下逐字段精确复现（4.4 节 0.0% Hamming）。这种“可解释到单次消息事件、且可精确重放”的审计能力，是自由生成式仿真难以提供的：后者同配置下的逐节点发散（4.4 节最高 21.0%）使得任一信念翻转都无法被稳定归因或复核。</w:t>
      </w:r>
    </w:p>
    <w:p w14:paraId="42C0C854">
      <w:pPr>
        <w:pStyle w:val="43"/>
        <w:keepNext/>
        <w:pageBreakBefore w:val="0"/>
        <w:spacing w:before="160" w:after="80"/>
        <w:ind w:left="0" w:firstLine="0"/>
        <w:jc w:val="left"/>
        <w:rPr>
          <w:lang w:eastAsia="zh-CN"/>
        </w:rPr>
      </w:pPr>
      <w:r>
        <w:rPr>
          <w:rFonts w:ascii="Times New Roman" w:hAnsi="Times New Roman" w:eastAsia="黑体"/>
          <w:b w:val="0"/>
          <w:sz w:val="28"/>
        </w:rPr>
        <w:t>5 结论</w:t>
      </w:r>
    </w:p>
    <w:p w14:paraId="4D60EC4D">
      <w:pPr>
        <w:pStyle w:val="48"/>
        <w:keepNext w:val="0"/>
        <w:keepLines w:val="0"/>
        <w:widowControl/>
        <w:suppressLineNumbers w:val="0"/>
        <w:spacing w:before="0" w:beforeAutospacing="1" w:after="0" w:afterAutospacing="1" w:line="269" w:lineRule="auto"/>
        <w:ind w:left="0" w:right="0" w:firstLine="420" w:firstLineChars="200"/>
        <w:jc w:val="both"/>
        <w:rPr>
          <w:rFonts w:hint="eastAsia" w:cs="Times New Roman"/>
          <w:color w:val="000000"/>
          <w:kern w:val="0"/>
          <w:sz w:val="21"/>
          <w:szCs w:val="24"/>
          <w:lang w:val="en-US" w:eastAsia="zh-CN" w:bidi="ar-SA"/>
        </w:rPr>
      </w:pPr>
      <w:r>
        <w:t>本文提出面向社会信息传播的可重放事件驱动仿真协议 LEDS。其核心结论不是“零温度能够保证确定性”，而是相反：在相同冻结配置和零温度条件下，云端 LLM 的无缓存独立运行仍出现明显发散，最终渗透率极差为4.7个百分点，逐节点状态差异最高达21.0%；只有固定 Prompt/Response 判定记录后的回放，才能实现逐节点完全一致。因此，LLM 社会仿真的可信性应同时报告记录级可重放性、运行级统计可复现性与经验有效性。事件驱动机制将判定次数由2,400次降至701次，并在不同规模下实现2.5～4.8倍的评估次数削减，但该指标不能直接等同于墙钟或费用优势。在应用实验中，中心节点部署核查员在合成网络重复运行中将渗透率稳定压制至0.0%，并在真实 Facebook 网络单次运行中观察到同向结果；拓扑类型及其他部署策略之间的差异仍处于运行波动范围内，尚不足以形成可靠排序。</w:t>
      </w:r>
    </w:p>
    <w:p w14:paraId="3D92B92B">
      <w:pPr>
        <w:pStyle w:val="48"/>
        <w:keepNext w:val="0"/>
        <w:keepLines w:val="0"/>
        <w:widowControl/>
        <w:suppressLineNumbers w:val="0"/>
        <w:spacing w:before="0" w:beforeAutospacing="1" w:after="0" w:afterAutospacing="1" w:line="269" w:lineRule="auto"/>
        <w:ind w:left="0" w:right="0" w:firstLine="420" w:firstLineChars="200"/>
        <w:jc w:val="both"/>
        <w:rPr>
          <w:rFonts w:ascii="Times New Roman" w:hAnsi="Times New Roman" w:eastAsia="宋体" w:cs="Times New Roman"/>
          <w:color w:val="000000"/>
          <w:kern w:val="0"/>
          <w:sz w:val="21"/>
          <w:szCs w:val="24"/>
          <w:lang w:val="en-US" w:eastAsia="zh-CN" w:bidi="ar-SA"/>
        </w:rPr>
      </w:pPr>
      <w:r>
        <w:rPr>
          <w:rFonts w:ascii="Times New Roman" w:hAnsi="Times New Roman" w:eastAsia="宋体" w:cs="Times New Roman"/>
          <w:color w:val="000000"/>
          <w:kern w:val="0"/>
          <w:sz w:val="21"/>
          <w:szCs w:val="24"/>
          <w:lang w:val="en-US" w:eastAsia="zh-CN" w:bidi="ar-SA"/>
        </w:rPr>
        <w:t>当前研究仍存在一定局限：（i）合成网络每个条件仅重复5次，真实网络尚未开展重复实验；（ii）模型后端仅覆盖 DeepSeek 同族模型，跨厂商与本地开源模型的适用性有待验证；（iii）最大实测规模为1,000个节点；（iv）真实网络仅涉及单个 Facebook ego-network，且人设、传播文本与行为规则尚未通过真实传播数据校准。后续研究将进一步扩大重复次数与网络规模，开展跨模型、跨平台和多真实网络验证，并结合真实传播轨迹与人类行为数据进行参数校准，从而系统提升 LEDS 的统计稳健性、可扩展性与经验效度。</w:t>
      </w:r>
    </w:p>
    <w:p w14:paraId="2D53BFDF">
      <w:pPr>
        <w:pStyle w:val="43"/>
        <w:keepNext/>
        <w:pageBreakBefore w:val="0"/>
        <w:spacing w:before="160" w:after="80"/>
        <w:ind w:left="0" w:firstLine="0"/>
        <w:jc w:val="left"/>
        <w:rPr>
          <w:lang w:eastAsia="zh-CN"/>
        </w:rPr>
      </w:pPr>
      <w:r>
        <w:rPr>
          <w:rFonts w:ascii="Times New Roman" w:hAnsi="Times New Roman" w:eastAsia="黑体"/>
          <w:b w:val="0"/>
          <w:sz w:val="28"/>
        </w:rPr>
        <w:t>伦理声明</w:t>
      </w:r>
    </w:p>
    <w:p w14:paraId="2FFCEA82">
      <w:pPr>
        <w:pStyle w:val="43"/>
        <w:keepNext/>
        <w:pageBreakBefore w:val="0"/>
        <w:spacing w:before="160" w:after="80"/>
        <w:ind w:left="0" w:firstLine="0"/>
        <w:jc w:val="left"/>
        <w:rPr>
          <w:lang w:eastAsia="zh-CN"/>
        </w:rPr>
      </w:pPr>
      <w:r>
        <w:t>数据与代码可获得性声明：本文实验脚本、冻结配置、结果汇总、状态机日志、图表和判定记录缓存均随稿件材料保存。为避免真实 API 密钥泄露，提交材料不包含 .env 私密文件；响应缓存发布前需按期刊与伦理要求进行脱敏处理。</w:t>
      </w:r>
    </w:p>
    <w:p w14:paraId="00F4A3A9">
      <w:pPr>
        <w:pStyle w:val="48"/>
        <w:widowControl/>
        <w:spacing w:before="0" w:after="0" w:line="269" w:lineRule="auto"/>
        <w:ind w:left="0" w:right="0" w:firstLine="420"/>
        <w:jc w:val="both"/>
        <w:rPr>
          <w:lang w:eastAsia="zh-CN"/>
        </w:rPr>
      </w:pPr>
      <w:r>
        <w:rPr>
          <w:rFonts w:ascii="Times New Roman" w:hAnsi="Times New Roman" w:eastAsia="宋体"/>
          <w:sz w:val="21"/>
          <w:lang w:eastAsia="zh-CN"/>
        </w:rPr>
        <w:t>本研究所用的传播内容（“长期佩戴新型 AR 眼镜会导致短期隐性记忆丧失”及其配套辟谣声明，见附录A的S2）均为</w:t>
      </w:r>
      <w:r>
        <w:rPr>
          <w:rFonts w:ascii="Times New Roman" w:hAnsi="Times New Roman" w:eastAsia="宋体"/>
          <w:b/>
          <w:bCs/>
          <w:sz w:val="21"/>
          <w:lang w:eastAsia="zh-CN"/>
        </w:rPr>
        <w:t>为实验目的虚构的合成信息</w:t>
      </w:r>
      <w:r>
        <w:rPr>
          <w:rFonts w:ascii="Times New Roman" w:hAnsi="Times New Roman" w:eastAsia="宋体"/>
          <w:sz w:val="21"/>
          <w:lang w:eastAsia="zh-CN"/>
        </w:rPr>
        <w:t>，不指向任何真实产品、机构或个人，亦未在任何真实社交平台发布或传播。全部智能体、网络拓扑与人设均为程序生成的合成对象，实验不涉及真实人类被试、个人数据或受保护群体。本文对错误信息传播与干预的研究目的在于评估信息治理策略（如事实核查员的空间部署），其结论用于支持而非削弱对虚假信息的防御；我们不提供任何可用于放大真实错误信息传播的资料。</w:t>
      </w:r>
    </w:p>
    <w:p w14:paraId="369F3C3C">
      <w:pPr>
        <w:pStyle w:val="43"/>
        <w:keepNext/>
        <w:pageBreakBefore w:val="0"/>
        <w:spacing w:before="160" w:after="80"/>
        <w:ind w:left="0" w:firstLine="0"/>
        <w:jc w:val="left"/>
      </w:pPr>
      <w:r>
        <w:rPr>
          <w:rFonts w:ascii="Times New Roman" w:hAnsi="Times New Roman" w:eastAsia="黑体"/>
          <w:b w:val="0"/>
          <w:sz w:val="28"/>
        </w:rPr>
        <w:t>参考文献</w:t>
      </w:r>
    </w:p>
    <w:p w14:paraId="151BB26A">
      <w:pPr>
        <w:pStyle w:val="44"/>
        <w:keepLines/>
        <w:spacing w:after="0"/>
      </w:pPr>
      <w:r>
        <w:rPr>
          <w:rFonts w:ascii="Times New Roman" w:hAnsi="Times New Roman" w:eastAsia="宋体"/>
          <w:sz w:val="16"/>
        </w:rPr>
        <w:t>1 CENTOLA D. The spread of behavior in an online social network experiment[J]. Science, 2010, 329(5996): 1194-1197.</w:t>
      </w:r>
    </w:p>
    <w:p w14:paraId="660BA706">
      <w:pPr>
        <w:pStyle w:val="44"/>
        <w:keepLines/>
        <w:spacing w:after="0"/>
      </w:pPr>
      <w:r>
        <w:rPr>
          <w:rFonts w:ascii="Times New Roman" w:hAnsi="Times New Roman" w:eastAsia="宋体"/>
          <w:sz w:val="16"/>
        </w:rPr>
        <w:t>2 ZHAO W X, ZHOU K, LI J, et al. A survey of large language models[EB/OL]. arXiv:2303.18223, 2023[2026-07-25]. https://arxiv.org/abs/2303.18223.</w:t>
      </w:r>
    </w:p>
    <w:p w14:paraId="04332A15">
      <w:pPr>
        <w:pStyle w:val="44"/>
        <w:keepLines/>
        <w:spacing w:after="0"/>
      </w:pPr>
      <w:r>
        <w:rPr>
          <w:rFonts w:ascii="Times New Roman" w:hAnsi="Times New Roman" w:eastAsia="宋体"/>
          <w:sz w:val="16"/>
        </w:rPr>
        <w:t>3 WEI J, WANG X, SCHUURMANS D, et al. Chain-of-thought prompting elicits reasoning in large language models[C]//Advances in Neural Information Processing Systems: Vol 35. 2022: 24824-24837.</w:t>
      </w:r>
    </w:p>
    <w:p w14:paraId="0D348759">
      <w:pPr>
        <w:pStyle w:val="44"/>
        <w:keepLines/>
        <w:spacing w:after="0"/>
      </w:pPr>
      <w:r>
        <w:rPr>
          <w:rFonts w:ascii="Times New Roman" w:hAnsi="Times New Roman" w:eastAsia="宋体"/>
          <w:sz w:val="16"/>
        </w:rPr>
        <w:t>4 XI Z, CHEN W, GUO X, et al. The rise and potential of large language model based agents: a survey[EB/OL]. arXiv:2309.07864, 2023[2026-07-25]. https://arxiv.org/abs/2309.07864.</w:t>
      </w:r>
    </w:p>
    <w:p w14:paraId="7AB30BBE">
      <w:pPr>
        <w:pStyle w:val="44"/>
        <w:keepLines/>
        <w:spacing w:after="0"/>
      </w:pPr>
      <w:r>
        <w:rPr>
          <w:rFonts w:ascii="Times New Roman" w:hAnsi="Times New Roman" w:eastAsia="宋体"/>
          <w:sz w:val="16"/>
        </w:rPr>
        <w:t>5 PARK J S, O’BRIEN J C, CAI C J, et al. Generative agents: interactive simulacra of human behavior[C]//Proceedings of the 36th Annual ACM Symposium on User Interface Software and Technology. New York: ACM, 2023: 1-22.</w:t>
      </w:r>
    </w:p>
    <w:p w14:paraId="0201ECEF">
      <w:pPr>
        <w:pStyle w:val="44"/>
        <w:keepLines/>
        <w:spacing w:after="0"/>
      </w:pPr>
      <w:r>
        <w:rPr>
          <w:rFonts w:ascii="Times New Roman" w:hAnsi="Times New Roman" w:eastAsia="宋体"/>
          <w:sz w:val="16"/>
        </w:rPr>
        <w:t>6 GAO C, LAN X, LI N, et al. Large language models empowered agent-based modeling and simulation: a survey and perspectives[J]. Humanities and Social Sciences Communications, 2024, 11(1): 1259. DOI:10.1057/s41599-024-03611-3.</w:t>
      </w:r>
    </w:p>
    <w:p w14:paraId="4A140A06">
      <w:pPr>
        <w:pStyle w:val="44"/>
        <w:keepLines/>
        <w:spacing w:after="0"/>
      </w:pPr>
      <w:r>
        <w:rPr>
          <w:rFonts w:ascii="Times New Roman" w:hAnsi="Times New Roman" w:eastAsia="宋体"/>
          <w:sz w:val="16"/>
        </w:rPr>
        <w:t>7 CHUANG Y S, GOYAL A, HARLALKA N, et al. Simulating opinion dynamics with networks of LLM-based agents[C]//Findings of the Association for Computational Linguistics: NAACL 2024. Stroudsburg: Association for Computational Linguistics, 2024: 3326-3346. DOI:10.18653/v1/2024.findings-naacl.211.</w:t>
      </w:r>
    </w:p>
    <w:p w14:paraId="7C97BF89">
      <w:pPr>
        <w:pStyle w:val="44"/>
        <w:keepLines/>
        <w:spacing w:after="0"/>
      </w:pPr>
      <w:r>
        <w:rPr>
          <w:rFonts w:ascii="Times New Roman" w:hAnsi="Times New Roman" w:eastAsia="宋体"/>
          <w:sz w:val="16"/>
        </w:rPr>
        <w:t>8 HU T, COLLIER N. Quantifying the persona effect in LLM simulations[C]//Proceedings of the 62nd Annual Meeting of the Association for Computational Linguistics. Stroudsburg: Association for Computational Linguistics, 2024: 10289-10307. DOI:10.18653/v1/2024.acl-long.554.</w:t>
      </w:r>
    </w:p>
    <w:p w14:paraId="13782277">
      <w:pPr>
        <w:pStyle w:val="44"/>
        <w:keepLines/>
        <w:spacing w:after="0"/>
      </w:pPr>
      <w:r>
        <w:rPr>
          <w:rFonts w:ascii="Times New Roman" w:hAnsi="Times New Roman" w:eastAsia="宋体"/>
          <w:sz w:val="16"/>
        </w:rPr>
        <w:t>9 QU Y, WANG J. Performance and biases of large language models in public opinion simulation[J]. Humanities and Social Sciences Communications, 2024, 11(1): 1096. DOI:10.1057/s41599-024-03609-x.</w:t>
      </w:r>
    </w:p>
    <w:p w14:paraId="4536F23B">
      <w:pPr>
        <w:pStyle w:val="44"/>
        <w:keepLines/>
        <w:spacing w:after="0"/>
      </w:pPr>
      <w:r>
        <w:rPr>
          <w:rFonts w:ascii="Times New Roman" w:hAnsi="Times New Roman" w:eastAsia="宋体"/>
          <w:sz w:val="16"/>
        </w:rPr>
        <w:t>10 ZHANG L, HU Y, LI W, et al. LLM-AIDSim: LLM-enhanced agent-based influence diffusion simulation in social networks[J]. Systems, 2025, 13(1): 29. DOI:10.3390/systems13010029.</w:t>
      </w:r>
    </w:p>
    <w:p w14:paraId="31DDE807">
      <w:pPr>
        <w:pStyle w:val="44"/>
        <w:keepLines/>
        <w:spacing w:after="0"/>
      </w:pPr>
      <w:r>
        <w:rPr>
          <w:rFonts w:ascii="Times New Roman" w:hAnsi="Times New Roman" w:eastAsia="宋体"/>
          <w:sz w:val="16"/>
        </w:rPr>
        <w:t>11 LAROOIJ M, TÖRNBERG P. Validation is the central challenge for generative social simulation: a critical review of LLMs in agent-based modeling[J]. Artificial Intelligence Review, 2025, 59(1). DOI:10.1007/s10462-025-11412-6.</w:t>
      </w:r>
    </w:p>
    <w:p w14:paraId="16BD7AB0">
      <w:pPr>
        <w:pStyle w:val="44"/>
        <w:keepLines/>
        <w:spacing w:after="0"/>
      </w:pPr>
      <w:r>
        <w:rPr>
          <w:rFonts w:ascii="Times New Roman" w:hAnsi="Times New Roman" w:eastAsia="宋体"/>
          <w:sz w:val="16"/>
        </w:rPr>
        <w:t>12 WATTS D J, STROGATZ S H. Collective dynamics of ‘small-world’ networks[J]. Nature, 1998, 393(6684): 440-442.</w:t>
      </w:r>
    </w:p>
    <w:p w14:paraId="2D003340">
      <w:pPr>
        <w:pStyle w:val="44"/>
        <w:keepLines/>
        <w:spacing w:after="0"/>
      </w:pPr>
      <w:r>
        <w:rPr>
          <w:rFonts w:ascii="Times New Roman" w:hAnsi="Times New Roman" w:eastAsia="宋体"/>
          <w:sz w:val="16"/>
        </w:rPr>
        <w:t>13 BARABÁSI A L, ALBERT R. Emergence of scaling in random networks[J]. Science, 1999, 286(5439): 509-512.</w:t>
      </w:r>
    </w:p>
    <w:p w14:paraId="11F95726">
      <w:pPr>
        <w:pStyle w:val="44"/>
        <w:keepLines/>
        <w:spacing w:after="0"/>
      </w:pPr>
      <w:r>
        <w:rPr>
          <w:rFonts w:ascii="Times New Roman" w:hAnsi="Times New Roman" w:eastAsia="宋体"/>
          <w:sz w:val="16"/>
        </w:rPr>
        <w:t>14 VOSOUGHI S, ROY D, ARAL S. The spread of true and false news online[J]. Science, 2018, 359(6380): 1146-1151.</w:t>
      </w:r>
    </w:p>
    <w:p w14:paraId="145BB4C1">
      <w:pPr>
        <w:pStyle w:val="44"/>
        <w:keepLines/>
        <w:spacing w:after="0"/>
      </w:pPr>
      <w:r>
        <w:rPr>
          <w:rFonts w:ascii="Times New Roman" w:hAnsi="Times New Roman" w:eastAsia="宋体"/>
          <w:sz w:val="16"/>
        </w:rPr>
        <w:t>15 KEMPE D, KLEINBERG J, TARDOS É. Maximizing the spread of influence through a social network[C]//Proceedings of the Ninth ACM SIGKDD International Conference on Knowledge Discovery and Data Mining. New York: ACM, 2003: 137-146.</w:t>
      </w:r>
    </w:p>
    <w:p w14:paraId="1F1ED29E">
      <w:pPr>
        <w:pStyle w:val="44"/>
        <w:keepLines/>
        <w:spacing w:after="0"/>
      </w:pPr>
      <w:r>
        <w:rPr>
          <w:rFonts w:ascii="Times New Roman" w:hAnsi="Times New Roman" w:eastAsia="宋体"/>
          <w:sz w:val="16"/>
        </w:rPr>
        <w:t>16 ZHAO W X, ZHOU K, LI J, et al. A survey of large language models[J]. Frontiers of Computer Science, 2026, 20(12). DOI:10.1007/s11704-026-60308-3.</w:t>
      </w:r>
    </w:p>
    <w:p w14:paraId="7E30243F">
      <w:pPr>
        <w:pStyle w:val="44"/>
        <w:keepLines/>
        <w:spacing w:after="0"/>
      </w:pPr>
      <w:r>
        <w:rPr>
          <w:rFonts w:ascii="Times New Roman" w:hAnsi="Times New Roman" w:eastAsia="宋体"/>
          <w:sz w:val="16"/>
        </w:rPr>
        <w:t>17 OUYANG L, WU J, JIANG X, et al. Training language models to follow instructions with human feedback[C]//Advances in Neural Information Processing Systems: Vol 35. 2022: 27730-27744.</w:t>
      </w:r>
    </w:p>
    <w:p w14:paraId="2FB834DB">
      <w:pPr>
        <w:pStyle w:val="43"/>
        <w:keepNext/>
        <w:pageBreakBefore w:val="0"/>
        <w:spacing w:before="160" w:after="80"/>
        <w:ind w:left="0" w:firstLine="0"/>
        <w:jc w:val="left"/>
      </w:pPr>
      <w:r>
        <w:rPr>
          <w:rFonts w:ascii="Times New Roman" w:hAnsi="Times New Roman" w:eastAsia="黑体"/>
          <w:b w:val="0"/>
          <w:sz w:val="28"/>
        </w:rPr>
        <w:t>附录A 复现材料（Prompt模板、JSON Schema与人设定义）</w:t>
      </w:r>
    </w:p>
    <w:p w14:paraId="31862A07">
      <w:pPr>
        <w:pStyle w:val="48"/>
        <w:widowControl/>
        <w:spacing w:before="0" w:after="0" w:line="269" w:lineRule="auto"/>
        <w:ind w:left="0" w:right="0" w:firstLine="420"/>
        <w:jc w:val="both"/>
      </w:pPr>
      <w:r>
        <w:rPr>
          <w:rFonts w:ascii="Times New Roman" w:hAnsi="Times New Roman" w:eastAsia="宋体"/>
          <w:sz w:val="21"/>
        </w:rPr>
        <w:t>本附录收录判别内核的完整输入输出契约，内容与实验实现保持一致，供审稿人与复现者逐项核对。</w:t>
      </w:r>
    </w:p>
    <w:p w14:paraId="059EAD9F">
      <w:pPr>
        <w:pStyle w:val="46"/>
        <w:keepNext/>
        <w:pageBreakBefore w:val="0"/>
        <w:spacing w:before="100" w:after="40"/>
        <w:ind w:firstLine="0"/>
        <w:jc w:val="left"/>
      </w:pPr>
      <w:r>
        <w:rPr>
          <w:rFonts w:ascii="Times New Roman" w:hAnsi="Times New Roman" w:eastAsia="黑体"/>
          <w:b/>
          <w:sz w:val="21"/>
        </w:rPr>
        <w:t>A.1 离散信念状态与动作枚举</w:t>
      </w:r>
    </w:p>
    <w:p w14:paraId="39DB0769">
      <w:pPr>
        <w:pStyle w:val="48"/>
        <w:widowControl/>
        <w:spacing w:before="0" w:after="0" w:line="269" w:lineRule="auto"/>
        <w:ind w:left="0" w:right="0" w:firstLine="420"/>
        <w:jc w:val="both"/>
      </w:pPr>
      <w:r>
        <w:rPr>
          <w:rFonts w:ascii="Times New Roman" w:hAnsi="Times New Roman" w:eastAsia="宋体"/>
          <w:sz w:val="21"/>
        </w:rPr>
        <w:t>系统将节点认知严格限制在有界离散集合内（对应正文 3.5 节状态空间有界性）：</w:t>
      </w:r>
    </w:p>
    <w:p w14:paraId="3CC0E3C6">
      <w:pPr>
        <w:pStyle w:val="48"/>
        <w:widowControl/>
        <w:spacing w:before="0" w:after="0" w:line="252" w:lineRule="auto"/>
        <w:ind w:left="200" w:right="0" w:firstLine="0"/>
        <w:jc w:val="left"/>
      </w:pPr>
      <w:r>
        <w:rPr>
          <w:rFonts w:ascii="Times New Roman" w:hAnsi="Times New Roman" w:eastAsia="宋体"/>
          <w:b/>
          <w:bCs/>
          <w:sz w:val="21"/>
        </w:rPr>
        <w:t>• 信念状态 (stance)：</w:t>
      </w:r>
      <w:r>
        <w:rPr>
          <w:rFonts w:ascii="Times New Roman" w:hAnsi="Times New Roman" w:eastAsia="宋体"/>
          <w:sz w:val="21"/>
        </w:rPr>
        <w:t xml:space="preserve"> </w:t>
      </w:r>
      <m:oMath>
        <m:r>
          <m:rPr/>
          <m:t>S</m:t>
        </m:r>
        <m:r>
          <m:rPr>
            <m:sty m:val="p"/>
          </m:rPr>
          <m:t>∈{</m:t>
        </m:r>
        <m:r>
          <m:rPr>
            <m:nor/>
            <m:sty m:val="p"/>
            <m:scr m:val="monospace"/>
          </m:rPr>
          <w:rPr>
            <w:b w:val="0"/>
            <w:i w:val="0"/>
          </w:rPr>
          <m:t>Accept</m:t>
        </m:r>
        <m:r>
          <m:rPr>
            <m:sty m:val="p"/>
          </m:rPr>
          <m:t>,</m:t>
        </m:r>
        <m:r>
          <m:rPr/>
          <m:t> </m:t>
        </m:r>
        <m:r>
          <m:rPr>
            <m:nor/>
            <m:sty m:val="p"/>
            <m:scr m:val="monospace"/>
          </m:rPr>
          <w:rPr>
            <w:b w:val="0"/>
            <w:i w:val="0"/>
          </w:rPr>
          <m:t>Reject</m:t>
        </m:r>
        <m:r>
          <m:rPr>
            <m:sty m:val="p"/>
          </m:rPr>
          <m:t>,</m:t>
        </m:r>
        <m:r>
          <m:rPr/>
          <m:t> </m:t>
        </m:r>
        <m:r>
          <m:rPr>
            <m:nor/>
            <m:sty m:val="p"/>
            <m:scr m:val="monospace"/>
          </m:rPr>
          <w:rPr>
            <w:b w:val="0"/>
            <w:i w:val="0"/>
          </w:rPr>
          <m:t>Neutral</m:t>
        </m:r>
        <m:r>
          <m:rPr>
            <m:sty m:val="p"/>
          </m:rPr>
          <m:t>}</m:t>
        </m:r>
      </m:oMath>
      <w:r>
        <w:rPr>
          <w:rFonts w:ascii="Times New Roman" w:hAnsi="Times New Roman" w:eastAsia="宋体"/>
          <w:sz w:val="21"/>
        </w:rPr>
        <w:t>（相信 / 不信 / 存疑）</w:t>
      </w:r>
    </w:p>
    <w:p w14:paraId="2B2ABF86">
      <w:pPr>
        <w:pStyle w:val="48"/>
        <w:widowControl/>
        <w:spacing w:before="0" w:after="0" w:line="252" w:lineRule="auto"/>
        <w:ind w:left="200" w:right="0" w:firstLine="0"/>
        <w:jc w:val="left"/>
      </w:pPr>
      <w:r>
        <w:rPr>
          <w:rFonts w:ascii="Times New Roman" w:hAnsi="Times New Roman" w:eastAsia="宋体"/>
          <w:b/>
          <w:bCs/>
          <w:sz w:val="21"/>
        </w:rPr>
        <w:t>• 对外动作 (action)：</w:t>
      </w:r>
      <w:r>
        <w:rPr>
          <w:rFonts w:ascii="Times New Roman" w:hAnsi="Times New Roman" w:eastAsia="宋体"/>
          <w:sz w:val="21"/>
        </w:rPr>
        <w:t xml:space="preserve"> </w:t>
      </w:r>
      <m:oMath>
        <m:r>
          <m:rPr/>
          <m:t>A</m:t>
        </m:r>
        <m:r>
          <m:rPr>
            <m:sty m:val="p"/>
          </m:rPr>
          <m:t>∈{</m:t>
        </m:r>
        <m:r>
          <m:rPr>
            <m:nor/>
            <m:sty m:val="p"/>
            <m:scr m:val="monospace"/>
          </m:rPr>
          <w:rPr>
            <w:b w:val="0"/>
            <w:i w:val="0"/>
          </w:rPr>
          <m:t>Share</m:t>
        </m:r>
        <m:r>
          <m:rPr>
            <m:sty m:val="p"/>
          </m:rPr>
          <m:t>,</m:t>
        </m:r>
        <m:r>
          <m:rPr/>
          <m:t> </m:t>
        </m:r>
        <m:r>
          <m:rPr>
            <m:nor/>
            <m:sty m:val="p"/>
            <m:scr m:val="monospace"/>
          </m:rPr>
          <w:rPr>
            <w:b w:val="0"/>
            <w:i w:val="0"/>
          </w:rPr>
          <m:t>Ignore</m:t>
        </m:r>
        <m:r>
          <m:rPr>
            <m:sty m:val="p"/>
          </m:rPr>
          <m:t>,</m:t>
        </m:r>
        <m:r>
          <m:rPr/>
          <m:t> </m:t>
        </m:r>
        <m:r>
          <m:rPr>
            <m:nor/>
            <m:sty m:val="p"/>
            <m:scr m:val="monospace"/>
          </m:rPr>
          <w:rPr>
            <w:b w:val="0"/>
            <w:i w:val="0"/>
          </w:rPr>
          <m:t>Debunk</m:t>
        </m:r>
        <m:r>
          <m:rPr>
            <m:sty m:val="p"/>
          </m:rPr>
          <m:t>}</m:t>
        </m:r>
      </m:oMath>
      <w:r>
        <w:rPr>
          <w:rFonts w:ascii="Times New Roman" w:hAnsi="Times New Roman" w:eastAsia="宋体"/>
          <w:sz w:val="21"/>
        </w:rPr>
        <w:t>（转发谣言 / 不传播 / 发送辟谣，仅核查员可用）</w:t>
      </w:r>
    </w:p>
    <w:p w14:paraId="215EA262">
      <w:pPr>
        <w:pStyle w:val="48"/>
        <w:widowControl/>
        <w:spacing w:before="0" w:after="0" w:line="252" w:lineRule="auto"/>
        <w:ind w:left="200" w:right="0" w:firstLine="0"/>
        <w:jc w:val="left"/>
      </w:pPr>
      <w:r>
        <w:rPr>
          <w:rFonts w:ascii="Times New Roman" w:hAnsi="Times New Roman" w:eastAsia="宋体"/>
          <w:b/>
          <w:bCs/>
          <w:sz w:val="21"/>
        </w:rPr>
        <w:t>• 消息类型 (message type)：</w:t>
      </w:r>
      <w:r>
        <w:rPr>
          <w:rFonts w:ascii="Times New Roman" w:hAnsi="Times New Roman" w:eastAsia="宋体"/>
          <w:sz w:val="21"/>
        </w:rPr>
        <w:t xml:space="preserve"> </w:t>
      </w:r>
      <m:oMath>
        <m:r>
          <m:rPr/>
          <m:t>M</m:t>
        </m:r>
        <m:r>
          <m:rPr>
            <m:sty m:val="p"/>
          </m:rPr>
          <m:t>∈{</m:t>
        </m:r>
        <m:r>
          <m:rPr>
            <m:nor/>
            <m:sty m:val="p"/>
            <m:scr m:val="monospace"/>
          </m:rPr>
          <w:rPr>
            <w:b w:val="0"/>
            <w:i w:val="0"/>
          </w:rPr>
          <m:t>RUMOR</m:t>
        </m:r>
        <m:r>
          <m:rPr>
            <m:sty m:val="p"/>
          </m:rPr>
          <m:t>,</m:t>
        </m:r>
        <m:r>
          <m:rPr/>
          <m:t> </m:t>
        </m:r>
        <m:r>
          <m:rPr>
            <m:nor/>
            <m:sty m:val="p"/>
            <m:scr m:val="monospace"/>
          </m:rPr>
          <w:rPr>
            <w:b w:val="0"/>
            <w:i w:val="0"/>
          </w:rPr>
          <m:t>DEBUNK</m:t>
        </m:r>
        <m:r>
          <m:rPr>
            <m:sty m:val="p"/>
          </m:rPr>
          <m:t>}</m:t>
        </m:r>
      </m:oMath>
    </w:p>
    <w:p w14:paraId="27DE88B0">
      <w:pPr>
        <w:pStyle w:val="48"/>
        <w:widowControl/>
        <w:spacing w:before="0" w:after="0" w:line="269" w:lineRule="auto"/>
        <w:ind w:left="0" w:right="0" w:firstLine="420"/>
        <w:jc w:val="both"/>
      </w:pPr>
      <w:r>
        <w:rPr>
          <w:rFonts w:ascii="Times New Roman" w:hAnsi="Times New Roman" w:eastAsia="宋体"/>
          <w:sz w:val="21"/>
        </w:rPr>
        <w:t>任何越出上述枚举集的输出都会在解析层被判为非法并触发校验失败（对应正文 3.1 节 Stage 2 的强制 JSON 输出判定）。</w:t>
      </w:r>
    </w:p>
    <w:p w14:paraId="68D9734A">
      <w:pPr>
        <w:pStyle w:val="46"/>
        <w:keepNext/>
        <w:pageBreakBefore w:val="0"/>
        <w:spacing w:before="100" w:after="40"/>
        <w:ind w:firstLine="0"/>
        <w:jc w:val="left"/>
      </w:pPr>
      <w:r>
        <w:rPr>
          <w:rFonts w:ascii="Times New Roman" w:hAnsi="Times New Roman" w:eastAsia="黑体"/>
          <w:b/>
          <w:sz w:val="21"/>
        </w:rPr>
        <w:t>A.2 传播内容</w:t>
      </w:r>
    </w:p>
    <w:p w14:paraId="4223D6BE">
      <w:pPr>
        <w:pStyle w:val="48"/>
        <w:widowControl/>
        <w:spacing w:before="0" w:after="0" w:line="252" w:lineRule="auto"/>
        <w:ind w:left="200" w:right="0" w:firstLine="0"/>
        <w:jc w:val="left"/>
      </w:pPr>
      <w:r>
        <w:rPr>
          <w:rFonts w:ascii="Times New Roman" w:hAnsi="Times New Roman" w:eastAsia="宋体"/>
          <w:b/>
          <w:bCs/>
          <w:sz w:val="21"/>
        </w:rPr>
        <w:t>• 谣言 (RUMOR_CONTENT)：</w:t>
      </w:r>
      <w:r>
        <w:rPr>
          <w:rFonts w:ascii="Times New Roman" w:hAnsi="Times New Roman" w:eastAsia="宋体"/>
          <w:sz w:val="21"/>
        </w:rPr>
        <w:t xml:space="preserve"> “最新研究声称：长期佩戴新型AR眼镜会导致短期隐性记忆丧失。”</w:t>
      </w:r>
    </w:p>
    <w:p w14:paraId="5FCD8180">
      <w:pPr>
        <w:pStyle w:val="48"/>
        <w:widowControl/>
        <w:spacing w:before="0" w:after="0" w:line="252" w:lineRule="auto"/>
        <w:ind w:left="200" w:right="0" w:firstLine="0"/>
        <w:jc w:val="left"/>
      </w:pPr>
      <w:r>
        <w:rPr>
          <w:rFonts w:ascii="Times New Roman" w:hAnsi="Times New Roman" w:eastAsia="宋体"/>
          <w:b/>
          <w:bCs/>
          <w:sz w:val="21"/>
        </w:rPr>
        <w:t>• 辟谣 (DEBUNK_CONTENT)：</w:t>
      </w:r>
      <w:r>
        <w:rPr>
          <w:rFonts w:ascii="Times New Roman" w:hAnsi="Times New Roman" w:eastAsia="宋体"/>
          <w:sz w:val="21"/>
        </w:rPr>
        <w:t xml:space="preserve"> “事实核查声明：经权威机构核实，‘长期佩戴新型AR眼镜导致短期隐性记忆丧失’的说法缺乏任何科学依据，属于虚假信息，请勿传播。”</w:t>
      </w:r>
    </w:p>
    <w:p w14:paraId="6E0268BB">
      <w:pPr>
        <w:pStyle w:val="46"/>
        <w:keepNext/>
        <w:pageBreakBefore w:val="0"/>
        <w:spacing w:before="100" w:after="40"/>
        <w:ind w:firstLine="0"/>
        <w:jc w:val="left"/>
      </w:pPr>
      <w:r>
        <w:rPr>
          <w:rFonts w:ascii="Times New Roman" w:hAnsi="Times New Roman" w:eastAsia="黑体"/>
          <w:b/>
          <w:sz w:val="21"/>
        </w:rPr>
        <w:t>A.3 System Prompt</w:t>
      </w:r>
    </w:p>
    <w:p w14:paraId="5149E28D">
      <w:pPr>
        <w:pStyle w:val="48"/>
        <w:keepLines/>
        <w:spacing w:before="40" w:after="60" w:line="240" w:lineRule="auto"/>
        <w:ind w:left="0" w:right="0" w:firstLine="0"/>
        <w:jc w:val="left"/>
      </w:pPr>
      <w:r>
        <w:rPr>
          <w:rFonts w:ascii="Courier New" w:hAnsi="Courier New" w:eastAsia="宋体"/>
          <w:sz w:val="12"/>
        </w:rPr>
        <w:t>你是一个严格的逻辑状态机，扮演社会网络中的一个信息接收节点。你必须根据给定的</w:t>
      </w:r>
      <w:r>
        <w:rPr>
          <w:rFonts w:ascii="Courier New" w:hAnsi="Courier New" w:eastAsia="宋体"/>
          <w:sz w:val="12"/>
        </w:rPr>
        <w:br w:type="textWrapping"/>
      </w:r>
      <w:r>
        <w:rPr>
          <w:rFonts w:ascii="Courier New" w:hAnsi="Courier New" w:eastAsia="宋体"/>
          <w:sz w:val="12"/>
        </w:rPr>
        <w:t>人设、当前信念状态和新收到的消息，输出你的下一信念状态与动作。严格仅输出如下</w:t>
      </w:r>
      <w:r>
        <w:rPr>
          <w:rFonts w:ascii="Courier New" w:hAnsi="Courier New" w:eastAsia="宋体"/>
          <w:sz w:val="12"/>
        </w:rPr>
        <w:br w:type="textWrapping"/>
      </w:r>
      <w:r>
        <w:rPr>
          <w:rFonts w:ascii="Courier New" w:hAnsi="Courier New" w:eastAsia="宋体"/>
          <w:sz w:val="12"/>
        </w:rPr>
        <w:t>JSON 格式，不要输出其他任何字符（包括解释、Markdown 代码块标记）：</w:t>
      </w:r>
      <w:r>
        <w:rPr>
          <w:rFonts w:ascii="Courier New" w:hAnsi="Courier New" w:eastAsia="宋体"/>
          <w:sz w:val="12"/>
        </w:rPr>
        <w:br w:type="textWrapping"/>
      </w:r>
      <w:r>
        <w:rPr>
          <w:rFonts w:ascii="Courier New" w:hAnsi="Courier New" w:eastAsia="宋体"/>
          <w:sz w:val="12"/>
        </w:rPr>
        <w:t>{"stance": "Accept|Reject|Neutral", "action": "Share|Ignore|Debunk"}</w:t>
      </w:r>
      <w:r>
        <w:rPr>
          <w:rFonts w:ascii="Courier New" w:hAnsi="Courier New" w:eastAsia="宋体"/>
          <w:sz w:val="12"/>
        </w:rPr>
        <w:br w:type="textWrapping"/>
      </w:r>
      <w:r>
        <w:rPr>
          <w:rFonts w:ascii="Courier New" w:hAnsi="Courier New" w:eastAsia="宋体"/>
          <w:sz w:val="12"/>
        </w:rPr>
        <w:t>字段语义：stance 表示你对“AR眼镜致失忆”预警的信念（Accept=相信 / Reject=不信 /</w:t>
      </w:r>
      <w:r>
        <w:rPr>
          <w:rFonts w:ascii="Courier New" w:hAnsi="Courier New" w:eastAsia="宋体"/>
          <w:sz w:val="12"/>
        </w:rPr>
        <w:br w:type="textWrapping"/>
      </w:r>
      <w:r>
        <w:rPr>
          <w:rFonts w:ascii="Courier New" w:hAnsi="Courier New" w:eastAsia="宋体"/>
          <w:sz w:val="12"/>
        </w:rPr>
        <w:t>Neutral=存疑）；action 表示你本轮的对外动作（Share=向邻居转发该预警 / Ignore=不作</w:t>
      </w:r>
      <w:r>
        <w:rPr>
          <w:rFonts w:ascii="Courier New" w:hAnsi="Courier New" w:eastAsia="宋体"/>
          <w:sz w:val="12"/>
        </w:rPr>
        <w:br w:type="textWrapping"/>
      </w:r>
      <w:r>
        <w:rPr>
          <w:rFonts w:ascii="Courier New" w:hAnsi="Courier New" w:eastAsia="宋体"/>
          <w:sz w:val="12"/>
        </w:rPr>
        <w:t>任何传播 / Debunk=向邻居发送辟谣声明，仅核查员可用）。</w:t>
      </w:r>
    </w:p>
    <w:p w14:paraId="3990F112">
      <w:pPr>
        <w:pStyle w:val="46"/>
        <w:keepNext/>
        <w:pageBreakBefore w:val="0"/>
        <w:spacing w:before="100" w:after="40"/>
        <w:ind w:firstLine="0"/>
        <w:jc w:val="left"/>
      </w:pPr>
      <w:r>
        <w:rPr>
          <w:rFonts w:ascii="Times New Roman" w:hAnsi="Times New Roman" w:eastAsia="黑体"/>
          <w:b/>
          <w:sz w:val="21"/>
        </w:rPr>
        <w:t>A.4 User Prompt模板</w:t>
      </w:r>
    </w:p>
    <w:p w14:paraId="633138C9">
      <w:pPr>
        <w:pStyle w:val="48"/>
        <w:keepLines/>
        <w:spacing w:before="40" w:after="60" w:line="240" w:lineRule="auto"/>
        <w:ind w:left="0" w:right="0" w:firstLine="0"/>
        <w:jc w:val="left"/>
      </w:pPr>
      <w:r>
        <w:rPr>
          <w:rFonts w:ascii="Courier New" w:hAnsi="Courier New" w:eastAsia="宋体"/>
          <w:sz w:val="12"/>
        </w:rPr>
        <w:t>【你的人设】{人设标签}：{人设 Profile 全文（见 S6）}</w:t>
      </w:r>
      <w:r>
        <w:rPr>
          <w:rFonts w:ascii="Courier New" w:hAnsi="Courier New" w:eastAsia="宋体"/>
          <w:sz w:val="12"/>
        </w:rPr>
        <w:br w:type="textWrapping"/>
      </w:r>
      <w:r>
        <w:rPr>
          <w:rFonts w:ascii="Courier New" w:hAnsi="Courier New" w:eastAsia="宋体"/>
          <w:sz w:val="12"/>
        </w:rPr>
        <w:t>【你的当前信念状态 S_t】{Accept|Reject|Neutral}</w:t>
      </w:r>
      <w:r>
        <w:rPr>
          <w:rFonts w:ascii="Courier New" w:hAnsi="Courier New" w:eastAsia="宋体"/>
          <w:sz w:val="12"/>
        </w:rPr>
        <w:br w:type="textWrapping"/>
      </w:r>
      <w:r>
        <w:rPr>
          <w:rFonts w:ascii="Courier New" w:hAnsi="Courier New" w:eastAsia="宋体"/>
          <w:sz w:val="12"/>
        </w:rPr>
        <w:t>【累计信息曝光】你至今累计从 {rumor_count} 个不同邻居收到该风险预警；累计从</w:t>
      </w:r>
      <w:r>
        <w:rPr>
          <w:rFonts w:ascii="Courier New" w:hAnsi="Courier New" w:eastAsia="宋体"/>
          <w:sz w:val="12"/>
        </w:rPr>
        <w:br w:type="textWrapping"/>
      </w:r>
      <w:r>
        <w:rPr>
          <w:rFonts w:ascii="Courier New" w:hAnsi="Courier New" w:eastAsia="宋体"/>
          <w:sz w:val="12"/>
        </w:rPr>
        <w:t>{debunk_count} 个不同邻居收到辟谣声明。</w:t>
      </w:r>
      <w:r>
        <w:rPr>
          <w:rFonts w:ascii="Courier New" w:hAnsi="Courier New" w:eastAsia="宋体"/>
          <w:sz w:val="12"/>
        </w:rPr>
        <w:br w:type="textWrapping"/>
      </w:r>
      <w:r>
        <w:rPr>
          <w:rFonts w:ascii="Courier New" w:hAnsi="Courier New" w:eastAsia="宋体"/>
          <w:sz w:val="12"/>
        </w:rPr>
        <w:t>【本时间步新收到的消息 M_t】</w:t>
      </w:r>
      <w:r>
        <w:rPr>
          <w:rFonts w:ascii="Courier New" w:hAnsi="Courier New" w:eastAsia="宋体"/>
          <w:sz w:val="12"/>
        </w:rPr>
        <w:br w:type="textWrapping"/>
      </w:r>
      <w:r>
        <w:rPr>
          <w:rFonts w:ascii="Courier New" w:hAnsi="Courier New" w:eastAsia="宋体"/>
          <w:sz w:val="12"/>
        </w:rPr>
        <w:t>- 来自邻居节点 {sender} 的{风险预警(谣言)|权威辟谣声明}：{消息内容}</w:t>
      </w:r>
      <w:r>
        <w:rPr>
          <w:rFonts w:ascii="Courier New" w:hAnsi="Courier New" w:eastAsia="宋体"/>
          <w:sz w:val="12"/>
        </w:rPr>
        <w:br w:type="textWrapping"/>
      </w:r>
      <w:r>
        <w:rPr>
          <w:rFonts w:ascii="Courier New" w:hAnsi="Courier New" w:eastAsia="宋体"/>
          <w:sz w:val="12"/>
        </w:rPr>
        <w:t>（... 每条新消息一行 ...）</w:t>
      </w:r>
      <w:r>
        <w:rPr>
          <w:rFonts w:ascii="Courier New" w:hAnsi="Courier New" w:eastAsia="宋体"/>
          <w:sz w:val="12"/>
        </w:rPr>
        <w:br w:type="textWrapping"/>
      </w:r>
      <w:r>
        <w:rPr>
          <w:rFonts w:ascii="Courier New" w:hAnsi="Courier New" w:eastAsia="宋体"/>
          <w:sz w:val="12"/>
        </w:rPr>
        <w:t>请依据人设逻辑输出你的下一信念状态与动作（严格 JSON）。</w:t>
      </w:r>
    </w:p>
    <w:p w14:paraId="0CE414D1">
      <w:pPr>
        <w:pStyle w:val="48"/>
        <w:widowControl/>
        <w:spacing w:before="0" w:after="0" w:line="269" w:lineRule="auto"/>
        <w:ind w:left="0" w:right="0" w:firstLine="420"/>
        <w:jc w:val="both"/>
      </w:pPr>
      <w:r>
        <w:rPr>
          <w:rFonts w:ascii="Times New Roman" w:hAnsi="Times New Roman" w:eastAsia="宋体"/>
          <w:sz w:val="21"/>
        </w:rPr>
        <w:t>其中 rumor_count / debunk_count 为该节点累计收到该类消息的</w:t>
      </w:r>
      <w:r>
        <w:rPr>
          <w:rFonts w:ascii="Times New Roman" w:hAnsi="Times New Roman" w:eastAsia="宋体"/>
          <w:b/>
          <w:bCs/>
          <w:sz w:val="21"/>
        </w:rPr>
        <w:t>不同邻居数</w:t>
      </w:r>
      <w:r>
        <w:rPr>
          <w:rFonts w:ascii="Times New Roman" w:hAnsi="Times New Roman" w:eastAsia="宋体"/>
          <w:sz w:val="21"/>
        </w:rPr>
        <w:t xml:space="preserve">（作为内部信念状态 </w:t>
      </w:r>
      <m:oMath>
        <m:r>
          <m:rPr/>
          <m:t>S</m:t>
        </m:r>
      </m:oMath>
      <w:r>
        <w:rPr>
          <w:rFonts w:ascii="Times New Roman" w:hAnsi="Times New Roman" w:eastAsia="宋体"/>
          <w:sz w:val="21"/>
        </w:rPr>
        <w:t xml:space="preserve"> 的定量分量，支撑中立者的“多重信息源交叉验证”判定）。</w:t>
      </w:r>
    </w:p>
    <w:p w14:paraId="316B6CF0">
      <w:pPr>
        <w:pStyle w:val="46"/>
        <w:keepNext/>
        <w:pageBreakBefore w:val="0"/>
        <w:spacing w:before="100" w:after="40"/>
        <w:ind w:firstLine="0"/>
        <w:jc w:val="left"/>
      </w:pPr>
      <w:r>
        <w:rPr>
          <w:rFonts w:ascii="Times New Roman" w:hAnsi="Times New Roman" w:eastAsia="黑体"/>
          <w:b/>
          <w:sz w:val="21"/>
        </w:rPr>
        <w:t>A.5 输出JSON Schema</w:t>
      </w:r>
    </w:p>
    <w:p w14:paraId="0B0C4B44">
      <w:pPr>
        <w:pStyle w:val="48"/>
        <w:widowControl/>
        <w:spacing w:before="0" w:after="0" w:line="269" w:lineRule="auto"/>
        <w:ind w:left="0" w:right="0" w:firstLine="420"/>
        <w:jc w:val="both"/>
      </w:pPr>
      <w:r>
        <w:rPr>
          <w:rFonts w:ascii="Times New Roman" w:hAnsi="Times New Roman" w:eastAsia="宋体"/>
          <w:sz w:val="21"/>
        </w:rPr>
        <w:t>真实 API 调用时通过 response_format={"type": "json_object"} 施加，并在解析层用下述 schema 二次校验：</w:t>
      </w:r>
    </w:p>
    <w:p w14:paraId="41EB9F79">
      <w:pPr>
        <w:pStyle w:val="48"/>
        <w:keepLines/>
        <w:spacing w:before="40" w:after="60" w:line="240" w:lineRule="auto"/>
        <w:ind w:left="0" w:right="0" w:firstLine="0"/>
        <w:jc w:val="left"/>
      </w:pPr>
      <w:r>
        <w:rPr>
          <w:rFonts w:ascii="Courier New" w:hAnsi="Courier New" w:eastAsia="宋体"/>
          <w:sz w:val="12"/>
        </w:rPr>
        <w:t>{</w:t>
      </w:r>
      <w:r>
        <w:rPr>
          <w:rFonts w:ascii="Courier New" w:hAnsi="Courier New" w:eastAsia="宋体"/>
          <w:sz w:val="12"/>
        </w:rPr>
        <w:br w:type="textWrapping"/>
      </w:r>
      <w:r>
        <w:rPr>
          <w:rFonts w:ascii="Courier New" w:hAnsi="Courier New" w:eastAsia="宋体"/>
          <w:sz w:val="12"/>
        </w:rPr>
        <w:t xml:space="preserve">  "type": "object",</w:t>
      </w:r>
      <w:r>
        <w:rPr>
          <w:rFonts w:ascii="Courier New" w:hAnsi="Courier New" w:eastAsia="宋体"/>
          <w:sz w:val="12"/>
        </w:rPr>
        <w:br w:type="textWrapping"/>
      </w:r>
      <w:r>
        <w:rPr>
          <w:rFonts w:ascii="Courier New" w:hAnsi="Courier New" w:eastAsia="宋体"/>
          <w:sz w:val="12"/>
        </w:rPr>
        <w:t xml:space="preserve">  "properties": {</w:t>
      </w:r>
      <w:r>
        <w:rPr>
          <w:rFonts w:ascii="Courier New" w:hAnsi="Courier New" w:eastAsia="宋体"/>
          <w:sz w:val="12"/>
        </w:rPr>
        <w:br w:type="textWrapping"/>
      </w:r>
      <w:r>
        <w:rPr>
          <w:rFonts w:ascii="Courier New" w:hAnsi="Courier New" w:eastAsia="宋体"/>
          <w:sz w:val="12"/>
        </w:rPr>
        <w:t xml:space="preserve">    "stance": { "type": "string", "enum": ["Accept", "Reject", "Neutral"] },</w:t>
      </w:r>
      <w:r>
        <w:rPr>
          <w:rFonts w:ascii="Courier New" w:hAnsi="Courier New" w:eastAsia="宋体"/>
          <w:sz w:val="12"/>
        </w:rPr>
        <w:br w:type="textWrapping"/>
      </w:r>
      <w:r>
        <w:rPr>
          <w:rFonts w:ascii="Courier New" w:hAnsi="Courier New" w:eastAsia="宋体"/>
          <w:sz w:val="12"/>
        </w:rPr>
        <w:t xml:space="preserve">    "action": { "type": "string", "enum": ["Share", "Ignore", "Debunk"] }</w:t>
      </w:r>
      <w:r>
        <w:rPr>
          <w:rFonts w:ascii="Courier New" w:hAnsi="Courier New" w:eastAsia="宋体"/>
          <w:sz w:val="12"/>
        </w:rPr>
        <w:br w:type="textWrapping"/>
      </w:r>
      <w:r>
        <w:rPr>
          <w:rFonts w:ascii="Courier New" w:hAnsi="Courier New" w:eastAsia="宋体"/>
          <w:sz w:val="12"/>
        </w:rPr>
        <w:t xml:space="preserve">  },</w:t>
      </w:r>
      <w:r>
        <w:rPr>
          <w:rFonts w:ascii="Courier New" w:hAnsi="Courier New" w:eastAsia="宋体"/>
          <w:sz w:val="12"/>
        </w:rPr>
        <w:br w:type="textWrapping"/>
      </w:r>
      <w:r>
        <w:rPr>
          <w:rFonts w:ascii="Courier New" w:hAnsi="Courier New" w:eastAsia="宋体"/>
          <w:sz w:val="12"/>
        </w:rPr>
        <w:t xml:space="preserve">  "required": ["stance", "action"],</w:t>
      </w:r>
      <w:r>
        <w:rPr>
          <w:rFonts w:ascii="Courier New" w:hAnsi="Courier New" w:eastAsia="宋体"/>
          <w:sz w:val="12"/>
        </w:rPr>
        <w:br w:type="textWrapping"/>
      </w:r>
      <w:r>
        <w:rPr>
          <w:rFonts w:ascii="Courier New" w:hAnsi="Courier New" w:eastAsia="宋体"/>
          <w:sz w:val="12"/>
        </w:rPr>
        <w:t xml:space="preserve">  "additionalProperties": false</w:t>
      </w:r>
      <w:r>
        <w:rPr>
          <w:rFonts w:ascii="Courier New" w:hAnsi="Courier New" w:eastAsia="宋体"/>
          <w:sz w:val="12"/>
        </w:rPr>
        <w:br w:type="textWrapping"/>
      </w:r>
      <w:r>
        <w:rPr>
          <w:rFonts w:ascii="Courier New" w:hAnsi="Courier New" w:eastAsia="宋体"/>
          <w:sz w:val="12"/>
        </w:rPr>
        <w:t>}</w:t>
      </w:r>
    </w:p>
    <w:p w14:paraId="35ACBE23">
      <w:pPr>
        <w:pStyle w:val="46"/>
        <w:keepNext/>
        <w:pageBreakBefore w:val="0"/>
        <w:spacing w:before="100" w:after="40"/>
        <w:ind w:firstLine="0"/>
        <w:jc w:val="left"/>
      </w:pPr>
      <w:r>
        <w:rPr>
          <w:rFonts w:ascii="Times New Roman" w:hAnsi="Times New Roman" w:eastAsia="黑体"/>
          <w:b/>
          <w:sz w:val="21"/>
        </w:rPr>
        <w:t>A.6 三类人设Persona Profiles</w:t>
      </w:r>
    </w:p>
    <w:tbl>
      <w:tblPr>
        <w:tblStyle w:val="25"/>
        <w:tblW w:w="432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111"/>
        <w:gridCol w:w="679"/>
        <w:gridCol w:w="2530"/>
      </w:tblGrid>
      <w:tr w14:paraId="0238C41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PrEx>
        <w:trPr>
          <w:cantSplit/>
          <w:tblHeader/>
          <w:jc w:val="center"/>
        </w:trPr>
        <w:tc>
          <w:tcPr>
            <w:tcW w:w="1111" w:type="dxa"/>
            <w:tcBorders>
              <w:bottom w:val="single" w:color="000000" w:sz="8" w:space="0"/>
            </w:tcBorders>
            <w:tcMar>
              <w:top w:w="18" w:type="dxa"/>
              <w:left w:w="18" w:type="dxa"/>
              <w:bottom w:w="18" w:type="dxa"/>
              <w:right w:w="18" w:type="dxa"/>
            </w:tcMar>
            <w:vAlign w:val="center"/>
          </w:tcPr>
          <w:p w14:paraId="7C363B2C">
            <w:pPr>
              <w:pStyle w:val="49"/>
              <w:keepNext w:val="0"/>
              <w:keepLines w:val="0"/>
              <w:spacing w:before="0" w:after="0" w:line="216" w:lineRule="auto"/>
              <w:ind w:left="0" w:right="0" w:firstLine="0"/>
              <w:jc w:val="center"/>
            </w:pPr>
            <w:r>
              <w:rPr>
                <w:rFonts w:ascii="Times New Roman" w:hAnsi="Times New Roman" w:eastAsia="宋体" w:cs="Times New Roman"/>
                <w:b/>
                <w:bCs/>
                <w:sz w:val="12"/>
                <w:szCs w:val="18"/>
              </w:rPr>
              <w:t>人设</w:t>
            </w:r>
          </w:p>
        </w:tc>
        <w:tc>
          <w:tcPr>
            <w:tcW w:w="679" w:type="dxa"/>
            <w:tcBorders>
              <w:bottom w:val="single" w:color="000000" w:sz="8" w:space="0"/>
            </w:tcBorders>
            <w:tcMar>
              <w:top w:w="18" w:type="dxa"/>
              <w:left w:w="18" w:type="dxa"/>
              <w:bottom w:w="18" w:type="dxa"/>
              <w:right w:w="18" w:type="dxa"/>
            </w:tcMar>
            <w:vAlign w:val="center"/>
          </w:tcPr>
          <w:p w14:paraId="5375EB71">
            <w:pPr>
              <w:pStyle w:val="49"/>
              <w:keepNext w:val="0"/>
              <w:keepLines w:val="0"/>
              <w:spacing w:before="0" w:after="0" w:line="216" w:lineRule="auto"/>
              <w:ind w:left="0" w:right="0" w:firstLine="0"/>
              <w:jc w:val="center"/>
            </w:pPr>
            <w:r>
              <w:rPr>
                <w:rFonts w:ascii="Times New Roman" w:hAnsi="Times New Roman" w:eastAsia="宋体" w:cs="Times New Roman"/>
                <w:b/>
                <w:bCs/>
                <w:sz w:val="12"/>
                <w:szCs w:val="18"/>
              </w:rPr>
              <w:t>占比</w:t>
            </w:r>
          </w:p>
        </w:tc>
        <w:tc>
          <w:tcPr>
            <w:tcW w:w="2530" w:type="dxa"/>
            <w:tcBorders>
              <w:bottom w:val="single" w:color="000000" w:sz="8" w:space="0"/>
            </w:tcBorders>
            <w:tcMar>
              <w:top w:w="18" w:type="dxa"/>
              <w:left w:w="18" w:type="dxa"/>
              <w:bottom w:w="18" w:type="dxa"/>
              <w:right w:w="18" w:type="dxa"/>
            </w:tcMar>
            <w:vAlign w:val="center"/>
          </w:tcPr>
          <w:p w14:paraId="25444B1B">
            <w:pPr>
              <w:pStyle w:val="49"/>
              <w:keepNext w:val="0"/>
              <w:keepLines w:val="0"/>
              <w:spacing w:before="0" w:after="0" w:line="216" w:lineRule="auto"/>
              <w:ind w:left="0" w:right="0" w:firstLine="0"/>
              <w:jc w:val="center"/>
            </w:pPr>
            <w:r>
              <w:rPr>
                <w:rFonts w:ascii="Times New Roman" w:hAnsi="Times New Roman" w:eastAsia="宋体" w:cs="Times New Roman"/>
                <w:b/>
                <w:bCs/>
                <w:sz w:val="12"/>
                <w:szCs w:val="18"/>
              </w:rPr>
              <w:t>Profile（注入 Prompt 的完整人设描述）</w:t>
            </w:r>
          </w:p>
        </w:tc>
      </w:tr>
      <w:tr w14:paraId="6FEE2EC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111" w:type="dxa"/>
            <w:tcMar>
              <w:top w:w="18" w:type="dxa"/>
              <w:left w:w="18" w:type="dxa"/>
              <w:bottom w:w="18" w:type="dxa"/>
              <w:right w:w="18" w:type="dxa"/>
            </w:tcMar>
            <w:vAlign w:val="center"/>
          </w:tcPr>
          <w:p w14:paraId="4C1D489E">
            <w:pPr>
              <w:pStyle w:val="50"/>
              <w:keepNext w:val="0"/>
              <w:keepLines w:val="0"/>
              <w:spacing w:before="0" w:after="0" w:line="216" w:lineRule="auto"/>
              <w:ind w:left="0" w:right="0" w:firstLine="0"/>
              <w:jc w:val="center"/>
            </w:pPr>
            <w:r>
              <w:rPr>
                <w:rFonts w:ascii="Times New Roman" w:hAnsi="Times New Roman" w:eastAsia="宋体" w:cs="Times New Roman"/>
                <w:b w:val="0"/>
                <w:sz w:val="12"/>
                <w:szCs w:val="18"/>
              </w:rPr>
              <w:t>易感者 (Susceptible)</w:t>
            </w:r>
          </w:p>
        </w:tc>
        <w:tc>
          <w:tcPr>
            <w:tcW w:w="679" w:type="dxa"/>
            <w:tcMar>
              <w:top w:w="18" w:type="dxa"/>
              <w:left w:w="18" w:type="dxa"/>
              <w:bottom w:w="18" w:type="dxa"/>
              <w:right w:w="18" w:type="dxa"/>
            </w:tcMar>
            <w:vAlign w:val="center"/>
          </w:tcPr>
          <w:p w14:paraId="1996929B">
            <w:pPr>
              <w:pStyle w:val="50"/>
              <w:keepNext w:val="0"/>
              <w:keepLines w:val="0"/>
              <w:spacing w:before="0" w:after="0" w:line="216" w:lineRule="auto"/>
              <w:ind w:left="0" w:right="0" w:firstLine="0"/>
              <w:jc w:val="center"/>
            </w:pPr>
            <w:r>
              <w:rPr>
                <w:rFonts w:ascii="Times New Roman" w:hAnsi="Times New Roman" w:eastAsia="宋体" w:cs="Times New Roman"/>
                <w:b w:val="0"/>
                <w:sz w:val="12"/>
                <w:szCs w:val="18"/>
              </w:rPr>
              <w:t>60%</w:t>
            </w:r>
          </w:p>
        </w:tc>
        <w:tc>
          <w:tcPr>
            <w:tcW w:w="2530" w:type="dxa"/>
            <w:tcMar>
              <w:top w:w="18" w:type="dxa"/>
              <w:left w:w="18" w:type="dxa"/>
              <w:bottom w:w="18" w:type="dxa"/>
              <w:right w:w="18" w:type="dxa"/>
            </w:tcMar>
            <w:vAlign w:val="center"/>
          </w:tcPr>
          <w:p w14:paraId="6F4BDD00">
            <w:pPr>
              <w:pStyle w:val="50"/>
              <w:keepNext w:val="0"/>
              <w:keepLines w:val="0"/>
              <w:spacing w:before="0" w:after="0" w:line="216" w:lineRule="auto"/>
              <w:ind w:left="0" w:right="0" w:firstLine="0"/>
              <w:jc w:val="center"/>
            </w:pPr>
            <w:r>
              <w:rPr>
                <w:rFonts w:ascii="Times New Roman" w:hAnsi="Times New Roman" w:eastAsia="宋体" w:cs="Times New Roman"/>
                <w:b w:val="0"/>
                <w:sz w:val="12"/>
                <w:szCs w:val="18"/>
              </w:rPr>
              <w:t>你缺乏技术背景，对新技术潜在健康风险高度焦虑，倾向于相信并转发任何风险预警信息以提醒亲友；但若收到过权威辟谣声明，你会立刻放弃相信并停止传播。</w:t>
            </w:r>
          </w:p>
        </w:tc>
      </w:tr>
      <w:tr w14:paraId="2F4C7BA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111" w:type="dxa"/>
            <w:tcMar>
              <w:top w:w="18" w:type="dxa"/>
              <w:left w:w="18" w:type="dxa"/>
              <w:bottom w:w="18" w:type="dxa"/>
              <w:right w:w="18" w:type="dxa"/>
            </w:tcMar>
            <w:vAlign w:val="center"/>
          </w:tcPr>
          <w:p w14:paraId="6B14726F">
            <w:pPr>
              <w:pStyle w:val="50"/>
              <w:keepNext w:val="0"/>
              <w:keepLines w:val="0"/>
              <w:spacing w:before="0" w:after="0" w:line="216" w:lineRule="auto"/>
              <w:ind w:left="0" w:right="0" w:firstLine="0"/>
              <w:jc w:val="center"/>
            </w:pPr>
            <w:r>
              <w:rPr>
                <w:rFonts w:ascii="Times New Roman" w:hAnsi="Times New Roman" w:eastAsia="宋体" w:cs="Times New Roman"/>
                <w:b w:val="0"/>
                <w:sz w:val="12"/>
                <w:szCs w:val="18"/>
              </w:rPr>
              <w:t>中立者 (Neutral)</w:t>
            </w:r>
          </w:p>
        </w:tc>
        <w:tc>
          <w:tcPr>
            <w:tcW w:w="679" w:type="dxa"/>
            <w:tcMar>
              <w:top w:w="18" w:type="dxa"/>
              <w:left w:w="18" w:type="dxa"/>
              <w:bottom w:w="18" w:type="dxa"/>
              <w:right w:w="18" w:type="dxa"/>
            </w:tcMar>
            <w:vAlign w:val="center"/>
          </w:tcPr>
          <w:p w14:paraId="41081A37">
            <w:pPr>
              <w:pStyle w:val="50"/>
              <w:keepNext w:val="0"/>
              <w:keepLines w:val="0"/>
              <w:spacing w:before="0" w:after="0" w:line="216" w:lineRule="auto"/>
              <w:ind w:left="0" w:right="0" w:firstLine="0"/>
              <w:jc w:val="center"/>
            </w:pPr>
            <w:r>
              <w:rPr>
                <w:rFonts w:ascii="Times New Roman" w:hAnsi="Times New Roman" w:eastAsia="宋体" w:cs="Times New Roman"/>
                <w:b w:val="0"/>
                <w:sz w:val="12"/>
                <w:szCs w:val="18"/>
              </w:rPr>
              <w:t>30%</w:t>
            </w:r>
          </w:p>
        </w:tc>
        <w:tc>
          <w:tcPr>
            <w:tcW w:w="2530" w:type="dxa"/>
            <w:tcMar>
              <w:top w:w="18" w:type="dxa"/>
              <w:left w:w="18" w:type="dxa"/>
              <w:bottom w:w="18" w:type="dxa"/>
              <w:right w:w="18" w:type="dxa"/>
            </w:tcMar>
            <w:vAlign w:val="center"/>
          </w:tcPr>
          <w:p w14:paraId="2DA2DA34">
            <w:pPr>
              <w:pStyle w:val="50"/>
              <w:keepNext w:val="0"/>
              <w:keepLines w:val="0"/>
              <w:spacing w:before="0" w:after="0" w:line="216" w:lineRule="auto"/>
              <w:ind w:left="0" w:right="0" w:firstLine="0"/>
              <w:jc w:val="center"/>
            </w:pPr>
            <w:r>
              <w:rPr>
                <w:rFonts w:ascii="Times New Roman" w:hAnsi="Times New Roman" w:eastAsia="宋体" w:cs="Times New Roman"/>
                <w:b w:val="0"/>
                <w:sz w:val="12"/>
                <w:szCs w:val="18"/>
              </w:rPr>
              <w:t>你理性谨慎，不轻信单一信息源。只有当至少四个不同的邻居分别向你传来同一风险预警（多重信息源交叉验证）时，你才会相信并转发；一旦收到权威辟谣声明，你会直接判定该预警为谣言。</w:t>
            </w:r>
          </w:p>
        </w:tc>
      </w:tr>
      <w:tr w14:paraId="636FBEE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111" w:type="dxa"/>
            <w:tcMar>
              <w:top w:w="18" w:type="dxa"/>
              <w:left w:w="18" w:type="dxa"/>
              <w:bottom w:w="18" w:type="dxa"/>
              <w:right w:w="18" w:type="dxa"/>
            </w:tcMar>
            <w:vAlign w:val="center"/>
          </w:tcPr>
          <w:p w14:paraId="69A20C76">
            <w:pPr>
              <w:pStyle w:val="50"/>
              <w:keepNext w:val="0"/>
              <w:keepLines w:val="0"/>
              <w:spacing w:before="0" w:after="0" w:line="216" w:lineRule="auto"/>
              <w:ind w:left="0" w:right="0" w:firstLine="0"/>
              <w:jc w:val="center"/>
            </w:pPr>
            <w:r>
              <w:rPr>
                <w:rFonts w:ascii="Times New Roman" w:hAnsi="Times New Roman" w:eastAsia="宋体" w:cs="Times New Roman"/>
                <w:b w:val="0"/>
                <w:sz w:val="12"/>
                <w:szCs w:val="18"/>
              </w:rPr>
              <w:t>核查员 (Fact-Checker)</w:t>
            </w:r>
          </w:p>
        </w:tc>
        <w:tc>
          <w:tcPr>
            <w:tcW w:w="679" w:type="dxa"/>
            <w:tcMar>
              <w:top w:w="18" w:type="dxa"/>
              <w:left w:w="18" w:type="dxa"/>
              <w:bottom w:w="18" w:type="dxa"/>
              <w:right w:w="18" w:type="dxa"/>
            </w:tcMar>
            <w:vAlign w:val="center"/>
          </w:tcPr>
          <w:p w14:paraId="0F7AC185">
            <w:pPr>
              <w:pStyle w:val="50"/>
              <w:keepNext w:val="0"/>
              <w:keepLines w:val="0"/>
              <w:spacing w:before="0" w:after="0" w:line="216" w:lineRule="auto"/>
              <w:ind w:left="0" w:right="0" w:firstLine="0"/>
              <w:jc w:val="center"/>
            </w:pPr>
            <w:r>
              <w:rPr>
                <w:rFonts w:ascii="Times New Roman" w:hAnsi="Times New Roman" w:eastAsia="宋体" w:cs="Times New Roman"/>
                <w:b w:val="0"/>
                <w:sz w:val="12"/>
                <w:szCs w:val="18"/>
              </w:rPr>
              <w:t>10%</w:t>
            </w:r>
          </w:p>
        </w:tc>
        <w:tc>
          <w:tcPr>
            <w:tcW w:w="2530" w:type="dxa"/>
            <w:tcMar>
              <w:top w:w="18" w:type="dxa"/>
              <w:left w:w="18" w:type="dxa"/>
              <w:bottom w:w="18" w:type="dxa"/>
              <w:right w:w="18" w:type="dxa"/>
            </w:tcMar>
            <w:vAlign w:val="center"/>
          </w:tcPr>
          <w:p w14:paraId="7F20B8F1">
            <w:pPr>
              <w:pStyle w:val="50"/>
              <w:keepNext w:val="0"/>
              <w:keepLines w:val="0"/>
              <w:spacing w:before="0" w:after="0" w:line="216" w:lineRule="auto"/>
              <w:ind w:left="0" w:right="0" w:firstLine="0"/>
              <w:jc w:val="center"/>
            </w:pPr>
            <w:r>
              <w:rPr>
                <w:rFonts w:ascii="Times New Roman" w:hAnsi="Times New Roman" w:eastAsia="宋体" w:cs="Times New Roman"/>
                <w:b w:val="0"/>
                <w:sz w:val="12"/>
                <w:szCs w:val="18"/>
              </w:rPr>
              <w:t>你具备专业科学素养，能立刻识别出该预警是无科学依据的谣言。你绝不传播谣言（stance 恒为 Reject），并且在收到谣言后必须向所有邻居发送辟谣声明（action 输出 Debunk）。</w:t>
            </w:r>
          </w:p>
        </w:tc>
      </w:tr>
    </w:tbl>
    <w:p w14:paraId="4D60A0EA">
      <w:pPr>
        <w:pStyle w:val="46"/>
        <w:keepNext/>
        <w:pageBreakBefore w:val="0"/>
        <w:spacing w:before="100" w:after="40"/>
        <w:ind w:firstLine="0"/>
        <w:jc w:val="left"/>
      </w:pPr>
      <w:r>
        <w:rPr>
          <w:rFonts w:ascii="Times New Roman" w:hAnsi="Times New Roman" w:eastAsia="黑体"/>
          <w:b/>
          <w:sz w:val="21"/>
        </w:rPr>
        <w:t>A.7 mock规则内核与真实LLM的对应关系</w:t>
      </w:r>
    </w:p>
    <w:p w14:paraId="664667F0">
      <w:pPr>
        <w:pStyle w:val="48"/>
        <w:widowControl/>
        <w:spacing w:before="0" w:after="0" w:line="269" w:lineRule="auto"/>
        <w:ind w:left="0" w:right="0" w:firstLine="420"/>
        <w:jc w:val="both"/>
      </w:pPr>
      <w:r>
        <w:rPr>
          <w:rFonts w:ascii="Times New Roman" w:hAnsi="Times New Roman" w:eastAsia="宋体"/>
          <w:sz w:val="21"/>
        </w:rPr>
        <w:t>在未配置 API Key 时，src/stage2_engine.py 的 _mock_decide 以纯 if/else 规则复现上述三类人设的判定逻辑：易感者收到谣言即 Accept/Share、收到辟谣即纠偏；中立者需 ≥4 个不同邻居的谣言才转变；核查员恒 Reject 且收到谣言即 Debunk。其输入输出签名与真实 LLM 判别器完全一致，供离线链路验证之用。</w:t>
      </w:r>
      <w:r>
        <w:rPr>
          <w:rFonts w:ascii="Times New Roman" w:hAnsi="Times New Roman" w:eastAsia="宋体"/>
          <w:b/>
          <w:bCs/>
          <w:sz w:val="21"/>
        </w:rPr>
        <w:t>本文正文报告的实证数据均由真实 LLM（deepseek-chat，</w:t>
      </w:r>
      <m:oMath>
        <m:r>
          <m:rPr/>
          <m:t>Temperature</m:t>
        </m:r>
        <m:r>
          <m:rPr>
            <m:sty m:val="p"/>
          </m:rPr>
          <m:t>=</m:t>
        </m:r>
        <m:r>
          <m:rPr/>
          <m:t>0</m:t>
        </m:r>
      </m:oMath>
      <w:r>
        <w:rPr>
          <w:rFonts w:ascii="Times New Roman" w:hAnsi="Times New Roman" w:eastAsia="宋体"/>
          <w:b/>
          <w:bCs/>
          <w:sz w:val="21"/>
        </w:rPr>
        <w:t>）产生</w:t>
      </w:r>
      <w:r>
        <w:rPr>
          <w:rFonts w:ascii="Times New Roman" w:hAnsi="Times New Roman" w:eastAsia="宋体"/>
          <w:sz w:val="21"/>
        </w:rPr>
        <w:t>；mock 与真实 LLM 共用同一套 Prompt 与 Schema，切换后端无需改动上层算法。</w:t>
      </w:r>
    </w:p>
    <w:p w14:paraId="470858DF">
      <w:pPr>
        <w:pStyle w:val="43"/>
        <w:keepNext/>
        <w:pageBreakBefore w:val="0"/>
        <w:spacing w:before="160" w:after="80"/>
        <w:ind w:left="0" w:firstLine="0"/>
        <w:jc w:val="left"/>
        <w:rPr>
          <w:lang w:eastAsia="zh-CN"/>
        </w:rPr>
      </w:pPr>
      <w:r>
        <w:rPr>
          <w:rFonts w:ascii="Times New Roman" w:hAnsi="Times New Roman" w:eastAsia="黑体"/>
          <w:b w:val="0"/>
          <w:sz w:val="28"/>
        </w:rPr>
        <w:t>附录B 定理1的证明</w:t>
      </w:r>
    </w:p>
    <w:p w14:paraId="2646306A">
      <w:pPr>
        <w:pStyle w:val="48"/>
        <w:widowControl/>
        <w:spacing w:before="0" w:after="0" w:line="269" w:lineRule="auto"/>
        <w:ind w:left="0" w:right="0" w:firstLine="420"/>
        <w:jc w:val="both"/>
        <w:rPr>
          <w:lang w:eastAsia="zh-CN"/>
        </w:rPr>
      </w:pPr>
      <w:r>
        <w:rPr>
          <w:rFonts w:ascii="Times New Roman" w:hAnsi="Times New Roman" w:eastAsia="宋体"/>
          <w:sz w:val="21"/>
        </w:rPr>
        <w:t>定理 1（有限事件终止性，重述）。设冻结网络包含有限条有向边 E→，消息类型集合 M 有限，且每个三元组（u,v,m）∈E→×M 至多入队一次。若不施加 T_max 截断，则 LEDS 的事件队列必在有限步后为空。</w:t>
      </w:r>
    </w:p>
    <w:p w14:paraId="6DBC1E55">
      <w:pPr>
        <w:pStyle w:val="48"/>
        <w:widowControl/>
        <w:spacing w:before="0" w:after="0" w:line="269" w:lineRule="auto"/>
        <w:ind w:left="0" w:right="0" w:firstLine="420"/>
        <w:jc w:val="both"/>
        <w:rPr>
          <w:lang w:eastAsia="zh-CN"/>
        </w:rPr>
      </w:pPr>
      <w:r>
        <w:rPr>
          <w:rFonts w:ascii="Times New Roman" w:hAnsi="Times New Roman" w:eastAsia="宋体"/>
          <w:sz w:val="21"/>
        </w:rPr>
        <w:t>证明。构造已派发事件集合 H_t={(u,v,m)：截至时间步 t，消息类型 m 已沿有向边 (u,v) 派发}。由于 |E→| 与 |M| 均有限，故 |H_t|≤|E→||M|。引擎在派发前检查三元组 (u,v,m)：若其已属于 H_t，则不再入队；若其尚未出现，则加入 H_t 并至多生成一个新的边消息事件。因此，每个有效的新派发都使 H_t 严格增加，而 H_t 最多增加 |E→||M| 次。所有已派发事件处理完毕后，不再存在可入队的新三元组，队列为空，系统终止。该证明允许同一节点因不同邻居带来的新增暴露而多次更新，与实现中的边级去重一致。需要区分：若运行因达到 T_max 而停止但队列仍非空，则属于截断而非自然收敛。证毕。</w:t>
      </w:r>
    </w:p>
    <w:p w14:paraId="4E1EEB4B">
      <w:pPr>
        <w:pStyle w:val="43"/>
        <w:keepNext/>
        <w:pageBreakBefore w:val="0"/>
        <w:spacing w:before="160" w:after="80"/>
        <w:ind w:left="0" w:firstLine="0"/>
        <w:jc w:val="left"/>
      </w:pPr>
      <w:r>
        <w:rPr>
          <w:rFonts w:ascii="Times New Roman" w:hAnsi="Times New Roman" w:eastAsia="黑体"/>
          <w:b w:val="0"/>
          <w:sz w:val="28"/>
        </w:rPr>
        <w:t>附录C 事件驱动引擎的规模化开销分析</w:t>
      </w:r>
    </w:p>
    <w:p w14:paraId="13356A40">
      <w:pPr>
        <w:pStyle w:val="48"/>
        <w:widowControl/>
        <w:spacing w:before="0" w:after="0" w:line="269" w:lineRule="auto"/>
        <w:ind w:left="0" w:right="0" w:firstLine="420"/>
        <w:jc w:val="both"/>
      </w:pPr>
      <w:r>
        <w:rPr>
          <w:rFonts w:ascii="Times New Roman" w:hAnsi="Times New Roman" w:eastAsia="宋体"/>
          <w:sz w:val="21"/>
        </w:rPr>
        <w:t xml:space="preserve">作为对贡献二（事件驱动引擎）的架构级补充，我们在 </w:t>
      </w:r>
      <m:oMath>
        <m:r>
          <m:rPr/>
          <w:rPr>
            <w:rFonts w:ascii="Cambria Math" w:hAnsi="Cambria Math"/>
          </w:rPr>
          <m:t>N</m:t>
        </m:r>
        <m:r>
          <m:rPr>
            <m:sty m:val="p"/>
          </m:rPr>
          <w:rPr>
            <w:rFonts w:ascii="Cambria Math" w:hAnsi="Cambria Math"/>
          </w:rPr>
          <m:t>∈{</m:t>
        </m:r>
        <m:r>
          <m:rPr/>
          <w:rPr>
            <w:rFonts w:ascii="Cambria Math" w:hAnsi="Cambria Math"/>
          </w:rPr>
          <m:t>50</m:t>
        </m:r>
        <m:r>
          <m:rPr>
            <m:sty m:val="p"/>
          </m:rPr>
          <w:rPr>
            <w:rFonts w:ascii="Cambria Math" w:hAnsi="Cambria Math"/>
          </w:rPr>
          <m:t>,</m:t>
        </m:r>
        <m:r>
          <m:rPr/>
          <w:rPr>
            <w:rFonts w:ascii="Cambria Math" w:hAnsi="Cambria Math"/>
          </w:rPr>
          <m:t>100</m:t>
        </m:r>
        <m:r>
          <m:rPr>
            <m:sty m:val="p"/>
          </m:rPr>
          <w:rPr>
            <w:rFonts w:ascii="Cambria Math" w:hAnsi="Cambria Math"/>
          </w:rPr>
          <m:t>,</m:t>
        </m:r>
        <m:r>
          <m:rPr/>
          <w:rPr>
            <w:rFonts w:ascii="Cambria Math" w:hAnsi="Cambria Math"/>
          </w:rPr>
          <m:t>300</m:t>
        </m:r>
        <m:r>
          <m:rPr>
            <m:sty m:val="p"/>
          </m:rPr>
          <w:rPr>
            <w:rFonts w:ascii="Cambria Math" w:hAnsi="Cambria Math"/>
          </w:rPr>
          <m:t>,</m:t>
        </m:r>
        <m:r>
          <m:rPr/>
          <w:rPr>
            <w:rFonts w:ascii="Cambria Math" w:hAnsi="Cambria Math"/>
          </w:rPr>
          <m:t>1000</m:t>
        </m:r>
        <m:r>
          <m:rPr>
            <m:sty m:val="p"/>
          </m:rPr>
          <w:rPr>
            <w:rFonts w:ascii="Cambria Math" w:hAnsi="Cambria Math"/>
          </w:rPr>
          <m:t>}</m:t>
        </m:r>
      </m:oMath>
      <w:r>
        <w:rPr>
          <w:rFonts w:ascii="Times New Roman" w:hAnsi="Times New Roman" w:eastAsia="宋体"/>
          <w:sz w:val="21"/>
        </w:rPr>
        <w:t xml:space="preserve"> 四档规模上，于各自新生成的 BA 无标度网络上，以真实 deepseek-chat（</w:t>
      </w:r>
      <m:oMath>
        <m:r>
          <m:rPr/>
          <w:rPr>
            <w:rFonts w:ascii="Cambria Math" w:hAnsi="Cambria Math"/>
          </w:rPr>
          <m:t>Temperature</m:t>
        </m:r>
        <m:r>
          <m:rPr>
            <m:sty m:val="p"/>
          </m:rPr>
          <w:rPr>
            <w:rFonts w:ascii="Cambria Math" w:hAnsi="Cambria Math"/>
          </w:rPr>
          <m:t>=</m:t>
        </m:r>
        <m:r>
          <m:rPr/>
          <w:rPr>
            <w:rFonts w:ascii="Cambria Math" w:hAnsi="Cambria Math"/>
          </w:rPr>
          <m:t>0</m:t>
        </m:r>
      </m:oMath>
      <w:r>
        <w:rPr>
          <w:rFonts w:ascii="Times New Roman" w:hAnsi="Times New Roman" w:eastAsia="宋体"/>
          <w:sz w:val="21"/>
        </w:rPr>
        <w:t xml:space="preserve">）测量事件驱动引擎（LEDS）与全节点轮询基线在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LLM</m:t>
            </m:r>
            <m:ctrlPr>
              <w:rPr>
                <w:rFonts w:ascii="Cambria Math" w:hAnsi="Cambria Math"/>
              </w:rPr>
            </m:ctrlPr>
          </m:sub>
        </m:sSub>
      </m:oMath>
      <w:r>
        <w:rPr>
          <w:rFonts w:ascii="Times New Roman" w:hAnsi="Times New Roman" w:eastAsia="宋体"/>
          <w:sz w:val="21"/>
        </w:rPr>
        <w:t xml:space="preserve"> 评估次数、稳态步数与墙钟耗时上的差异。</w:t>
      </w:r>
    </w:p>
    <w:p w14:paraId="0339D01A">
      <w:pPr>
        <w:pStyle w:val="51"/>
        <w:keepNext/>
        <w:spacing w:before="60" w:after="20" w:line="240" w:lineRule="auto"/>
        <w:ind w:left="0" w:right="0" w:firstLine="0"/>
        <w:jc w:val="center"/>
      </w:pPr>
      <w:r>
        <w:drawing>
          <wp:inline distT="0" distB="0" distL="114300" distR="114300">
            <wp:extent cx="2743200" cy="1713865"/>
            <wp:effectExtent l="0" t="0" r="0" b="0"/>
            <wp:docPr id="7" name="Figure 7" descr="图 C1　事件驱动引擎与全节点轮询在不同网络规模下的评估次数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descr="图 C1　事件驱动引擎与全节点轮询在不同网络规模下的评估次数对比。"/>
                    <pic:cNvPicPr>
                      <a:picLocks noChangeAspect="1" noChangeArrowheads="1"/>
                    </pic:cNvPicPr>
                  </pic:nvPicPr>
                  <pic:blipFill>
                    <a:blip r:embed="rId17"/>
                    <a:stretch>
                      <a:fillRect/>
                    </a:stretch>
                  </pic:blipFill>
                  <pic:spPr>
                    <a:xfrm>
                      <a:off x="0" y="0"/>
                      <a:ext cx="2743200" cy="1714337"/>
                    </a:xfrm>
                    <a:prstGeom prst="rect">
                      <a:avLst/>
                    </a:prstGeom>
                    <a:noFill/>
                    <a:ln w="9525">
                      <a:noFill/>
                    </a:ln>
                  </pic:spPr>
                </pic:pic>
              </a:graphicData>
            </a:graphic>
          </wp:inline>
        </w:drawing>
      </w:r>
    </w:p>
    <w:p w14:paraId="665B8BFB">
      <w:pPr>
        <w:pStyle w:val="51"/>
        <w:keepNext/>
        <w:spacing w:before="40" w:after="0"/>
        <w:jc w:val="center"/>
      </w:pPr>
      <w:r>
        <w:rPr>
          <w:rFonts w:ascii="Times New Roman" w:hAnsi="Times New Roman" w:eastAsia="宋体"/>
          <w:sz w:val="17"/>
        </w:rPr>
        <w:t>图C1 事件驱动引擎与全节点轮询在不同网络规模下的评估次数对比</w:t>
      </w:r>
    </w:p>
    <w:p w14:paraId="0CA84816">
      <w:pPr>
        <w:pStyle w:val="51"/>
        <w:keepNext w:val="0"/>
        <w:spacing w:before="0" w:after="60"/>
        <w:jc w:val="center"/>
      </w:pPr>
      <w:r>
        <w:rPr>
          <w:rFonts w:ascii="Times New Roman" w:hAnsi="Times New Roman" w:eastAsia="宋体"/>
          <w:sz w:val="16"/>
        </w:rPr>
        <w:t>Fig. C1 Evaluation counts of the event-driven engine and full polling at different network scales</w:t>
      </w:r>
    </w:p>
    <w:p w14:paraId="519355D5">
      <w:pPr>
        <w:pStyle w:val="51"/>
        <w:keepNext/>
        <w:spacing w:before="40" w:after="0"/>
        <w:jc w:val="center"/>
      </w:pPr>
      <w:r>
        <w:rPr>
          <w:rFonts w:ascii="Times New Roman" w:hAnsi="Times New Roman" w:eastAsia="宋体"/>
          <w:sz w:val="17"/>
        </w:rPr>
        <w:t>表C1 不同网络规模下LEDS与全轮询的评估开销对比（真实deepseek-chat）</w:t>
      </w:r>
    </w:p>
    <w:p w14:paraId="6BFB0A52">
      <w:pPr>
        <w:pStyle w:val="51"/>
        <w:keepNext/>
        <w:spacing w:before="0" w:after="60"/>
        <w:jc w:val="center"/>
      </w:pPr>
      <w:r>
        <w:rPr>
          <w:rFonts w:ascii="Times New Roman" w:hAnsi="Times New Roman" w:eastAsia="宋体"/>
          <w:sz w:val="16"/>
        </w:rPr>
        <w:t>Table C1 Evaluation overhead of LEDS and full polling at different network scales</w:t>
      </w:r>
    </w:p>
    <w:tbl>
      <w:tblPr>
        <w:tblStyle w:val="25"/>
        <w:tblW w:w="432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043"/>
        <w:gridCol w:w="521"/>
        <w:gridCol w:w="559"/>
        <w:gridCol w:w="1043"/>
        <w:gridCol w:w="521"/>
        <w:gridCol w:w="633"/>
      </w:tblGrid>
      <w:tr w14:paraId="3BE91C4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jc w:val="center"/>
        </w:trPr>
        <w:tc>
          <w:tcPr>
            <w:tcW w:w="1043" w:type="dxa"/>
            <w:tcBorders>
              <w:bottom w:val="single" w:color="000000" w:sz="8" w:space="0"/>
            </w:tcBorders>
            <w:tcMar>
              <w:top w:w="18" w:type="dxa"/>
              <w:left w:w="18" w:type="dxa"/>
              <w:bottom w:w="18" w:type="dxa"/>
              <w:right w:w="18" w:type="dxa"/>
            </w:tcMar>
            <w:vAlign w:val="center"/>
          </w:tcPr>
          <w:p w14:paraId="17F7BB5D">
            <w:pPr>
              <w:pStyle w:val="49"/>
              <w:keepNext w:val="0"/>
              <w:keepLines w:val="0"/>
              <w:spacing w:before="0" w:after="0" w:line="216" w:lineRule="auto"/>
              <w:ind w:left="0" w:right="0" w:firstLine="0"/>
              <w:jc w:val="center"/>
            </w:pPr>
            <w:r>
              <w:rPr>
                <w:rFonts w:ascii="Times New Roman" w:hAnsi="Times New Roman" w:eastAsia="宋体"/>
                <w:b/>
                <w:sz w:val="9"/>
              </w:rPr>
              <w:t>网络规模 N</w:t>
            </w:r>
          </w:p>
        </w:tc>
        <w:tc>
          <w:tcPr>
            <w:tcW w:w="521" w:type="dxa"/>
            <w:tcBorders>
              <w:bottom w:val="single" w:color="000000" w:sz="8" w:space="0"/>
            </w:tcBorders>
            <w:tcMar>
              <w:top w:w="18" w:type="dxa"/>
              <w:left w:w="18" w:type="dxa"/>
              <w:bottom w:w="18" w:type="dxa"/>
              <w:right w:w="18" w:type="dxa"/>
            </w:tcMar>
            <w:vAlign w:val="center"/>
          </w:tcPr>
          <w:p w14:paraId="15DB9C74">
            <w:pPr>
              <w:pStyle w:val="49"/>
              <w:keepNext w:val="0"/>
              <w:keepLines w:val="0"/>
              <w:spacing w:before="0" w:after="0" w:line="216" w:lineRule="auto"/>
              <w:ind w:left="0" w:right="0" w:firstLine="0"/>
              <w:jc w:val="center"/>
              <w:rPr>
                <w:lang w:eastAsia="zh-CN"/>
              </w:rPr>
            </w:pPr>
            <w:r>
              <w:rPr>
                <w:rFonts w:ascii="Times New Roman" w:hAnsi="Times New Roman" w:eastAsia="宋体"/>
                <w:b/>
                <w:sz w:val="9"/>
                <w:lang w:eastAsia="zh-CN"/>
              </w:rPr>
              <w:t>LEDS 评估次数（步数）</w:t>
            </w:r>
          </w:p>
        </w:tc>
        <w:tc>
          <w:tcPr>
            <w:tcW w:w="559" w:type="dxa"/>
            <w:tcBorders>
              <w:bottom w:val="single" w:color="000000" w:sz="8" w:space="0"/>
            </w:tcBorders>
            <w:tcMar>
              <w:top w:w="18" w:type="dxa"/>
              <w:left w:w="18" w:type="dxa"/>
              <w:bottom w:w="18" w:type="dxa"/>
              <w:right w:w="18" w:type="dxa"/>
            </w:tcMar>
            <w:vAlign w:val="center"/>
          </w:tcPr>
          <w:p w14:paraId="250DD46D">
            <w:pPr>
              <w:pStyle w:val="49"/>
              <w:keepNext w:val="0"/>
              <w:keepLines w:val="0"/>
              <w:spacing w:before="0" w:after="0" w:line="216" w:lineRule="auto"/>
              <w:ind w:left="0" w:right="0" w:firstLine="0"/>
              <w:jc w:val="center"/>
              <w:rPr>
                <w:lang w:eastAsia="zh-CN"/>
              </w:rPr>
            </w:pPr>
            <w:r>
              <w:rPr>
                <w:rFonts w:ascii="Times New Roman" w:hAnsi="Times New Roman" w:eastAsia="宋体"/>
                <w:b/>
                <w:sz w:val="9"/>
              </w:rPr>
              <w:t>全轮询 O(T|V|) 评估次数（步数）</w:t>
            </w:r>
          </w:p>
        </w:tc>
        <w:tc>
          <w:tcPr>
            <w:tcW w:w="1043" w:type="dxa"/>
            <w:tcBorders>
              <w:bottom w:val="single" w:color="000000" w:sz="8" w:space="0"/>
            </w:tcBorders>
            <w:tcMar>
              <w:top w:w="18" w:type="dxa"/>
              <w:left w:w="18" w:type="dxa"/>
              <w:bottom w:w="18" w:type="dxa"/>
              <w:right w:w="18" w:type="dxa"/>
            </w:tcMar>
            <w:vAlign w:val="center"/>
          </w:tcPr>
          <w:p w14:paraId="1E9B1B9D">
            <w:pPr>
              <w:pStyle w:val="49"/>
              <w:keepNext w:val="0"/>
              <w:keepLines w:val="0"/>
              <w:spacing w:before="0" w:after="0" w:line="216" w:lineRule="auto"/>
              <w:ind w:left="0" w:right="0" w:firstLine="0"/>
              <w:jc w:val="center"/>
            </w:pPr>
            <w:r>
              <w:rPr>
                <w:rFonts w:ascii="Times New Roman" w:hAnsi="Times New Roman" w:eastAsia="宋体"/>
                <w:b/>
                <w:sz w:val="9"/>
              </w:rPr>
              <w:t>评估次数削减比</w:t>
            </w:r>
          </w:p>
        </w:tc>
        <w:tc>
          <w:tcPr>
            <w:tcW w:w="521" w:type="dxa"/>
            <w:tcBorders>
              <w:bottom w:val="single" w:color="000000" w:sz="8" w:space="0"/>
            </w:tcBorders>
            <w:tcMar>
              <w:top w:w="18" w:type="dxa"/>
              <w:left w:w="18" w:type="dxa"/>
              <w:bottom w:w="18" w:type="dxa"/>
              <w:right w:w="18" w:type="dxa"/>
            </w:tcMar>
            <w:vAlign w:val="center"/>
          </w:tcPr>
          <w:p w14:paraId="3F7F0A7C">
            <w:pPr>
              <w:pStyle w:val="49"/>
              <w:keepNext w:val="0"/>
              <w:keepLines w:val="0"/>
              <w:spacing w:before="0" w:after="0" w:line="216" w:lineRule="auto"/>
              <w:ind w:left="0" w:right="0" w:firstLine="0"/>
              <w:jc w:val="center"/>
            </w:pPr>
            <w:r>
              <w:rPr>
                <w:rFonts w:ascii="Times New Roman" w:hAnsi="Times New Roman" w:eastAsia="宋体"/>
                <w:b/>
                <w:sz w:val="9"/>
              </w:rPr>
              <w:t>LEDS 墙钟(s)</w:t>
            </w:r>
          </w:p>
        </w:tc>
        <w:tc>
          <w:tcPr>
            <w:tcW w:w="633" w:type="dxa"/>
            <w:tcBorders>
              <w:bottom w:val="single" w:color="000000" w:sz="8" w:space="0"/>
            </w:tcBorders>
            <w:tcMar>
              <w:top w:w="18" w:type="dxa"/>
              <w:left w:w="18" w:type="dxa"/>
              <w:bottom w:w="18" w:type="dxa"/>
              <w:right w:w="18" w:type="dxa"/>
            </w:tcMar>
            <w:vAlign w:val="center"/>
          </w:tcPr>
          <w:p w14:paraId="07C21696">
            <w:pPr>
              <w:pStyle w:val="49"/>
              <w:keepNext w:val="0"/>
              <w:keepLines w:val="0"/>
              <w:spacing w:before="0" w:after="0" w:line="216" w:lineRule="auto"/>
              <w:ind w:left="0" w:right="0" w:firstLine="0"/>
              <w:jc w:val="center"/>
            </w:pPr>
            <w:r>
              <w:rPr>
                <w:rFonts w:ascii="Times New Roman" w:hAnsi="Times New Roman" w:eastAsia="宋体"/>
                <w:b/>
                <w:sz w:val="9"/>
              </w:rPr>
              <w:t>全轮询墙钟(s)</w:t>
            </w:r>
          </w:p>
        </w:tc>
      </w:tr>
      <w:tr w14:paraId="24D623D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043" w:type="dxa"/>
            <w:tcMar>
              <w:top w:w="18" w:type="dxa"/>
              <w:left w:w="18" w:type="dxa"/>
              <w:bottom w:w="18" w:type="dxa"/>
              <w:right w:w="18" w:type="dxa"/>
            </w:tcMar>
            <w:vAlign w:val="center"/>
          </w:tcPr>
          <w:p w14:paraId="78EFD5CB">
            <w:pPr>
              <w:pStyle w:val="50"/>
              <w:keepNext w:val="0"/>
              <w:keepLines w:val="0"/>
              <w:spacing w:before="0" w:after="0" w:line="216" w:lineRule="auto"/>
              <w:ind w:left="0" w:right="0" w:firstLine="0"/>
              <w:jc w:val="center"/>
            </w:pPr>
            <w:r>
              <w:rPr>
                <w:rFonts w:ascii="Times New Roman" w:hAnsi="Times New Roman" w:eastAsia="宋体"/>
                <w:b w:val="0"/>
                <w:sz w:val="9"/>
              </w:rPr>
              <w:t>50</w:t>
            </w:r>
          </w:p>
        </w:tc>
        <w:tc>
          <w:tcPr>
            <w:tcW w:w="521" w:type="dxa"/>
            <w:tcMar>
              <w:top w:w="18" w:type="dxa"/>
              <w:left w:w="18" w:type="dxa"/>
              <w:bottom w:w="18" w:type="dxa"/>
              <w:right w:w="18" w:type="dxa"/>
            </w:tcMar>
            <w:vAlign w:val="center"/>
          </w:tcPr>
          <w:p w14:paraId="23E9B772">
            <w:pPr>
              <w:pStyle w:val="50"/>
              <w:keepNext w:val="0"/>
              <w:keepLines w:val="0"/>
              <w:spacing w:before="0" w:after="0" w:line="216" w:lineRule="auto"/>
              <w:ind w:left="0" w:right="0" w:firstLine="0"/>
              <w:jc w:val="center"/>
            </w:pPr>
            <w:r>
              <w:rPr>
                <w:rFonts w:ascii="Times New Roman" w:hAnsi="Times New Roman" w:eastAsia="宋体"/>
                <w:b w:val="0"/>
                <w:sz w:val="9"/>
              </w:rPr>
              <w:t>93（6）</w:t>
            </w:r>
          </w:p>
        </w:tc>
        <w:tc>
          <w:tcPr>
            <w:tcW w:w="559" w:type="dxa"/>
            <w:tcMar>
              <w:top w:w="18" w:type="dxa"/>
              <w:left w:w="18" w:type="dxa"/>
              <w:bottom w:w="18" w:type="dxa"/>
              <w:right w:w="18" w:type="dxa"/>
            </w:tcMar>
            <w:vAlign w:val="center"/>
          </w:tcPr>
          <w:p w14:paraId="582F5D11">
            <w:pPr>
              <w:pStyle w:val="50"/>
              <w:keepNext w:val="0"/>
              <w:keepLines w:val="0"/>
              <w:spacing w:before="0" w:after="0" w:line="216" w:lineRule="auto"/>
              <w:ind w:left="0" w:right="0" w:firstLine="0"/>
              <w:jc w:val="center"/>
            </w:pPr>
            <w:r>
              <w:rPr>
                <w:rFonts w:ascii="Times New Roman" w:hAnsi="Times New Roman" w:eastAsia="宋体"/>
                <w:b w:val="0"/>
                <w:sz w:val="9"/>
              </w:rPr>
              <w:t>450（9）</w:t>
            </w:r>
          </w:p>
        </w:tc>
        <w:tc>
          <w:tcPr>
            <w:tcW w:w="1043" w:type="dxa"/>
            <w:tcMar>
              <w:top w:w="18" w:type="dxa"/>
              <w:left w:w="18" w:type="dxa"/>
              <w:bottom w:w="18" w:type="dxa"/>
              <w:right w:w="18" w:type="dxa"/>
            </w:tcMar>
            <w:vAlign w:val="center"/>
          </w:tcPr>
          <w:p w14:paraId="2C12280C">
            <w:pPr>
              <w:pStyle w:val="50"/>
              <w:keepNext w:val="0"/>
              <w:keepLines w:val="0"/>
              <w:spacing w:before="0" w:after="0" w:line="216" w:lineRule="auto"/>
              <w:ind w:left="0" w:right="0" w:firstLine="0"/>
              <w:jc w:val="center"/>
            </w:pPr>
            <w:r>
              <w:rPr>
                <w:rFonts w:ascii="Times New Roman" w:hAnsi="Times New Roman" w:eastAsia="宋体"/>
                <w:b w:val="0"/>
                <w:sz w:val="9"/>
              </w:rPr>
              <w:t>4.8×</w:t>
            </w:r>
          </w:p>
        </w:tc>
        <w:tc>
          <w:tcPr>
            <w:tcW w:w="521" w:type="dxa"/>
            <w:tcMar>
              <w:top w:w="18" w:type="dxa"/>
              <w:left w:w="18" w:type="dxa"/>
              <w:bottom w:w="18" w:type="dxa"/>
              <w:right w:w="18" w:type="dxa"/>
            </w:tcMar>
            <w:vAlign w:val="center"/>
          </w:tcPr>
          <w:p w14:paraId="4F972A27">
            <w:pPr>
              <w:pStyle w:val="50"/>
              <w:keepNext w:val="0"/>
              <w:keepLines w:val="0"/>
              <w:spacing w:before="0" w:after="0" w:line="216" w:lineRule="auto"/>
              <w:ind w:left="0" w:right="0" w:firstLine="0"/>
              <w:jc w:val="center"/>
            </w:pPr>
            <w:r>
              <w:rPr>
                <w:rFonts w:ascii="Times New Roman" w:hAnsi="Times New Roman" w:eastAsia="宋体"/>
                <w:b w:val="0"/>
                <w:sz w:val="9"/>
              </w:rPr>
              <w:t>126.1</w:t>
            </w:r>
          </w:p>
        </w:tc>
        <w:tc>
          <w:tcPr>
            <w:tcW w:w="633" w:type="dxa"/>
            <w:tcMar>
              <w:top w:w="18" w:type="dxa"/>
              <w:left w:w="18" w:type="dxa"/>
              <w:bottom w:w="18" w:type="dxa"/>
              <w:right w:w="18" w:type="dxa"/>
            </w:tcMar>
            <w:vAlign w:val="center"/>
          </w:tcPr>
          <w:p w14:paraId="7538F32E">
            <w:pPr>
              <w:pStyle w:val="50"/>
              <w:keepNext w:val="0"/>
              <w:keepLines w:val="0"/>
              <w:spacing w:before="0" w:after="0" w:line="216" w:lineRule="auto"/>
              <w:ind w:left="0" w:right="0" w:firstLine="0"/>
              <w:jc w:val="center"/>
            </w:pPr>
            <w:r>
              <w:rPr>
                <w:rFonts w:ascii="Times New Roman" w:hAnsi="Times New Roman" w:eastAsia="宋体"/>
                <w:b w:val="0"/>
                <w:sz w:val="9"/>
              </w:rPr>
              <w:t>205.3</w:t>
            </w:r>
          </w:p>
        </w:tc>
      </w:tr>
      <w:tr w14:paraId="3689AA0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043" w:type="dxa"/>
            <w:tcMar>
              <w:top w:w="18" w:type="dxa"/>
              <w:left w:w="18" w:type="dxa"/>
              <w:bottom w:w="18" w:type="dxa"/>
              <w:right w:w="18" w:type="dxa"/>
            </w:tcMar>
            <w:vAlign w:val="center"/>
          </w:tcPr>
          <w:p w14:paraId="46290FB9">
            <w:pPr>
              <w:pStyle w:val="50"/>
              <w:keepNext w:val="0"/>
              <w:keepLines w:val="0"/>
              <w:spacing w:before="0" w:after="0" w:line="216" w:lineRule="auto"/>
              <w:ind w:left="0" w:right="0" w:firstLine="0"/>
              <w:jc w:val="center"/>
            </w:pPr>
            <w:r>
              <w:rPr>
                <w:rFonts w:ascii="Times New Roman" w:hAnsi="Times New Roman" w:eastAsia="宋体"/>
                <w:b w:val="0"/>
                <w:sz w:val="9"/>
              </w:rPr>
              <w:t>100</w:t>
            </w:r>
          </w:p>
        </w:tc>
        <w:tc>
          <w:tcPr>
            <w:tcW w:w="521" w:type="dxa"/>
            <w:tcMar>
              <w:top w:w="18" w:type="dxa"/>
              <w:left w:w="18" w:type="dxa"/>
              <w:bottom w:w="18" w:type="dxa"/>
              <w:right w:w="18" w:type="dxa"/>
            </w:tcMar>
            <w:vAlign w:val="center"/>
          </w:tcPr>
          <w:p w14:paraId="304CFD48">
            <w:pPr>
              <w:pStyle w:val="50"/>
              <w:keepNext w:val="0"/>
              <w:keepLines w:val="0"/>
              <w:spacing w:before="0" w:after="0" w:line="216" w:lineRule="auto"/>
              <w:ind w:left="0" w:right="0" w:firstLine="0"/>
              <w:jc w:val="center"/>
            </w:pPr>
            <w:r>
              <w:rPr>
                <w:rFonts w:ascii="Times New Roman" w:hAnsi="Times New Roman" w:eastAsia="宋体"/>
                <w:b w:val="0"/>
                <w:sz w:val="9"/>
              </w:rPr>
              <w:t>250（11）</w:t>
            </w:r>
          </w:p>
        </w:tc>
        <w:tc>
          <w:tcPr>
            <w:tcW w:w="559" w:type="dxa"/>
            <w:tcMar>
              <w:top w:w="18" w:type="dxa"/>
              <w:left w:w="18" w:type="dxa"/>
              <w:bottom w:w="18" w:type="dxa"/>
              <w:right w:w="18" w:type="dxa"/>
            </w:tcMar>
            <w:vAlign w:val="center"/>
          </w:tcPr>
          <w:p w14:paraId="149D7B2A">
            <w:pPr>
              <w:pStyle w:val="50"/>
              <w:keepNext w:val="0"/>
              <w:keepLines w:val="0"/>
              <w:spacing w:before="0" w:after="0" w:line="216" w:lineRule="auto"/>
              <w:ind w:left="0" w:right="0" w:firstLine="0"/>
              <w:jc w:val="center"/>
            </w:pPr>
            <w:r>
              <w:rPr>
                <w:rFonts w:ascii="Times New Roman" w:hAnsi="Times New Roman" w:eastAsia="宋体"/>
                <w:b w:val="0"/>
                <w:sz w:val="9"/>
              </w:rPr>
              <w:t>900（9）</w:t>
            </w:r>
          </w:p>
        </w:tc>
        <w:tc>
          <w:tcPr>
            <w:tcW w:w="1043" w:type="dxa"/>
            <w:tcMar>
              <w:top w:w="18" w:type="dxa"/>
              <w:left w:w="18" w:type="dxa"/>
              <w:bottom w:w="18" w:type="dxa"/>
              <w:right w:w="18" w:type="dxa"/>
            </w:tcMar>
            <w:vAlign w:val="center"/>
          </w:tcPr>
          <w:p w14:paraId="788AC316">
            <w:pPr>
              <w:pStyle w:val="50"/>
              <w:keepNext w:val="0"/>
              <w:keepLines w:val="0"/>
              <w:spacing w:before="0" w:after="0" w:line="216" w:lineRule="auto"/>
              <w:ind w:left="0" w:right="0" w:firstLine="0"/>
              <w:jc w:val="center"/>
            </w:pPr>
            <w:r>
              <w:rPr>
                <w:rFonts w:ascii="Times New Roman" w:hAnsi="Times New Roman" w:eastAsia="宋体"/>
                <w:b w:val="0"/>
                <w:sz w:val="9"/>
              </w:rPr>
              <w:t>3.6×</w:t>
            </w:r>
          </w:p>
        </w:tc>
        <w:tc>
          <w:tcPr>
            <w:tcW w:w="521" w:type="dxa"/>
            <w:tcMar>
              <w:top w:w="18" w:type="dxa"/>
              <w:left w:w="18" w:type="dxa"/>
              <w:bottom w:w="18" w:type="dxa"/>
              <w:right w:w="18" w:type="dxa"/>
            </w:tcMar>
            <w:vAlign w:val="center"/>
          </w:tcPr>
          <w:p w14:paraId="7E6B121B">
            <w:pPr>
              <w:pStyle w:val="50"/>
              <w:keepNext w:val="0"/>
              <w:keepLines w:val="0"/>
              <w:spacing w:before="0" w:after="0" w:line="216" w:lineRule="auto"/>
              <w:ind w:left="0" w:right="0" w:firstLine="0"/>
              <w:jc w:val="center"/>
            </w:pPr>
            <w:r>
              <w:rPr>
                <w:rFonts w:ascii="Times New Roman" w:hAnsi="Times New Roman" w:eastAsia="宋体"/>
                <w:b w:val="0"/>
                <w:sz w:val="9"/>
              </w:rPr>
              <w:t>345.1</w:t>
            </w:r>
          </w:p>
        </w:tc>
        <w:tc>
          <w:tcPr>
            <w:tcW w:w="633" w:type="dxa"/>
            <w:tcMar>
              <w:top w:w="18" w:type="dxa"/>
              <w:left w:w="18" w:type="dxa"/>
              <w:bottom w:w="18" w:type="dxa"/>
              <w:right w:w="18" w:type="dxa"/>
            </w:tcMar>
            <w:vAlign w:val="center"/>
          </w:tcPr>
          <w:p w14:paraId="6CA2A465">
            <w:pPr>
              <w:pStyle w:val="50"/>
              <w:keepNext w:val="0"/>
              <w:keepLines w:val="0"/>
              <w:spacing w:before="0" w:after="0" w:line="216" w:lineRule="auto"/>
              <w:ind w:left="0" w:right="0" w:firstLine="0"/>
              <w:jc w:val="center"/>
            </w:pPr>
            <w:r>
              <w:rPr>
                <w:rFonts w:ascii="Times New Roman" w:hAnsi="Times New Roman" w:eastAsia="宋体"/>
                <w:b w:val="0"/>
                <w:sz w:val="9"/>
              </w:rPr>
              <w:t>178.1</w:t>
            </w:r>
          </w:p>
        </w:tc>
      </w:tr>
      <w:tr w14:paraId="7EB96A9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043" w:type="dxa"/>
            <w:tcMar>
              <w:top w:w="18" w:type="dxa"/>
              <w:left w:w="18" w:type="dxa"/>
              <w:bottom w:w="18" w:type="dxa"/>
              <w:right w:w="18" w:type="dxa"/>
            </w:tcMar>
            <w:vAlign w:val="center"/>
          </w:tcPr>
          <w:p w14:paraId="5A4BD72E">
            <w:pPr>
              <w:pStyle w:val="50"/>
              <w:keepNext w:val="0"/>
              <w:keepLines w:val="0"/>
              <w:spacing w:before="0" w:after="0" w:line="216" w:lineRule="auto"/>
              <w:ind w:left="0" w:right="0" w:firstLine="0"/>
              <w:jc w:val="center"/>
            </w:pPr>
            <w:r>
              <w:rPr>
                <w:rFonts w:ascii="Times New Roman" w:hAnsi="Times New Roman" w:eastAsia="宋体"/>
                <w:b w:val="0"/>
                <w:sz w:val="9"/>
              </w:rPr>
              <w:t>300</w:t>
            </w:r>
          </w:p>
        </w:tc>
        <w:tc>
          <w:tcPr>
            <w:tcW w:w="521" w:type="dxa"/>
            <w:tcMar>
              <w:top w:w="18" w:type="dxa"/>
              <w:left w:w="18" w:type="dxa"/>
              <w:bottom w:w="18" w:type="dxa"/>
              <w:right w:w="18" w:type="dxa"/>
            </w:tcMar>
            <w:vAlign w:val="center"/>
          </w:tcPr>
          <w:p w14:paraId="2A8AF25A">
            <w:pPr>
              <w:pStyle w:val="50"/>
              <w:keepNext w:val="0"/>
              <w:keepLines w:val="0"/>
              <w:spacing w:before="0" w:after="0" w:line="216" w:lineRule="auto"/>
              <w:ind w:left="0" w:right="0" w:firstLine="0"/>
              <w:jc w:val="center"/>
            </w:pPr>
            <w:r>
              <w:rPr>
                <w:rFonts w:ascii="Times New Roman" w:hAnsi="Times New Roman" w:eastAsia="宋体"/>
                <w:b w:val="0"/>
                <w:sz w:val="9"/>
              </w:rPr>
              <w:t>829（13）</w:t>
            </w:r>
          </w:p>
        </w:tc>
        <w:tc>
          <w:tcPr>
            <w:tcW w:w="559" w:type="dxa"/>
            <w:tcMar>
              <w:top w:w="18" w:type="dxa"/>
              <w:left w:w="18" w:type="dxa"/>
              <w:bottom w:w="18" w:type="dxa"/>
              <w:right w:w="18" w:type="dxa"/>
            </w:tcMar>
            <w:vAlign w:val="center"/>
          </w:tcPr>
          <w:p w14:paraId="2F803D17">
            <w:pPr>
              <w:pStyle w:val="50"/>
              <w:keepNext w:val="0"/>
              <w:keepLines w:val="0"/>
              <w:spacing w:before="0" w:after="0" w:line="216" w:lineRule="auto"/>
              <w:ind w:left="0" w:right="0" w:firstLine="0"/>
              <w:jc w:val="center"/>
            </w:pPr>
            <w:r>
              <w:rPr>
                <w:rFonts w:ascii="Times New Roman" w:hAnsi="Times New Roman" w:eastAsia="宋体"/>
                <w:b w:val="0"/>
                <w:sz w:val="9"/>
              </w:rPr>
              <w:t>2,100（7）</w:t>
            </w:r>
          </w:p>
        </w:tc>
        <w:tc>
          <w:tcPr>
            <w:tcW w:w="1043" w:type="dxa"/>
            <w:tcMar>
              <w:top w:w="18" w:type="dxa"/>
              <w:left w:w="18" w:type="dxa"/>
              <w:bottom w:w="18" w:type="dxa"/>
              <w:right w:w="18" w:type="dxa"/>
            </w:tcMar>
            <w:vAlign w:val="center"/>
          </w:tcPr>
          <w:p w14:paraId="65B45F63">
            <w:pPr>
              <w:pStyle w:val="50"/>
              <w:keepNext w:val="0"/>
              <w:keepLines w:val="0"/>
              <w:spacing w:before="0" w:after="0" w:line="216" w:lineRule="auto"/>
              <w:ind w:left="0" w:right="0" w:firstLine="0"/>
              <w:jc w:val="center"/>
            </w:pPr>
            <w:r>
              <w:rPr>
                <w:rFonts w:ascii="Times New Roman" w:hAnsi="Times New Roman" w:eastAsia="宋体"/>
                <w:b w:val="0"/>
                <w:sz w:val="9"/>
              </w:rPr>
              <w:t>2.5×</w:t>
            </w:r>
          </w:p>
        </w:tc>
        <w:tc>
          <w:tcPr>
            <w:tcW w:w="521" w:type="dxa"/>
            <w:tcMar>
              <w:top w:w="18" w:type="dxa"/>
              <w:left w:w="18" w:type="dxa"/>
              <w:bottom w:w="18" w:type="dxa"/>
              <w:right w:w="18" w:type="dxa"/>
            </w:tcMar>
            <w:vAlign w:val="center"/>
          </w:tcPr>
          <w:p w14:paraId="53BC5678">
            <w:pPr>
              <w:pStyle w:val="50"/>
              <w:keepNext w:val="0"/>
              <w:keepLines w:val="0"/>
              <w:spacing w:before="0" w:after="0" w:line="216" w:lineRule="auto"/>
              <w:ind w:left="0" w:right="0" w:firstLine="0"/>
              <w:jc w:val="center"/>
            </w:pPr>
            <w:r>
              <w:rPr>
                <w:rFonts w:ascii="Times New Roman" w:hAnsi="Times New Roman" w:eastAsia="宋体"/>
                <w:b w:val="0"/>
                <w:sz w:val="9"/>
              </w:rPr>
              <w:t>1,150.0</w:t>
            </w:r>
          </w:p>
        </w:tc>
        <w:tc>
          <w:tcPr>
            <w:tcW w:w="633" w:type="dxa"/>
            <w:tcMar>
              <w:top w:w="18" w:type="dxa"/>
              <w:left w:w="18" w:type="dxa"/>
              <w:bottom w:w="18" w:type="dxa"/>
              <w:right w:w="18" w:type="dxa"/>
            </w:tcMar>
            <w:vAlign w:val="center"/>
          </w:tcPr>
          <w:p w14:paraId="7B4E1CF2">
            <w:pPr>
              <w:pStyle w:val="50"/>
              <w:keepNext w:val="0"/>
              <w:keepLines w:val="0"/>
              <w:spacing w:before="0" w:after="0" w:line="216" w:lineRule="auto"/>
              <w:ind w:left="0" w:right="0" w:firstLine="0"/>
              <w:jc w:val="center"/>
            </w:pPr>
            <w:r>
              <w:rPr>
                <w:rFonts w:ascii="Times New Roman" w:hAnsi="Times New Roman" w:eastAsia="宋体"/>
                <w:b w:val="0"/>
                <w:sz w:val="9"/>
              </w:rPr>
              <w:t>357.2</w:t>
            </w:r>
          </w:p>
        </w:tc>
      </w:tr>
      <w:tr w14:paraId="54F9128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043" w:type="dxa"/>
            <w:tcMar>
              <w:top w:w="18" w:type="dxa"/>
              <w:left w:w="18" w:type="dxa"/>
              <w:bottom w:w="18" w:type="dxa"/>
              <w:right w:w="18" w:type="dxa"/>
            </w:tcMar>
            <w:vAlign w:val="center"/>
          </w:tcPr>
          <w:p w14:paraId="2A3A4A38">
            <w:pPr>
              <w:pStyle w:val="50"/>
              <w:keepNext w:val="0"/>
              <w:keepLines w:val="0"/>
              <w:spacing w:before="0" w:after="0" w:line="216" w:lineRule="auto"/>
              <w:ind w:left="0" w:right="0" w:firstLine="0"/>
              <w:jc w:val="center"/>
            </w:pPr>
            <w:r>
              <w:rPr>
                <w:rFonts w:ascii="Times New Roman" w:hAnsi="Times New Roman" w:eastAsia="宋体"/>
                <w:b w:val="0"/>
                <w:sz w:val="9"/>
              </w:rPr>
              <w:t>1000</w:t>
            </w:r>
          </w:p>
        </w:tc>
        <w:tc>
          <w:tcPr>
            <w:tcW w:w="521" w:type="dxa"/>
            <w:tcMar>
              <w:top w:w="18" w:type="dxa"/>
              <w:left w:w="18" w:type="dxa"/>
              <w:bottom w:w="18" w:type="dxa"/>
              <w:right w:w="18" w:type="dxa"/>
            </w:tcMar>
            <w:vAlign w:val="center"/>
          </w:tcPr>
          <w:p w14:paraId="193DFE78">
            <w:pPr>
              <w:pStyle w:val="50"/>
              <w:keepNext w:val="0"/>
              <w:keepLines w:val="0"/>
              <w:spacing w:before="0" w:after="0" w:line="216" w:lineRule="auto"/>
              <w:ind w:left="0" w:right="0" w:firstLine="0"/>
              <w:jc w:val="center"/>
            </w:pPr>
            <w:r>
              <w:rPr>
                <w:rFonts w:ascii="Times New Roman" w:hAnsi="Times New Roman" w:eastAsia="宋体"/>
                <w:b w:val="0"/>
                <w:sz w:val="9"/>
              </w:rPr>
              <w:t>2,607（12）</w:t>
            </w:r>
          </w:p>
        </w:tc>
        <w:tc>
          <w:tcPr>
            <w:tcW w:w="559" w:type="dxa"/>
            <w:tcMar>
              <w:top w:w="18" w:type="dxa"/>
              <w:left w:w="18" w:type="dxa"/>
              <w:bottom w:w="18" w:type="dxa"/>
              <w:right w:w="18" w:type="dxa"/>
            </w:tcMar>
            <w:vAlign w:val="center"/>
          </w:tcPr>
          <w:p w14:paraId="7A57F6F1">
            <w:pPr>
              <w:pStyle w:val="50"/>
              <w:keepNext w:val="0"/>
              <w:keepLines w:val="0"/>
              <w:spacing w:before="0" w:after="0" w:line="216" w:lineRule="auto"/>
              <w:ind w:left="0" w:right="0" w:firstLine="0"/>
              <w:jc w:val="center"/>
            </w:pPr>
            <w:r>
              <w:rPr>
                <w:rFonts w:ascii="Times New Roman" w:hAnsi="Times New Roman" w:eastAsia="宋体"/>
                <w:b w:val="0"/>
                <w:sz w:val="9"/>
              </w:rPr>
              <w:t>8,000（8）</w:t>
            </w:r>
          </w:p>
        </w:tc>
        <w:tc>
          <w:tcPr>
            <w:tcW w:w="1043" w:type="dxa"/>
            <w:tcMar>
              <w:top w:w="18" w:type="dxa"/>
              <w:left w:w="18" w:type="dxa"/>
              <w:bottom w:w="18" w:type="dxa"/>
              <w:right w:w="18" w:type="dxa"/>
            </w:tcMar>
            <w:vAlign w:val="center"/>
          </w:tcPr>
          <w:p w14:paraId="1BA961FB">
            <w:pPr>
              <w:pStyle w:val="50"/>
              <w:keepNext w:val="0"/>
              <w:keepLines w:val="0"/>
              <w:spacing w:before="0" w:after="0" w:line="216" w:lineRule="auto"/>
              <w:ind w:left="0" w:right="0" w:firstLine="0"/>
              <w:jc w:val="center"/>
            </w:pPr>
            <w:r>
              <w:rPr>
                <w:rFonts w:ascii="Times New Roman" w:hAnsi="Times New Roman" w:eastAsia="宋体"/>
                <w:b w:val="0"/>
                <w:sz w:val="9"/>
              </w:rPr>
              <w:t>3.1×</w:t>
            </w:r>
          </w:p>
        </w:tc>
        <w:tc>
          <w:tcPr>
            <w:tcW w:w="521" w:type="dxa"/>
            <w:tcMar>
              <w:top w:w="18" w:type="dxa"/>
              <w:left w:w="18" w:type="dxa"/>
              <w:bottom w:w="18" w:type="dxa"/>
              <w:right w:w="18" w:type="dxa"/>
            </w:tcMar>
            <w:vAlign w:val="center"/>
          </w:tcPr>
          <w:p w14:paraId="4C209959">
            <w:pPr>
              <w:pStyle w:val="50"/>
              <w:keepNext w:val="0"/>
              <w:keepLines w:val="0"/>
              <w:spacing w:before="0" w:after="0" w:line="216" w:lineRule="auto"/>
              <w:ind w:left="0" w:right="0" w:firstLine="0"/>
              <w:jc w:val="center"/>
            </w:pPr>
            <w:r>
              <w:rPr>
                <w:rFonts w:ascii="Times New Roman" w:hAnsi="Times New Roman" w:eastAsia="宋体"/>
                <w:b w:val="0"/>
                <w:sz w:val="9"/>
              </w:rPr>
              <w:t>4,166.8</w:t>
            </w:r>
          </w:p>
        </w:tc>
        <w:tc>
          <w:tcPr>
            <w:tcW w:w="633" w:type="dxa"/>
            <w:tcMar>
              <w:top w:w="18" w:type="dxa"/>
              <w:left w:w="18" w:type="dxa"/>
              <w:bottom w:w="18" w:type="dxa"/>
              <w:right w:w="18" w:type="dxa"/>
            </w:tcMar>
            <w:vAlign w:val="center"/>
          </w:tcPr>
          <w:p w14:paraId="19A7C9E5">
            <w:pPr>
              <w:pStyle w:val="50"/>
              <w:keepNext w:val="0"/>
              <w:keepLines w:val="0"/>
              <w:spacing w:before="0" w:after="0" w:line="216" w:lineRule="auto"/>
              <w:ind w:left="0" w:right="0" w:firstLine="0"/>
              <w:jc w:val="center"/>
            </w:pPr>
            <w:r>
              <w:rPr>
                <w:rFonts w:ascii="Times New Roman" w:hAnsi="Times New Roman" w:eastAsia="宋体"/>
                <w:b w:val="0"/>
                <w:sz w:val="9"/>
              </w:rPr>
              <w:t>1,253.8</w:t>
            </w:r>
          </w:p>
        </w:tc>
      </w:tr>
    </w:tbl>
    <w:p w14:paraId="7247E788">
      <w:pPr>
        <w:pStyle w:val="48"/>
        <w:widowControl/>
        <w:spacing w:before="0" w:after="0" w:line="269" w:lineRule="auto"/>
        <w:ind w:left="0" w:right="0" w:firstLine="420"/>
        <w:jc w:val="both"/>
        <w:rPr>
          <w:lang w:eastAsia="zh-CN"/>
        </w:rPr>
      </w:pPr>
      <w:r>
        <w:rPr>
          <w:rFonts w:ascii="Times New Roman" w:hAnsi="Times New Roman" w:eastAsia="宋体"/>
          <w:sz w:val="21"/>
          <w:lang w:eastAsia="zh-CN"/>
        </w:rPr>
        <w:t xml:space="preserve">在四档规模上，事件驱动均削减 </w:t>
      </w:r>
      <m:oMath>
        <m:sSub>
          <m:sSubPr>
            <m:ctrlPr>
              <w:rPr>
                <w:rFonts w:ascii="Cambria Math" w:hAnsi="Cambria Math"/>
              </w:rPr>
            </m:ctrlPr>
          </m:sSubPr>
          <m:e>
            <m:r>
              <m:rPr/>
              <w:rPr>
                <w:rFonts w:ascii="Cambria Math" w:hAnsi="Cambria Math"/>
                <w:lang w:eastAsia="zh-CN"/>
              </w:rPr>
              <m:t>f</m:t>
            </m:r>
            <m:ctrlPr>
              <w:rPr>
                <w:rFonts w:ascii="Cambria Math" w:hAnsi="Cambria Math"/>
              </w:rPr>
            </m:ctrlPr>
          </m:e>
          <m:sub>
            <m:r>
              <m:rPr/>
              <w:rPr>
                <w:rFonts w:ascii="Cambria Math" w:hAnsi="Cambria Math"/>
                <w:lang w:eastAsia="zh-CN"/>
              </w:rPr>
              <m:t>LLM</m:t>
            </m:r>
            <m:ctrlPr>
              <w:rPr>
                <w:rFonts w:ascii="Cambria Math" w:hAnsi="Cambria Math"/>
              </w:rPr>
            </m:ctrlPr>
          </m:sub>
        </m:sSub>
      </m:oMath>
      <w:r>
        <w:rPr>
          <w:rFonts w:ascii="Times New Roman" w:hAnsi="Times New Roman" w:eastAsia="宋体"/>
          <w:sz w:val="21"/>
          <w:lang w:eastAsia="zh-CN"/>
        </w:rPr>
        <w:t xml:space="preserve"> 评估次数（全轮询按 </w:t>
      </w:r>
      <m:oMath>
        <m:r>
          <m:rPr/>
          <w:rPr>
            <w:rFonts w:ascii="Cambria Math" w:hAnsi="Cambria Math"/>
            <w:lang w:eastAsia="zh-CN"/>
          </w:rPr>
          <m:t>O</m:t>
        </m:r>
        <m:d>
          <m:dPr>
            <m:ctrlPr>
              <w:rPr>
                <w:rFonts w:ascii="Cambria Math" w:hAnsi="Cambria Math"/>
              </w:rPr>
            </m:ctrlPr>
          </m:dPr>
          <m:e>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V</m:t>
            </m:r>
            <m:r>
              <m:rPr>
                <m:sty m:val="p"/>
              </m:rPr>
              <w:rPr>
                <w:rFonts w:ascii="Cambria Math" w:hAnsi="Cambria Math"/>
                <w:lang w:eastAsia="zh-CN"/>
              </w:rPr>
              <m:t>|</m:t>
            </m:r>
            <m:ctrlPr>
              <w:rPr>
                <w:rFonts w:ascii="Cambria Math" w:hAnsi="Cambria Math"/>
              </w:rPr>
            </m:ctrlPr>
          </m:e>
        </m:d>
      </m:oMath>
      <w:r>
        <w:rPr>
          <w:rFonts w:ascii="Times New Roman" w:hAnsi="Times New Roman" w:eastAsia="宋体"/>
          <w:sz w:val="21"/>
          <w:lang w:eastAsia="zh-CN"/>
        </w:rPr>
        <w:t xml:space="preserve"> 近线性膨胀至 </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1000</m:t>
        </m:r>
      </m:oMath>
      <w:r>
        <w:rPr>
          <w:rFonts w:ascii="Times New Roman" w:hAnsi="Times New Roman" w:eastAsia="宋体"/>
          <w:sz w:val="21"/>
          <w:lang w:eastAsia="zh-CN"/>
        </w:rPr>
        <w:t xml:space="preserve"> 时的 8,000 次，LEDS 仅对活跃节点求值，削减比 2.5×～4.8×）。须强调三点边界，避免过度解读：其一，该削减为</w:t>
      </w:r>
      <w:r>
        <w:rPr>
          <w:rFonts w:ascii="Times New Roman" w:hAnsi="Times New Roman" w:eastAsia="宋体"/>
          <w:b/>
          <w:bCs/>
          <w:sz w:val="21"/>
          <w:lang w:eastAsia="zh-CN"/>
        </w:rPr>
        <w:t>架构级</w:t>
      </w:r>
      <w:r>
        <w:rPr>
          <w:rFonts w:ascii="Times New Roman" w:hAnsi="Times New Roman" w:eastAsia="宋体"/>
          <w:sz w:val="21"/>
          <w:lang w:eastAsia="zh-CN"/>
        </w:rPr>
        <w:t xml:space="preserve">指标，未必等比转化为墙钟或成本：空闲节点的相同 Prompt 大多命中响应缓存，故本表除 </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50</m:t>
        </m:r>
      </m:oMath>
      <w:r>
        <w:rPr>
          <w:rFonts w:ascii="Times New Roman" w:hAnsi="Times New Roman" w:eastAsia="宋体"/>
          <w:sz w:val="21"/>
          <w:lang w:eastAsia="zh-CN"/>
        </w:rPr>
        <w:t xml:space="preserve"> 外 LEDS 墙钟反而更高（正文 4.3 节已就此辨析）；其二，削减比不随规模单调递增，而取决于实例的收敛快慢与全轮询实际步数 </w:t>
      </w:r>
      <m:oMath>
        <m:r>
          <m:rPr/>
          <w:rPr>
            <w:rFonts w:ascii="Cambria Math" w:hAnsi="Cambria Math"/>
            <w:lang w:eastAsia="zh-CN"/>
          </w:rPr>
          <m:t>T</m:t>
        </m:r>
      </m:oMath>
      <w:r>
        <w:rPr>
          <w:rFonts w:ascii="Times New Roman" w:hAnsi="Times New Roman" w:eastAsia="宋体"/>
          <w:sz w:val="21"/>
          <w:lang w:eastAsia="zh-CN"/>
        </w:rPr>
        <w:t xml:space="preserve">（本批 </w:t>
      </w:r>
      <m:oMath>
        <m:r>
          <m:rPr/>
          <w:rPr>
            <w:rFonts w:ascii="Cambria Math" w:hAnsi="Cambria Math"/>
            <w:lang w:eastAsia="zh-CN"/>
          </w:rPr>
          <m:t>T</m:t>
        </m:r>
      </m:oMath>
      <w:r>
        <w:rPr>
          <w:rFonts w:ascii="Times New Roman" w:hAnsi="Times New Roman" w:eastAsia="宋体"/>
          <w:sz w:val="21"/>
          <w:lang w:eastAsia="zh-CN"/>
        </w:rPr>
        <w:t xml:space="preserve"> 在 7～9 间波动），故 </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300</m:t>
        </m:r>
      </m:oMath>
      <w:r>
        <w:rPr>
          <w:rFonts w:ascii="Times New Roman" w:hAnsi="Times New Roman" w:eastAsia="宋体"/>
          <w:sz w:val="21"/>
          <w:lang w:eastAsia="zh-CN"/>
        </w:rPr>
        <w:t xml:space="preserve"> 档反而最低（2.5×），不能据此外推”规模越大越省”；其三，本表 </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300</m:t>
        </m:r>
      </m:oMath>
      <w:r>
        <w:rPr>
          <w:rFonts w:ascii="Times New Roman" w:hAnsi="Times New Roman" w:eastAsia="宋体"/>
          <w:sz w:val="21"/>
          <w:lang w:eastAsia="zh-CN"/>
        </w:rPr>
        <w:t xml:space="preserve"> 的 829 次与正文 4.3、4.4、4.6 节同规模实验的评估次数（662 / 701 等）差异，源于图实例、源节点、缓存状态与运行间非确定性（4.4 节）的不同，均属同一散布带内的合理波动。</w:t>
      </w:r>
    </w:p>
    <w:sectPr>
      <w:headerReference r:id="rId9" w:type="default"/>
      <w:type w:val="continuous"/>
      <w:pgSz w:w="11907" w:h="16840"/>
      <w:pgMar w:top="1701" w:right="1021" w:bottom="964" w:left="1474" w:header="1077" w:footer="720" w:gutter="0"/>
      <w:cols w:space="454" w:num="2"/>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MS Sans Serif">
    <w:altName w:val="Arial"/>
    <w:panose1 w:val="020B0500000000000000"/>
    <w:charset w:val="00"/>
    <w:family w:val="swiss"/>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Cambria Math">
    <w:panose1 w:val="02040503050406030204"/>
    <w:charset w:val="00"/>
    <w:family w:val="auto"/>
    <w:pitch w:val="default"/>
    <w:sig w:usb0="E00006FF" w:usb1="420024FF" w:usb2="02000000" w:usb3="00000000" w:csb0="2000019F"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C2F1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2755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82222">
    <w:pPr>
      <w:pStyle w:val="19"/>
      <w:rPr>
        <w:b/>
      </w:rPr>
    </w:pPr>
    <w:r>
      <w:rPr>
        <w:rFonts w:ascii="Times New Roman" w:hAnsi="Times New Roman" w:eastAsia="宋体"/>
        <w:sz w:val="16"/>
      </w:rPr>
      <w:t>收稿日期  [编辑部填写]  修订日期  [编辑部填写]  录用日期  [编辑部填写]</w:t>
    </w:r>
  </w:p>
  <w:p w14:paraId="4CD96444">
    <w:pPr>
      <w:pStyle w:val="19"/>
      <w:rPr>
        <w:rFonts w:ascii="宋体" w:hAnsi="宋体"/>
      </w:rPr>
    </w:pPr>
    <w:r>
      <w:rPr>
        <w:rFonts w:ascii="Times New Roman" w:hAnsi="Times New Roman" w:eastAsia="宋体"/>
        <w:color w:val="C00000"/>
        <w:sz w:val="16"/>
      </w:rPr>
      <w:t>基金项目：[待补充项目名称及编号]</w:t>
    </w:r>
  </w:p>
  <w:p w14:paraId="612B2F60">
    <w:pPr>
      <w:pStyle w:val="15"/>
      <w:rPr>
        <w:rFonts w:ascii="Times"/>
      </w:rPr>
    </w:pPr>
    <w:r>
      <w:rPr>
        <w:rFonts w:ascii="Times New Roman" w:hAnsi="Times New Roman" w:eastAsia="宋体"/>
        <w:color w:val="C00000"/>
        <w:sz w:val="16"/>
      </w:rPr>
      <w:t>*通信作者简介：[待补充姓名、出生年、性别、籍贯、学历与职称]</w:t>
    </w:r>
  </w:p>
  <w:p w14:paraId="34A1B7B9">
    <w:pPr>
      <w:pStyle w:val="15"/>
      <w:rPr>
        <w:rFonts w:ascii="Time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F4F3C">
    <w:pPr>
      <w:pStyle w:val="16"/>
      <w:pBdr>
        <w:bottom w:val="double" w:color="auto" w:sz="6" w:space="1"/>
      </w:pBdr>
      <w:jc w:val="both"/>
    </w:pPr>
    <w:r>
      <w:rPr>
        <w:rFonts w:hint="eastAsia"/>
        <w:sz w:val="15"/>
      </w:rPr>
      <w:t xml:space="preserve">  第 期                                              作者待补充：LEDS可重放事件驱动LLM多智能体仿真协议                                                        </w:t>
    </w:r>
    <w:r>
      <w:rPr>
        <w:rStyle w:val="27"/>
      </w:rPr>
      <w:fldChar w:fldCharType="begin"/>
    </w:r>
    <w:r>
      <w:rPr>
        <w:rStyle w:val="27"/>
      </w:rPr>
      <w:instrText xml:space="preserve"> PAGE </w:instrText>
    </w:r>
    <w:r>
      <w:rPr>
        <w:rStyle w:val="27"/>
      </w:rPr>
      <w:fldChar w:fldCharType="separate"/>
    </w:r>
    <w:r>
      <w:rPr>
        <w:rStyle w:val="27"/>
      </w:rPr>
      <w:t>3</w:t>
    </w:r>
    <w:r>
      <w:rPr>
        <w:rStyle w:val="27"/>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71420">
    <w:pPr>
      <w:pStyle w:val="16"/>
      <w:pBdr>
        <w:bottom w:val="double" w:color="auto" w:sz="4" w:space="1"/>
      </w:pBdr>
      <w:jc w:val="both"/>
      <w:rPr>
        <w:sz w:val="15"/>
      </w:rPr>
    </w:pPr>
    <w:r>
      <w:rPr>
        <w:rStyle w:val="27"/>
        <w:rFonts w:hint="eastAsia"/>
        <w:sz w:val="15"/>
      </w:rPr>
      <w:t xml:space="preserve">  </w:t>
    </w:r>
    <w:r>
      <w:rPr>
        <w:rStyle w:val="27"/>
        <w:sz w:val="15"/>
      </w:rPr>
      <w:fldChar w:fldCharType="begin"/>
    </w:r>
    <w:r>
      <w:rPr>
        <w:rStyle w:val="27"/>
        <w:sz w:val="15"/>
      </w:rPr>
      <w:instrText xml:space="preserve"> PAGE </w:instrText>
    </w:r>
    <w:r>
      <w:rPr>
        <w:rStyle w:val="27"/>
        <w:sz w:val="15"/>
      </w:rPr>
      <w:fldChar w:fldCharType="separate"/>
    </w:r>
    <w:r>
      <w:rPr>
        <w:rStyle w:val="27"/>
        <w:sz w:val="15"/>
      </w:rPr>
      <w:t>2</w:t>
    </w:r>
    <w:r>
      <w:rPr>
        <w:rStyle w:val="27"/>
        <w:sz w:val="15"/>
      </w:rPr>
      <w:fldChar w:fldCharType="end"/>
    </w:r>
    <w:r>
      <w:rPr>
        <w:rStyle w:val="27"/>
        <w:rFonts w:hint="eastAsia"/>
        <w:sz w:val="15"/>
      </w:rPr>
      <w:t xml:space="preserve">                                                    指  挥  与  控  制  学  报                                     第   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BC25F">
    <w:pPr>
      <w:pStyle w:val="16"/>
      <w:pBdr>
        <w:bottom w:val="double" w:color="auto" w:sz="4" w:space="1"/>
      </w:pBdr>
      <w:ind w:left="630" w:hanging="630" w:hangingChars="350"/>
      <w:jc w:val="both"/>
      <w:rPr>
        <w:szCs w:val="18"/>
      </w:rPr>
    </w:pPr>
    <w:r>
      <w:rPr>
        <w:rFonts w:hint="eastAsia"/>
      </w:rPr>
      <w:t xml:space="preserve">  </w:t>
    </w:r>
    <w:r>
      <w:rPr>
        <w:rFonts w:hint="eastAsia"/>
        <w:szCs w:val="18"/>
      </w:rPr>
      <w:t xml:space="preserve">第  卷    第  期                      </w:t>
    </w:r>
    <w:r>
      <w:rPr>
        <w:rFonts w:hint="eastAsia" w:eastAsia="黑体"/>
        <w:sz w:val="24"/>
        <w:szCs w:val="24"/>
      </w:rPr>
      <w:t>指 挥 与 控 制 学 报</w:t>
    </w:r>
    <w:r>
      <w:rPr>
        <w:rFonts w:hint="eastAsia"/>
        <w:szCs w:val="18"/>
      </w:rPr>
      <w:t xml:space="preserve">                               </w:t>
    </w:r>
    <w:r>
      <w:rPr>
        <w:szCs w:val="18"/>
      </w:rPr>
      <w:t>Vol.</w:t>
    </w:r>
    <w:r>
      <w:rPr>
        <w:rFonts w:hint="eastAsia"/>
        <w:szCs w:val="18"/>
      </w:rPr>
      <w:t xml:space="preserve"> , </w:t>
    </w:r>
    <w:r>
      <w:rPr>
        <w:szCs w:val="18"/>
      </w:rPr>
      <w:t>No.</w:t>
    </w:r>
    <w:r>
      <w:rPr>
        <w:rFonts w:hint="eastAsia"/>
        <w:szCs w:val="18"/>
      </w:rPr>
      <w:t xml:space="preserve">   </w:t>
    </w:r>
    <w:r>
      <w:rPr>
        <w:szCs w:val="18"/>
      </w:rPr>
      <w:t xml:space="preserve">   </w:t>
    </w:r>
    <w:r>
      <w:rPr>
        <w:rFonts w:hint="eastAsia"/>
        <w:szCs w:val="18"/>
      </w:rPr>
      <w:t xml:space="preserve">年    </w:t>
    </w:r>
    <w:r>
      <w:rPr>
        <w:szCs w:val="18"/>
      </w:rPr>
      <w:t xml:space="preserve">  </w:t>
    </w:r>
    <w:r>
      <w:rPr>
        <w:rFonts w:hint="eastAsia"/>
        <w:szCs w:val="18"/>
      </w:rPr>
      <w:t xml:space="preserve">月              </w:t>
    </w:r>
    <w:r>
      <w:rPr>
        <w:rFonts w:hint="eastAsia" w:eastAsia="黑体"/>
        <w:sz w:val="21"/>
        <w:szCs w:val="21"/>
      </w:rPr>
      <w:t xml:space="preserve">JOURNAL OF COMMAND AND CONTROL   </w:t>
    </w:r>
    <w:r>
      <w:rPr>
        <w:rFonts w:hint="eastAsia"/>
        <w:szCs w:val="18"/>
      </w:rPr>
      <w:t xml:space="preserve">   </w:t>
    </w:r>
    <w:r>
      <w:rPr>
        <w:rFonts w:hint="eastAsia"/>
      </w:rPr>
      <w:t xml:space="preserve">               May, 202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6125E">
    <w:pPr>
      <w:pStyle w:val="16"/>
      <w:pBdr>
        <w:bottom w:val="double" w:color="auto" w:sz="6" w:space="1"/>
      </w:pBdr>
      <w:jc w:val="both"/>
    </w:pPr>
    <w:r>
      <w:rPr>
        <w:rFonts w:hint="eastAsia"/>
        <w:sz w:val="15"/>
      </w:rPr>
      <w:t xml:space="preserve">  第 期                                              作者待补充：LEDS可重放事件驱动LLM多智能体仿真协议                                                        </w:t>
    </w:r>
    <w:r>
      <w:rPr>
        <w:rStyle w:val="27"/>
      </w:rPr>
      <w:fldChar w:fldCharType="begin"/>
    </w:r>
    <w:r>
      <w:rPr>
        <w:rStyle w:val="27"/>
      </w:rPr>
      <w:instrText xml:space="preserve"> PAGE </w:instrText>
    </w:r>
    <w:r>
      <w:rPr>
        <w:rStyle w:val="27"/>
      </w:rPr>
      <w:fldChar w:fldCharType="separate"/>
    </w:r>
    <w:r>
      <w:rPr>
        <w:rStyle w:val="27"/>
      </w:rPr>
      <w:t>3</w:t>
    </w:r>
    <w:r>
      <w:rPr>
        <w:rStyle w:val="27"/>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2B6CE2"/>
    <w:multiLevelType w:val="multilevel"/>
    <w:tmpl w:val="612B6CE2"/>
    <w:lvl w:ilvl="0" w:tentative="0">
      <w:start w:val="1"/>
      <w:numFmt w:val="decimal"/>
      <w:pStyle w:val="53"/>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removePersonalInformation/>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autoHyphenation/>
  <w:hyphenationZone w:val="357"/>
  <w:doNotHyphenateCaps/>
  <w:evenAndOddHeaders w:val="1"/>
  <w:drawingGridHorizontalSpacing w:val="109"/>
  <w:drawingGridVerticalSpacing w:val="165"/>
  <w:displayHorizontalDrawingGridEvery w:val="0"/>
  <w:displayVerticalDrawingGridEvery w:val="2"/>
  <w:noPunctuationKerning w:val="1"/>
  <w:characterSpacingControl w:val="doNotCompress"/>
  <w:noLineBreaksAfter w:lang="zh-CN" w:val="([{·‘“〈《「『【〔〖（．［｛￡￥"/>
  <w:noLineBreaksBefore w:lang="zh-CN" w:val="!),.:;?D]}¨·ˇˉ‖’”…∶、。〃々〉》」』】〕〗！＂＇），．：；？］｀｜｝～￠"/>
  <w:compat>
    <w:spaceForUL/>
    <w:balanceSingleByteDoubleByteWidth/>
    <w:doNotLeaveBackslashAlone/>
    <w:ulTrailSpace/>
    <w:doNotExpandShiftReturn/>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8C577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qFormat="1" w:unhideWhenUsed="0" w:uiPriority="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textAlignment w:val="baseline"/>
    </w:pPr>
    <w:rPr>
      <w:rFonts w:ascii="Times New Roman" w:hAnsi="Times New Roman" w:eastAsia="宋体" w:cs="Times New Roman"/>
      <w:kern w:val="2"/>
      <w:sz w:val="24"/>
      <w:lang w:val="en-US" w:eastAsia="zh-CN" w:bidi="ar-SA"/>
    </w:rPr>
  </w:style>
  <w:style w:type="paragraph" w:styleId="2">
    <w:name w:val="heading 1"/>
    <w:basedOn w:val="1"/>
    <w:next w:val="1"/>
    <w:qFormat/>
    <w:uiPriority w:val="0"/>
    <w:pPr>
      <w:keepNext/>
      <w:ind w:left="425" w:right="425"/>
      <w:jc w:val="center"/>
      <w:outlineLvl w:val="0"/>
    </w:pPr>
    <w:rPr>
      <w:b/>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26">
    <w:name w:val="Default Paragraph Font"/>
    <w:semiHidden/>
    <w:unhideWhenUsed/>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5">
    <w:name w:val="index 8"/>
    <w:basedOn w:val="1"/>
    <w:next w:val="1"/>
    <w:autoRedefine/>
    <w:semiHidden/>
    <w:qFormat/>
    <w:uiPriority w:val="0"/>
    <w:pPr>
      <w:ind w:left="2940"/>
    </w:pPr>
  </w:style>
  <w:style w:type="paragraph" w:styleId="6">
    <w:name w:val="Normal Indent"/>
    <w:basedOn w:val="1"/>
    <w:qFormat/>
    <w:uiPriority w:val="0"/>
    <w:pPr>
      <w:adjustRightInd/>
      <w:ind w:firstLine="420"/>
      <w:jc w:val="both"/>
      <w:textAlignment w:val="auto"/>
    </w:pPr>
    <w:rPr>
      <w:sz w:val="21"/>
    </w:rPr>
  </w:style>
  <w:style w:type="paragraph" w:styleId="7">
    <w:name w:val="index 5"/>
    <w:basedOn w:val="1"/>
    <w:next w:val="1"/>
    <w:autoRedefine/>
    <w:semiHidden/>
    <w:qFormat/>
    <w:uiPriority w:val="0"/>
    <w:pPr>
      <w:ind w:left="1680"/>
    </w:pPr>
  </w:style>
  <w:style w:type="paragraph" w:styleId="8">
    <w:name w:val="Document Map"/>
    <w:basedOn w:val="1"/>
    <w:semiHidden/>
    <w:uiPriority w:val="0"/>
    <w:pPr>
      <w:shd w:val="clear" w:color="auto" w:fill="000080"/>
    </w:pPr>
  </w:style>
  <w:style w:type="paragraph" w:styleId="9">
    <w:name w:val="annotation text"/>
    <w:basedOn w:val="1"/>
    <w:link w:val="63"/>
    <w:semiHidden/>
    <w:qFormat/>
    <w:uiPriority w:val="0"/>
    <w:rPr>
      <w:lang w:val="zh-CN" w:eastAsia="zh-CN"/>
    </w:rPr>
  </w:style>
  <w:style w:type="paragraph" w:styleId="10">
    <w:name w:val="index 6"/>
    <w:basedOn w:val="1"/>
    <w:next w:val="1"/>
    <w:autoRedefine/>
    <w:semiHidden/>
    <w:qFormat/>
    <w:uiPriority w:val="0"/>
    <w:pPr>
      <w:ind w:left="2100"/>
    </w:pPr>
  </w:style>
  <w:style w:type="paragraph" w:styleId="11">
    <w:name w:val="Body Text"/>
    <w:basedOn w:val="1"/>
    <w:qFormat/>
    <w:uiPriority w:val="0"/>
    <w:pPr>
      <w:tabs>
        <w:tab w:val="left" w:pos="357"/>
      </w:tabs>
      <w:overflowPunct w:val="0"/>
      <w:adjustRightInd/>
      <w:ind w:firstLine="200" w:firstLineChars="200"/>
      <w:jc w:val="both"/>
      <w:textAlignment w:val="auto"/>
    </w:pPr>
    <w:rPr>
      <w:sz w:val="18"/>
    </w:rPr>
  </w:style>
  <w:style w:type="paragraph" w:styleId="12">
    <w:name w:val="index 4"/>
    <w:basedOn w:val="1"/>
    <w:next w:val="1"/>
    <w:autoRedefine/>
    <w:semiHidden/>
    <w:qFormat/>
    <w:uiPriority w:val="0"/>
    <w:pPr>
      <w:ind w:left="1260"/>
    </w:pPr>
  </w:style>
  <w:style w:type="paragraph" w:styleId="13">
    <w:name w:val="index 3"/>
    <w:basedOn w:val="1"/>
    <w:next w:val="1"/>
    <w:autoRedefine/>
    <w:semiHidden/>
    <w:uiPriority w:val="0"/>
    <w:pPr>
      <w:ind w:left="840"/>
    </w:pPr>
  </w:style>
  <w:style w:type="paragraph" w:styleId="14">
    <w:name w:val="Balloon Text"/>
    <w:basedOn w:val="1"/>
    <w:semiHidden/>
    <w:qFormat/>
    <w:uiPriority w:val="0"/>
    <w:pPr>
      <w:adjustRightInd/>
      <w:jc w:val="both"/>
      <w:textAlignment w:val="auto"/>
    </w:pPr>
    <w:rPr>
      <w:rFonts w:ascii="Arial" w:hAnsi="Arial"/>
      <w:sz w:val="18"/>
      <w:szCs w:val="18"/>
    </w:rPr>
  </w:style>
  <w:style w:type="paragraph" w:styleId="15">
    <w:name w:val="footer"/>
    <w:basedOn w:val="1"/>
    <w:qFormat/>
    <w:uiPriority w:val="0"/>
    <w:pPr>
      <w:tabs>
        <w:tab w:val="center" w:pos="4153"/>
        <w:tab w:val="right" w:pos="8306"/>
      </w:tabs>
    </w:pPr>
    <w:rPr>
      <w:sz w:val="18"/>
    </w:rPr>
  </w:style>
  <w:style w:type="paragraph" w:styleId="16">
    <w:name w:val="header"/>
    <w:basedOn w:val="1"/>
    <w:qFormat/>
    <w:uiPriority w:val="0"/>
    <w:pPr>
      <w:pBdr>
        <w:bottom w:val="single" w:color="auto" w:sz="6" w:space="1"/>
      </w:pBdr>
      <w:tabs>
        <w:tab w:val="center" w:pos="4153"/>
        <w:tab w:val="right" w:pos="8306"/>
      </w:tabs>
      <w:spacing w:line="240" w:lineRule="atLeast"/>
      <w:jc w:val="center"/>
    </w:pPr>
    <w:rPr>
      <w:kern w:val="0"/>
      <w:sz w:val="18"/>
    </w:rPr>
  </w:style>
  <w:style w:type="paragraph" w:styleId="17">
    <w:name w:val="index heading"/>
    <w:basedOn w:val="1"/>
    <w:next w:val="18"/>
    <w:semiHidden/>
    <w:qFormat/>
    <w:uiPriority w:val="0"/>
  </w:style>
  <w:style w:type="paragraph" w:styleId="18">
    <w:name w:val="index 1"/>
    <w:basedOn w:val="1"/>
    <w:next w:val="1"/>
    <w:autoRedefine/>
    <w:semiHidden/>
    <w:qFormat/>
    <w:uiPriority w:val="0"/>
  </w:style>
  <w:style w:type="paragraph" w:styleId="19">
    <w:name w:val="footnote text"/>
    <w:basedOn w:val="1"/>
    <w:semiHidden/>
    <w:qFormat/>
    <w:uiPriority w:val="0"/>
    <w:pPr>
      <w:snapToGrid w:val="0"/>
    </w:pPr>
    <w:rPr>
      <w:sz w:val="18"/>
    </w:rPr>
  </w:style>
  <w:style w:type="paragraph" w:styleId="20">
    <w:name w:val="index 7"/>
    <w:basedOn w:val="1"/>
    <w:next w:val="1"/>
    <w:autoRedefine/>
    <w:semiHidden/>
    <w:qFormat/>
    <w:uiPriority w:val="0"/>
    <w:pPr>
      <w:ind w:left="2520"/>
    </w:pPr>
  </w:style>
  <w:style w:type="paragraph" w:styleId="21">
    <w:name w:val="index 9"/>
    <w:basedOn w:val="1"/>
    <w:next w:val="1"/>
    <w:autoRedefine/>
    <w:semiHidden/>
    <w:qFormat/>
    <w:uiPriority w:val="0"/>
    <w:pPr>
      <w:ind w:left="3360"/>
    </w:pPr>
  </w:style>
  <w:style w:type="paragraph" w:styleId="22">
    <w:name w:val="index 2"/>
    <w:basedOn w:val="1"/>
    <w:next w:val="1"/>
    <w:autoRedefine/>
    <w:semiHidden/>
    <w:qFormat/>
    <w:uiPriority w:val="0"/>
    <w:pPr>
      <w:ind w:left="420"/>
    </w:pPr>
  </w:style>
  <w:style w:type="paragraph" w:styleId="23">
    <w:name w:val="Title"/>
    <w:basedOn w:val="1"/>
    <w:qFormat/>
    <w:uiPriority w:val="0"/>
    <w:pPr>
      <w:spacing w:before="240" w:after="200"/>
      <w:ind w:left="425" w:right="425"/>
      <w:jc w:val="center"/>
    </w:pPr>
    <w:rPr>
      <w:rFonts w:eastAsia="黑体"/>
      <w:sz w:val="42"/>
    </w:rPr>
  </w:style>
  <w:style w:type="paragraph" w:styleId="24">
    <w:name w:val="annotation subject"/>
    <w:basedOn w:val="9"/>
    <w:next w:val="9"/>
    <w:link w:val="64"/>
    <w:qFormat/>
    <w:uiPriority w:val="0"/>
    <w:rPr>
      <w:b/>
      <w:bCs/>
    </w:rPr>
  </w:style>
  <w:style w:type="character" w:styleId="27">
    <w:name w:val="page number"/>
    <w:basedOn w:val="26"/>
    <w:qFormat/>
    <w:uiPriority w:val="0"/>
  </w:style>
  <w:style w:type="character" w:styleId="28">
    <w:name w:val="Hyperlink"/>
    <w:qFormat/>
    <w:uiPriority w:val="0"/>
    <w:rPr>
      <w:color w:val="0000FF"/>
      <w:u w:val="single"/>
    </w:rPr>
  </w:style>
  <w:style w:type="character" w:styleId="29">
    <w:name w:val="annotation reference"/>
    <w:semiHidden/>
    <w:qFormat/>
    <w:uiPriority w:val="0"/>
    <w:rPr>
      <w:sz w:val="21"/>
    </w:rPr>
  </w:style>
  <w:style w:type="character" w:styleId="30">
    <w:name w:val="footnote reference"/>
    <w:semiHidden/>
    <w:qFormat/>
    <w:uiPriority w:val="0"/>
    <w:rPr>
      <w:vertAlign w:val="superscript"/>
    </w:rPr>
  </w:style>
  <w:style w:type="paragraph" w:customStyle="1" w:styleId="31">
    <w:name w:val="文章编号"/>
    <w:basedOn w:val="1"/>
    <w:uiPriority w:val="0"/>
    <w:pPr>
      <w:wordWrap w:val="0"/>
      <w:overflowPunct w:val="0"/>
      <w:autoSpaceDE w:val="0"/>
      <w:autoSpaceDN w:val="0"/>
      <w:ind w:left="425" w:right="425"/>
    </w:pPr>
    <w:rPr>
      <w:sz w:val="18"/>
    </w:rPr>
  </w:style>
  <w:style w:type="paragraph" w:customStyle="1" w:styleId="32">
    <w:name w:val="作者姓名中文"/>
    <w:basedOn w:val="1"/>
    <w:uiPriority w:val="0"/>
    <w:pPr>
      <w:spacing w:after="60"/>
      <w:ind w:left="425" w:right="425"/>
      <w:jc w:val="center"/>
    </w:pPr>
    <w:rPr>
      <w:sz w:val="22"/>
    </w:rPr>
  </w:style>
  <w:style w:type="paragraph" w:customStyle="1" w:styleId="33">
    <w:name w:val="作者单位中文"/>
    <w:basedOn w:val="1"/>
    <w:uiPriority w:val="0"/>
    <w:pPr>
      <w:spacing w:after="20"/>
      <w:ind w:left="425" w:right="425"/>
      <w:jc w:val="center"/>
    </w:pPr>
    <w:rPr>
      <w:rFonts w:ascii="宋体"/>
      <w:sz w:val="18"/>
    </w:rPr>
  </w:style>
  <w:style w:type="paragraph" w:customStyle="1" w:styleId="34">
    <w:name w:val="英文标题"/>
    <w:basedOn w:val="1"/>
    <w:uiPriority w:val="0"/>
    <w:pPr>
      <w:spacing w:after="60"/>
      <w:ind w:left="425" w:right="425"/>
      <w:jc w:val="center"/>
    </w:pPr>
    <w:rPr>
      <w:b/>
    </w:rPr>
  </w:style>
  <w:style w:type="paragraph" w:customStyle="1" w:styleId="35">
    <w:name w:val="作者姓名拼音"/>
    <w:basedOn w:val="1"/>
    <w:uiPriority w:val="0"/>
    <w:pPr>
      <w:spacing w:after="40"/>
      <w:ind w:left="425" w:right="425"/>
      <w:jc w:val="center"/>
    </w:pPr>
    <w:rPr>
      <w:sz w:val="23"/>
    </w:rPr>
  </w:style>
  <w:style w:type="paragraph" w:customStyle="1" w:styleId="36">
    <w:name w:val="作者单位英文名称"/>
    <w:basedOn w:val="1"/>
    <w:uiPriority w:val="0"/>
    <w:pPr>
      <w:spacing w:after="240"/>
      <w:ind w:left="425" w:right="425"/>
      <w:jc w:val="center"/>
    </w:pPr>
    <w:rPr>
      <w:sz w:val="19"/>
    </w:rPr>
  </w:style>
  <w:style w:type="paragraph" w:customStyle="1" w:styleId="37">
    <w:name w:val="中文摘要"/>
    <w:basedOn w:val="1"/>
    <w:uiPriority w:val="0"/>
    <w:pPr>
      <w:spacing w:line="300" w:lineRule="exact"/>
      <w:ind w:left="425" w:right="425"/>
    </w:pPr>
    <w:rPr>
      <w:rFonts w:ascii="宋体" w:hAnsi="MS Sans Serif"/>
      <w:sz w:val="18"/>
    </w:rPr>
  </w:style>
  <w:style w:type="paragraph" w:customStyle="1" w:styleId="38">
    <w:name w:val="中图分类号"/>
    <w:basedOn w:val="1"/>
    <w:qFormat/>
    <w:uiPriority w:val="0"/>
    <w:pPr>
      <w:spacing w:line="300" w:lineRule="exact"/>
      <w:ind w:left="425" w:right="425"/>
    </w:pPr>
    <w:rPr>
      <w:rFonts w:ascii="宋体" w:hAnsi="MS Sans Serif"/>
      <w:sz w:val="18"/>
    </w:rPr>
  </w:style>
  <w:style w:type="paragraph" w:customStyle="1" w:styleId="39">
    <w:name w:val="英文关键词"/>
    <w:basedOn w:val="1"/>
    <w:qFormat/>
    <w:uiPriority w:val="0"/>
    <w:pPr>
      <w:spacing w:after="397" w:line="300" w:lineRule="exact"/>
      <w:ind w:left="425" w:right="425"/>
    </w:pPr>
    <w:rPr>
      <w:sz w:val="19"/>
    </w:rPr>
  </w:style>
  <w:style w:type="paragraph" w:customStyle="1" w:styleId="40">
    <w:name w:val="英文摘要"/>
    <w:basedOn w:val="1"/>
    <w:qFormat/>
    <w:uiPriority w:val="0"/>
    <w:pPr>
      <w:spacing w:line="300" w:lineRule="exact"/>
      <w:ind w:left="425" w:right="425"/>
    </w:pPr>
    <w:rPr>
      <w:sz w:val="19"/>
    </w:rPr>
  </w:style>
  <w:style w:type="paragraph" w:customStyle="1" w:styleId="41">
    <w:name w:val="中文关键词"/>
    <w:basedOn w:val="37"/>
    <w:qFormat/>
    <w:uiPriority w:val="0"/>
  </w:style>
  <w:style w:type="paragraph" w:customStyle="1" w:styleId="42">
    <w:name w:val="分类号及标识码"/>
    <w:basedOn w:val="1"/>
    <w:qFormat/>
    <w:uiPriority w:val="0"/>
    <w:pPr>
      <w:spacing w:line="300" w:lineRule="exact"/>
      <w:ind w:left="425" w:right="425"/>
    </w:pPr>
    <w:rPr>
      <w:rFonts w:ascii="宋体" w:hAnsi="MS Sans Serif"/>
      <w:sz w:val="18"/>
    </w:rPr>
  </w:style>
  <w:style w:type="paragraph" w:customStyle="1" w:styleId="43">
    <w:name w:val="标题1"/>
    <w:basedOn w:val="1"/>
    <w:qFormat/>
    <w:uiPriority w:val="0"/>
    <w:pPr>
      <w:wordWrap w:val="0"/>
      <w:overflowPunct w:val="0"/>
      <w:autoSpaceDE w:val="0"/>
      <w:autoSpaceDN w:val="0"/>
      <w:spacing w:before="170" w:after="170" w:line="314" w:lineRule="exact"/>
    </w:pPr>
    <w:rPr>
      <w:rFonts w:ascii="宋体" w:hAnsi="MS Sans Serif"/>
    </w:rPr>
  </w:style>
  <w:style w:type="paragraph" w:customStyle="1" w:styleId="44">
    <w:name w:val="参考文献"/>
    <w:basedOn w:val="1"/>
    <w:qFormat/>
    <w:uiPriority w:val="0"/>
    <w:pPr>
      <w:wordWrap w:val="0"/>
      <w:overflowPunct w:val="0"/>
      <w:autoSpaceDE w:val="0"/>
      <w:autoSpaceDN w:val="0"/>
      <w:spacing w:line="260" w:lineRule="exact"/>
      <w:ind w:left="425" w:hanging="425"/>
    </w:pPr>
    <w:rPr>
      <w:sz w:val="16"/>
    </w:rPr>
  </w:style>
  <w:style w:type="paragraph" w:customStyle="1" w:styleId="45">
    <w:name w:val="中文标题"/>
    <w:basedOn w:val="23"/>
    <w:qFormat/>
    <w:uiPriority w:val="0"/>
  </w:style>
  <w:style w:type="paragraph" w:customStyle="1" w:styleId="46">
    <w:name w:val="小标题1"/>
    <w:basedOn w:val="43"/>
    <w:qFormat/>
    <w:uiPriority w:val="0"/>
  </w:style>
  <w:style w:type="paragraph" w:customStyle="1" w:styleId="47">
    <w:name w:val="小标题2"/>
    <w:basedOn w:val="46"/>
    <w:qFormat/>
    <w:uiPriority w:val="0"/>
    <w:rPr>
      <w:b/>
      <w:sz w:val="21"/>
    </w:rPr>
  </w:style>
  <w:style w:type="paragraph" w:customStyle="1" w:styleId="48">
    <w:name w:val="论文正文"/>
    <w:basedOn w:val="1"/>
    <w:qFormat/>
    <w:uiPriority w:val="0"/>
    <w:pPr>
      <w:wordWrap w:val="0"/>
      <w:overflowPunct w:val="0"/>
      <w:autoSpaceDE w:val="0"/>
      <w:autoSpaceDN w:val="0"/>
      <w:spacing w:line="314" w:lineRule="exact"/>
    </w:pPr>
    <w:rPr>
      <w:rFonts w:ascii="宋体" w:hAnsi="MS Sans Serif"/>
      <w:sz w:val="21"/>
    </w:rPr>
  </w:style>
  <w:style w:type="paragraph" w:customStyle="1" w:styleId="49">
    <w:name w:val="表头"/>
    <w:basedOn w:val="48"/>
    <w:qFormat/>
    <w:uiPriority w:val="0"/>
    <w:pPr>
      <w:jc w:val="center"/>
    </w:pPr>
    <w:rPr>
      <w:b/>
      <w:sz w:val="18"/>
    </w:rPr>
  </w:style>
  <w:style w:type="paragraph" w:customStyle="1" w:styleId="50">
    <w:name w:val="表内文字"/>
    <w:basedOn w:val="48"/>
    <w:qFormat/>
    <w:uiPriority w:val="0"/>
    <w:pPr>
      <w:jc w:val="center"/>
    </w:pPr>
    <w:rPr>
      <w:sz w:val="15"/>
    </w:rPr>
  </w:style>
  <w:style w:type="paragraph" w:customStyle="1" w:styleId="51">
    <w:name w:val="图的说明"/>
    <w:basedOn w:val="48"/>
    <w:qFormat/>
    <w:uiPriority w:val="0"/>
    <w:pPr>
      <w:jc w:val="center"/>
    </w:pPr>
    <w:rPr>
      <w:sz w:val="18"/>
    </w:rPr>
  </w:style>
  <w:style w:type="paragraph" w:customStyle="1" w:styleId="52">
    <w:name w:val="Text of 中文参考文献"/>
    <w:basedOn w:val="1"/>
    <w:qFormat/>
    <w:uiPriority w:val="0"/>
    <w:pPr>
      <w:widowControl/>
      <w:tabs>
        <w:tab w:val="left" w:pos="346"/>
      </w:tabs>
      <w:adjustRightInd/>
      <w:spacing w:line="260" w:lineRule="exact"/>
      <w:ind w:left="258" w:hanging="258" w:hangingChars="258"/>
      <w:jc w:val="both"/>
      <w:textAlignment w:val="auto"/>
    </w:pPr>
    <w:rPr>
      <w:kern w:val="0"/>
      <w:sz w:val="15"/>
    </w:rPr>
  </w:style>
  <w:style w:type="paragraph" w:customStyle="1" w:styleId="53">
    <w:name w:val="Text of Reference"/>
    <w:qFormat/>
    <w:uiPriority w:val="0"/>
    <w:pPr>
      <w:numPr>
        <w:ilvl w:val="0"/>
        <w:numId w:val="1"/>
      </w:numPr>
      <w:spacing w:line="260" w:lineRule="exact"/>
      <w:jc w:val="both"/>
    </w:pPr>
    <w:rPr>
      <w:rFonts w:ascii="Times New Roman" w:hAnsi="Times New Roman" w:eastAsia="宋体" w:cs="Times New Roman"/>
      <w:sz w:val="15"/>
      <w:lang w:val="en-US" w:eastAsia="zh-CN" w:bidi="ar-SA"/>
    </w:rPr>
  </w:style>
  <w:style w:type="paragraph" w:customStyle="1" w:styleId="54">
    <w:name w:val="摘要"/>
    <w:basedOn w:val="11"/>
    <w:next w:val="1"/>
    <w:qFormat/>
    <w:uiPriority w:val="0"/>
    <w:pPr>
      <w:tabs>
        <w:tab w:val="left" w:pos="798"/>
        <w:tab w:val="clear" w:pos="357"/>
      </w:tabs>
      <w:adjustRightInd w:val="0"/>
      <w:ind w:firstLine="0" w:firstLineChars="0"/>
    </w:pPr>
    <w:rPr>
      <w:rFonts w:eastAsia="楷体_GB2312"/>
      <w:snapToGrid w:val="0"/>
    </w:rPr>
  </w:style>
  <w:style w:type="paragraph" w:customStyle="1" w:styleId="55">
    <w:name w:val="致谢"/>
    <w:basedOn w:val="1"/>
    <w:next w:val="1"/>
    <w:qFormat/>
    <w:uiPriority w:val="0"/>
    <w:pPr>
      <w:overflowPunct w:val="0"/>
      <w:adjustRightInd/>
      <w:spacing w:before="100" w:beforeLines="100"/>
      <w:jc w:val="both"/>
      <w:textAlignment w:val="auto"/>
    </w:pPr>
    <w:rPr>
      <w:bCs/>
      <w:sz w:val="18"/>
    </w:rPr>
  </w:style>
  <w:style w:type="character" w:customStyle="1" w:styleId="56">
    <w:name w:val="hps"/>
    <w:basedOn w:val="26"/>
    <w:uiPriority w:val="0"/>
  </w:style>
  <w:style w:type="paragraph" w:customStyle="1" w:styleId="57">
    <w:name w:val="00 报告正文"/>
    <w:basedOn w:val="1"/>
    <w:link w:val="58"/>
    <w:qFormat/>
    <w:uiPriority w:val="0"/>
    <w:pPr>
      <w:adjustRightInd/>
      <w:spacing w:line="420" w:lineRule="exact"/>
      <w:ind w:right="-13" w:rightChars="-13" w:firstLine="480" w:firstLineChars="200"/>
      <w:jc w:val="both"/>
      <w:textAlignment w:val="center"/>
    </w:pPr>
    <w:rPr>
      <w:rFonts w:eastAsia="仿宋_GB2312"/>
      <w:kern w:val="0"/>
      <w:szCs w:val="24"/>
      <w:lang w:val="zh-CN" w:eastAsia="zh-CN"/>
    </w:rPr>
  </w:style>
  <w:style w:type="character" w:customStyle="1" w:styleId="58">
    <w:name w:val="00 报告正文 Char"/>
    <w:link w:val="57"/>
    <w:qFormat/>
    <w:uiPriority w:val="0"/>
    <w:rPr>
      <w:rFonts w:eastAsia="仿宋_GB2312"/>
      <w:sz w:val="24"/>
      <w:szCs w:val="24"/>
      <w:lang w:val="zh-CN" w:eastAsia="zh-CN"/>
    </w:rPr>
  </w:style>
  <w:style w:type="paragraph" w:customStyle="1" w:styleId="59">
    <w:name w:val="06 一、样式1"/>
    <w:basedOn w:val="57"/>
    <w:next w:val="57"/>
    <w:link w:val="60"/>
    <w:qFormat/>
    <w:uiPriority w:val="0"/>
    <w:pPr>
      <w:spacing w:beforeLines="20" w:afterLines="20"/>
      <w:ind w:firstLine="200"/>
    </w:pPr>
    <w:rPr>
      <w:b/>
    </w:rPr>
  </w:style>
  <w:style w:type="character" w:customStyle="1" w:styleId="60">
    <w:name w:val="06 一、样式1 Char"/>
    <w:link w:val="59"/>
    <w:qFormat/>
    <w:uiPriority w:val="0"/>
    <w:rPr>
      <w:rFonts w:eastAsia="仿宋_GB2312"/>
      <w:b/>
      <w:sz w:val="24"/>
      <w:szCs w:val="24"/>
      <w:lang w:val="zh-CN" w:eastAsia="zh-CN"/>
    </w:rPr>
  </w:style>
  <w:style w:type="paragraph" w:customStyle="1" w:styleId="61">
    <w:name w:val="08 表格正文"/>
    <w:basedOn w:val="1"/>
    <w:next w:val="57"/>
    <w:link w:val="62"/>
    <w:qFormat/>
    <w:uiPriority w:val="0"/>
    <w:pPr>
      <w:adjustRightInd/>
      <w:ind w:right="-13" w:rightChars="-13"/>
      <w:jc w:val="center"/>
      <w:textAlignment w:val="auto"/>
    </w:pPr>
    <w:rPr>
      <w:rFonts w:eastAsia="仿宋_GB2312"/>
      <w:kern w:val="0"/>
      <w:sz w:val="20"/>
      <w:szCs w:val="24"/>
      <w:lang w:val="zh-CN" w:eastAsia="zh-CN"/>
    </w:rPr>
  </w:style>
  <w:style w:type="character" w:customStyle="1" w:styleId="62">
    <w:name w:val="08 表格正文 Char"/>
    <w:link w:val="61"/>
    <w:qFormat/>
    <w:uiPriority w:val="0"/>
    <w:rPr>
      <w:rFonts w:eastAsia="仿宋_GB2312"/>
      <w:szCs w:val="24"/>
      <w:lang w:val="zh-CN" w:eastAsia="zh-CN"/>
    </w:rPr>
  </w:style>
  <w:style w:type="character" w:customStyle="1" w:styleId="63">
    <w:name w:val="批注文字 Char"/>
    <w:link w:val="9"/>
    <w:semiHidden/>
    <w:qFormat/>
    <w:uiPriority w:val="0"/>
    <w:rPr>
      <w:kern w:val="2"/>
      <w:sz w:val="24"/>
    </w:rPr>
  </w:style>
  <w:style w:type="character" w:customStyle="1" w:styleId="64">
    <w:name w:val="批注主题 Char"/>
    <w:basedOn w:val="63"/>
    <w:link w:val="24"/>
    <w:qFormat/>
    <w:uiPriority w:val="0"/>
    <w:rPr>
      <w:kern w:val="2"/>
      <w:sz w:val="24"/>
    </w:rPr>
  </w:style>
  <w:style w:type="paragraph" w:customStyle="1" w:styleId="65">
    <w:name w:val="Revision"/>
    <w:hidden/>
    <w:semiHidden/>
    <w:qFormat/>
    <w:uiPriority w:val="99"/>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A1EB6F-F39D-4B27-AA34-C12EC5911C5C}">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10992</Words>
  <Characters>17188</Characters>
  <Lines>40</Lines>
  <Paragraphs>11</Paragraphs>
  <TotalTime>1</TotalTime>
  <ScaleCrop>false</ScaleCrop>
  <LinksUpToDate>false</LinksUpToDate>
  <CharactersWithSpaces>18585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2026-06-02T06:55:00Z</dcterms:created>
  <dc:description>依据《指挥与控制学报》模板整理；实验数据与图片保持不变。</dc:description>
  <cp:keywords>大型语言模型; 多智能体仿真; 可重放性; 事件驱动仿真</cp:keywords>
  <dcterms:modified xsi:type="dcterms:W3CDTF">2026-07-25T05:32:11Z</dcterms:modified>
  <dc:subject>《指挥与控制学报》投稿格式整理稿</dc:subject>
  <dc:title>LEDS：面向社会信息传播的可重放事件驱动LLM多智能体仿真协议</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eyJoZGlkIjoiNjdiNWNiNTliOTg5ODNkOTY4ZmQ1YWQxNzViMTczODIiLCJ1c2VySWQiOiIxNzIxMzE2NTAwIn0=</vt:lpwstr>
  </property>
  <property fmtid="{D5CDD505-2E9C-101B-9397-08002B2CF9AE}" pid="3" name="KSOProductBuildVer">
    <vt:lpwstr>2052-12.1.0.26895</vt:lpwstr>
  </property>
  <property fmtid="{D5CDD505-2E9C-101B-9397-08002B2CF9AE}" pid="4" name="ICV">
    <vt:lpwstr>3EB6A9086187435B9D6EB36AD5D6C4CF_12</vt:lpwstr>
  </property>
</Properties>
</file>