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3F2EE">
      <w:pPr>
        <w:pStyle w:val="16"/>
      </w:pPr>
      <w:bookmarkStart w:id="0" w:name="X1dca48198be800b2455e42d7f7a4062875917e8"/>
      <w:r>
        <w:t xml:space="preserve">补充材料：LEDS 判别内核 </w:t>
      </w:r>
      <m:oMath>
        <m:sSub>
          <m:sSubPr/>
          <m:e>
            <m:r>
              <m:rPr/>
              <m:t>f</m:t>
            </m:r>
          </m:e>
          <m:sub>
            <m:r>
              <m:rPr/>
              <m:t>LLM</m:t>
            </m:r>
          </m:sub>
        </m:sSub>
      </m:oMath>
      <w:r>
        <w:t xml:space="preserve"> 的复现契约 (Supplementary Material)</w:t>
      </w:r>
    </w:p>
    <w:p w14:paraId="18646207">
      <w:pPr>
        <w:pStyle w:val="13"/>
      </w:pPr>
      <w:r>
        <w:t xml:space="preserve">本补充材料为正文附录 A 的完整版，收录判别内核 </w:t>
      </w:r>
      <m:oMath>
        <m:sSub>
          <m:sSubPr/>
          <m:e>
            <m:r>
              <m:rPr/>
              <m:t>f</m:t>
            </m:r>
          </m:e>
          <m:sub>
            <m:r>
              <m:rPr/>
              <m:t>LLM</m:t>
            </m:r>
          </m:sub>
        </m:sSub>
      </m:oMath>
      <w:r>
        <w:t xml:space="preserve"> 的确切输入输出契约，供审稿人与复现者逐字核对。全部内容与代码实现 </w:t>
      </w:r>
      <w:r>
        <w:rPr>
          <w:rStyle w:val="37"/>
        </w:rPr>
        <w:t>src/prompt_config.py</w:t>
      </w:r>
      <w:r>
        <w:t xml:space="preserve"> 逐字对应；正文报告的实证数据均由真实云端 LLM </w:t>
      </w:r>
      <w:r>
        <w:rPr>
          <w:rStyle w:val="37"/>
        </w:rPr>
        <w:t>deepseek-chat</w:t>
      </w:r>
      <w:r>
        <w:t>（</w:t>
      </w:r>
      <m:oMath>
        <m:r>
          <m:rPr/>
          <m:t>Temperature</m:t>
        </m:r>
        <m:r>
          <m:rPr>
            <m:sty m:val="p"/>
          </m:rPr>
          <m:t>=</m:t>
        </m:r>
        <m:r>
          <m:rPr/>
          <m:t>0</m:t>
        </m:r>
      </m:oMath>
      <w:r>
        <w:t>、</w:t>
      </w:r>
      <m:oMath>
        <m:r>
          <m:rPr/>
          <m:t>Top</m:t>
        </m:r>
        <m:r>
          <m:rPr>
            <m:sty m:val="p"/>
          </m:rPr>
          <m:t>_</m:t>
        </m:r>
        <m:r>
          <m:rPr/>
          <m:t>P</m:t>
        </m:r>
        <m:r>
          <m:rPr>
            <m:sty m:val="p"/>
          </m:rPr>
          <m:t>=</m:t>
        </m:r>
        <m:r>
          <m:rPr/>
          <m:t>1.0</m:t>
        </m:r>
      </m:oMath>
      <w:r>
        <w:t>）产生。</w:t>
      </w:r>
    </w:p>
    <w:p w14:paraId="059EAD9F">
      <w:pPr>
        <w:pStyle w:val="4"/>
      </w:pPr>
      <w:bookmarkStart w:id="1" w:name="Xb34187f006481a1f1c279c29477dbca9838aa9e"/>
      <w:r>
        <w:t>S1. 离散信念状态与动作枚举 (State and Action Enumerations)</w:t>
      </w:r>
    </w:p>
    <w:p w14:paraId="39DB0769">
      <w:pPr>
        <w:pStyle w:val="23"/>
      </w:pPr>
      <w:r>
        <w:t>系统将节点认知严格限制在有界离散集合内（对应正文 3.5 节状态空间有界性）：</w:t>
      </w:r>
    </w:p>
    <w:p w14:paraId="3CC0E3C6">
      <w:pPr>
        <w:pStyle w:val="24"/>
        <w:numPr>
          <w:ilvl w:val="0"/>
          <w:numId w:val="1"/>
        </w:numPr>
      </w:pPr>
      <w:r>
        <w:rPr>
          <w:b/>
          <w:bCs/>
        </w:rPr>
        <w:t>信念状态 (stance)：</w:t>
      </w:r>
      <w:r>
        <w:t xml:space="preserve"> </w:t>
      </w:r>
      <m:oMath>
        <m:r>
          <m:rPr/>
          <m:t>S</m:t>
        </m:r>
        <m:r>
          <m:rPr>
            <m:sty m:val="p"/>
          </m:rPr>
          <m:t>∈{</m:t>
        </m:r>
        <m:r>
          <m:rPr>
            <m:nor/>
            <m:sty m:val="p"/>
            <m:scr m:val="monospace"/>
          </m:rPr>
          <w:rPr>
            <w:b w:val="0"/>
            <w:i w:val="0"/>
          </w:rPr>
          <m:t>Accept</m:t>
        </m:r>
        <m:r>
          <m:rPr>
            <m:sty m:val="p"/>
          </m:rPr>
          <m:t>,</m:t>
        </m:r>
        <m:r>
          <m:rPr/>
          <m:t> </m:t>
        </m:r>
        <m:r>
          <m:rPr>
            <m:nor/>
            <m:sty m:val="p"/>
            <m:scr m:val="monospace"/>
          </m:rPr>
          <w:rPr>
            <w:b w:val="0"/>
            <w:i w:val="0"/>
          </w:rPr>
          <m:t>Reject</m:t>
        </m:r>
        <m:r>
          <m:rPr>
            <m:sty m:val="p"/>
          </m:rPr>
          <m:t>,</m:t>
        </m:r>
        <m:r>
          <m:rPr/>
          <m:t> </m:t>
        </m:r>
        <m:r>
          <m:rPr>
            <m:nor/>
            <m:sty m:val="p"/>
            <m:scr m:val="monospace"/>
          </m:rPr>
          <w:rPr>
            <w:b w:val="0"/>
            <w:i w:val="0"/>
          </w:rPr>
          <m:t>Neutral</m:t>
        </m:r>
        <m:r>
          <m:rPr>
            <m:sty m:val="p"/>
          </m:rPr>
          <m:t>}</m:t>
        </m:r>
      </m:oMath>
      <w:r>
        <w:t>（相信 / 不信 / 存疑）</w:t>
      </w:r>
    </w:p>
    <w:p w14:paraId="2B2ABF86">
      <w:pPr>
        <w:pStyle w:val="24"/>
        <w:numPr>
          <w:ilvl w:val="0"/>
          <w:numId w:val="1"/>
        </w:numPr>
      </w:pPr>
      <w:r>
        <w:rPr>
          <w:b/>
          <w:bCs/>
        </w:rPr>
        <w:t>对外动作 (action)：</w:t>
      </w:r>
      <w:r>
        <w:t xml:space="preserve"> </w:t>
      </w:r>
      <m:oMath>
        <m:r>
          <m:rPr/>
          <m:t>A</m:t>
        </m:r>
        <m:r>
          <m:rPr>
            <m:sty m:val="p"/>
          </m:rPr>
          <m:t>∈{</m:t>
        </m:r>
        <m:r>
          <m:rPr>
            <m:nor/>
            <m:sty m:val="p"/>
            <m:scr m:val="monospace"/>
          </m:rPr>
          <w:rPr>
            <w:b w:val="0"/>
            <w:i w:val="0"/>
          </w:rPr>
          <m:t>Share</m:t>
        </m:r>
        <m:r>
          <m:rPr>
            <m:sty m:val="p"/>
          </m:rPr>
          <m:t>,</m:t>
        </m:r>
        <m:r>
          <m:rPr/>
          <m:t> </m:t>
        </m:r>
        <m:r>
          <m:rPr>
            <m:nor/>
            <m:sty m:val="p"/>
            <m:scr m:val="monospace"/>
          </m:rPr>
          <w:rPr>
            <w:b w:val="0"/>
            <w:i w:val="0"/>
          </w:rPr>
          <m:t>Ignore</m:t>
        </m:r>
        <m:r>
          <m:rPr>
            <m:sty m:val="p"/>
          </m:rPr>
          <m:t>,</m:t>
        </m:r>
        <m:r>
          <m:rPr/>
          <m:t> </m:t>
        </m:r>
        <m:r>
          <m:rPr>
            <m:nor/>
            <m:sty m:val="p"/>
            <m:scr m:val="monospace"/>
          </m:rPr>
          <w:rPr>
            <w:b w:val="0"/>
            <w:i w:val="0"/>
          </w:rPr>
          <m:t>Debunk</m:t>
        </m:r>
        <m:r>
          <m:rPr>
            <m:sty m:val="p"/>
          </m:rPr>
          <m:t>}</m:t>
        </m:r>
      </m:oMath>
      <w:r>
        <w:t>（转发谣言 / 不传播 / 发送辟谣，仅核查员可用）</w:t>
      </w:r>
    </w:p>
    <w:p w14:paraId="215EA262">
      <w:pPr>
        <w:pStyle w:val="24"/>
        <w:numPr>
          <w:ilvl w:val="0"/>
          <w:numId w:val="1"/>
        </w:numPr>
      </w:pPr>
      <w:r>
        <w:rPr>
          <w:b/>
          <w:bCs/>
        </w:rPr>
        <w:t>消息类型 (message type)：</w:t>
      </w:r>
      <w:r>
        <w:t xml:space="preserve"> </w:t>
      </w:r>
      <m:oMath>
        <m:r>
          <m:rPr/>
          <m:t>M</m:t>
        </m:r>
        <m:r>
          <m:rPr>
            <m:sty m:val="p"/>
          </m:rPr>
          <m:t>∈{</m:t>
        </m:r>
        <m:r>
          <m:rPr>
            <m:nor/>
            <m:sty m:val="p"/>
            <m:scr m:val="monospace"/>
          </m:rPr>
          <w:rPr>
            <w:b w:val="0"/>
            <w:i w:val="0"/>
          </w:rPr>
          <m:t>RUMOR</m:t>
        </m:r>
        <m:r>
          <m:rPr>
            <m:sty m:val="p"/>
          </m:rPr>
          <m:t>,</m:t>
        </m:r>
        <m:r>
          <m:rPr/>
          <m:t> </m:t>
        </m:r>
        <m:r>
          <m:rPr>
            <m:nor/>
            <m:sty m:val="p"/>
            <m:scr m:val="monospace"/>
          </m:rPr>
          <w:rPr>
            <w:b w:val="0"/>
            <w:i w:val="0"/>
          </w:rPr>
          <m:t>DEBUNK</m:t>
        </m:r>
        <m:r>
          <m:rPr>
            <m:sty m:val="p"/>
          </m:rPr>
          <m:t>}</m:t>
        </m:r>
      </m:oMath>
    </w:p>
    <w:p w14:paraId="27DE88B0">
      <w:pPr>
        <w:pStyle w:val="23"/>
      </w:pPr>
      <w:r>
        <w:t>任何越出上述枚举集的输出都会在解析层被判为非法并触发校验失败（对应正文 3.1 节 Stage 2 的强制 JSON 输出判定）。</w:t>
      </w:r>
    </w:p>
    <w:bookmarkEnd w:id="1"/>
    <w:p w14:paraId="68D9734A">
      <w:pPr>
        <w:pStyle w:val="4"/>
      </w:pPr>
      <w:bookmarkStart w:id="2" w:name="s2-传播内容-message-contents"/>
      <w:r>
        <w:t>S2. 传播内容 (Message Contents)</w:t>
      </w:r>
    </w:p>
    <w:p w14:paraId="4223D6BE">
      <w:pPr>
        <w:pStyle w:val="24"/>
        <w:numPr>
          <w:ilvl w:val="0"/>
          <w:numId w:val="1"/>
        </w:numPr>
      </w:pPr>
      <w:r>
        <w:rPr>
          <w:b/>
          <w:bCs/>
        </w:rPr>
        <w:t>谣言 (RUMOR_CONTENT)：</w:t>
      </w:r>
      <w:r>
        <w:t xml:space="preserve"> “最新研究声称：长期佩戴新型AR眼镜会导致短期隐性记忆丧失。”</w:t>
      </w:r>
    </w:p>
    <w:p w14:paraId="5FCD8180">
      <w:pPr>
        <w:pStyle w:val="24"/>
        <w:numPr>
          <w:ilvl w:val="0"/>
          <w:numId w:val="1"/>
        </w:numPr>
      </w:pPr>
      <w:r>
        <w:rPr>
          <w:b/>
          <w:bCs/>
        </w:rPr>
        <w:t>辟谣 (DEBUNK_CONTENT)：</w:t>
      </w:r>
      <w:r>
        <w:t xml:space="preserve"> “事实核查声明：经权威机构核实，‘长期佩戴新型AR眼镜导致短期隐性记忆丧失’的说法缺乏任何科学依据，属于虚假信息，请勿传播。”</w:t>
      </w:r>
    </w:p>
    <w:bookmarkEnd w:id="2"/>
    <w:p w14:paraId="6E0268BB">
      <w:pPr>
        <w:pStyle w:val="4"/>
      </w:pPr>
      <w:bookmarkStart w:id="3" w:name="s3-system-prompt对应正文-34-节的强制输出约束"/>
      <w:r>
        <w:t>S3. System Prompt（对应正文 3.4 节的强制输出约束）</w:t>
      </w:r>
    </w:p>
    <w:p w14:paraId="5149E28D">
      <w:pPr>
        <w:pStyle w:val="38"/>
        <w:keepLines/>
      </w:pPr>
      <w:r>
        <w:rPr>
          <w:rStyle w:val="37"/>
        </w:rPr>
        <w:t>你是一个严格的逻辑状态机，扮演社会网络中的一个信息接收节点。你必须根据给定的</w:t>
      </w:r>
      <w:r>
        <w:br w:type="textWrapping"/>
      </w:r>
      <w:r>
        <w:rPr>
          <w:rStyle w:val="37"/>
        </w:rPr>
        <w:t>人设、当前信念状态和新收到的消息，输出你的下一信念状态与动作。严格仅输出如下</w:t>
      </w:r>
      <w:r>
        <w:br w:type="textWrapping"/>
      </w:r>
      <w:r>
        <w:rPr>
          <w:rStyle w:val="37"/>
        </w:rPr>
        <w:t>JSON 格式，不要输出其他任何字符（包括解释、Markdown 代码块标记）：</w:t>
      </w:r>
      <w:r>
        <w:br w:type="textWrapping"/>
      </w:r>
      <w:r>
        <w:rPr>
          <w:rStyle w:val="37"/>
        </w:rPr>
        <w:t>{"stance": "Accept|Reject|Neutral", "action": "Share|Ignore|Debunk"}</w:t>
      </w:r>
      <w:r>
        <w:br w:type="textWrapping"/>
      </w:r>
      <w:r>
        <w:rPr>
          <w:rStyle w:val="37"/>
        </w:rPr>
        <w:t>字段语义：stance 表示你对“AR眼镜致失忆”预警的信念（Accept=相信 / Reject=不信 /</w:t>
      </w:r>
      <w:r>
        <w:br w:type="textWrapping"/>
      </w:r>
      <w:r>
        <w:rPr>
          <w:rStyle w:val="37"/>
        </w:rPr>
        <w:t>Neutral=存疑）；action 表示你本轮的对外动作（Share=向邻居转发该预警 / Ignore=不作</w:t>
      </w:r>
      <w:r>
        <w:br w:type="textWrapping"/>
      </w:r>
      <w:r>
        <w:rPr>
          <w:rStyle w:val="37"/>
        </w:rPr>
        <w:t>任何传播 / Debunk=向邻居发送辟谣声明，仅核查员可用）。</w:t>
      </w:r>
    </w:p>
    <w:bookmarkEnd w:id="3"/>
    <w:p w14:paraId="3990F112">
      <w:pPr>
        <w:pStyle w:val="4"/>
      </w:pPr>
      <w:bookmarkStart w:id="4" w:name="Xdd3d0bb03d3b065c037a4ef4341eec5d877134f"/>
      <w:r>
        <w:t xml:space="preserve">S4. User Prompt 模板（对应正文 3.3 节马尔可夫转移公式 </w:t>
      </w:r>
      <m:oMath>
        <m:sSub>
          <m:sSubPr/>
          <m:e>
            <m:r>
              <m:rPr/>
              <m:t>f</m:t>
            </m:r>
          </m:e>
          <m:sub>
            <m:r>
              <m:rPr/>
              <m:t>LLM</m:t>
            </m:r>
          </m:sub>
        </m:sSub>
        <m:d>
          <m:dPr>
            <m:sepChr m:val=""/>
          </m:dPr>
          <m:e>
            <m:sSub>
              <m:sSubPr/>
              <m:e>
                <m:r>
                  <m:rPr/>
                  <m:t>S</m:t>
                </m:r>
              </m:e>
              <m:sub>
                <m:r>
                  <m:rPr/>
                  <m:t>i</m:t>
                </m:r>
                <m:r>
                  <m:rPr>
                    <m:sty m:val="p"/>
                  </m:rPr>
                  <m:t>,</m:t>
                </m:r>
                <m:r>
                  <m:rPr/>
                  <m:t>t</m:t>
                </m:r>
              </m:sub>
            </m:sSub>
            <m:r>
              <m:rPr>
                <m:sty m:val="p"/>
              </m:rPr>
              <m:t>,</m:t>
            </m:r>
            <m:sSub>
              <m:sSubPr/>
              <m:e>
                <m:r>
                  <m:rPr/>
                  <m:t>P</m:t>
                </m:r>
              </m:e>
              <m:sub>
                <m:r>
                  <m:rPr/>
                  <m:t>i</m:t>
                </m:r>
              </m:sub>
            </m:sSub>
            <m:r>
              <m:rPr>
                <m:sty m:val="p"/>
              </m:rPr>
              <m:t>,</m:t>
            </m:r>
            <m:sSub>
              <m:sSubPr/>
              <m:e>
                <m:r>
                  <m:rPr/>
                  <m:t>M</m:t>
                </m:r>
              </m:e>
              <m:sub>
                <m:r>
                  <m:rPr/>
                  <m:t>i</m:t>
                </m:r>
                <m:r>
                  <m:rPr>
                    <m:sty m:val="p"/>
                  </m:rPr>
                  <m:t>,</m:t>
                </m:r>
                <m:r>
                  <m:rPr/>
                  <m:t>t</m:t>
                </m:r>
              </m:sub>
            </m:sSub>
          </m:e>
        </m:d>
      </m:oMath>
      <w:r>
        <w:t xml:space="preserve"> 的输入组装）</w:t>
      </w:r>
    </w:p>
    <w:p w14:paraId="633138C9">
      <w:pPr>
        <w:pStyle w:val="38"/>
        <w:keepLines/>
      </w:pPr>
      <w:r>
        <w:rPr>
          <w:rStyle w:val="37"/>
        </w:rPr>
        <w:t>【你的人设】{人设标签}：{人设 Profile 全文（见 S6）}</w:t>
      </w:r>
      <w:r>
        <w:br w:type="textWrapping"/>
      </w:r>
      <w:r>
        <w:rPr>
          <w:rStyle w:val="37"/>
        </w:rPr>
        <w:t>【你的当前信念状态 S_t】{Accept|Reject|Neutral}</w:t>
      </w:r>
      <w:r>
        <w:br w:type="textWrapping"/>
      </w:r>
      <w:r>
        <w:rPr>
          <w:rStyle w:val="37"/>
        </w:rPr>
        <w:t>【累计信息曝光】你至今累计从 {rumor_count} 个不同邻居收到该风险预警；累计从</w:t>
      </w:r>
      <w:r>
        <w:br w:type="textWrapping"/>
      </w:r>
      <w:r>
        <w:rPr>
          <w:rStyle w:val="37"/>
        </w:rPr>
        <w:t>{debunk_count} 个不同邻居收到辟谣声明。</w:t>
      </w:r>
      <w:r>
        <w:br w:type="textWrapping"/>
      </w:r>
      <w:r>
        <w:rPr>
          <w:rStyle w:val="37"/>
        </w:rPr>
        <w:t>【本时间步新收到的消息 M_t】</w:t>
      </w:r>
      <w:r>
        <w:br w:type="textWrapping"/>
      </w:r>
      <w:r>
        <w:rPr>
          <w:rStyle w:val="37"/>
        </w:rPr>
        <w:t>- 来自邻居节点 {sender} 的{风险预警(谣言)|权威辟谣声明}：{消息内容}</w:t>
      </w:r>
      <w:r>
        <w:br w:type="textWrapping"/>
      </w:r>
      <w:r>
        <w:rPr>
          <w:rStyle w:val="37"/>
        </w:rPr>
        <w:t>（... 每条新消息一行 ...）</w:t>
      </w:r>
      <w:r>
        <w:br w:type="textWrapping"/>
      </w:r>
      <w:r>
        <w:rPr>
          <w:rStyle w:val="37"/>
        </w:rPr>
        <w:t>请依据人设逻辑输出你的下一信念状态与动作（严格 JSON）。</w:t>
      </w:r>
    </w:p>
    <w:p w14:paraId="0CE414D1">
      <w:pPr>
        <w:pStyle w:val="23"/>
      </w:pPr>
      <w:r>
        <w:t xml:space="preserve">其中 </w:t>
      </w:r>
      <w:r>
        <w:rPr>
          <w:rStyle w:val="37"/>
        </w:rPr>
        <w:t>rumor_count</w:t>
      </w:r>
      <w:r>
        <w:t xml:space="preserve"> / </w:t>
      </w:r>
      <w:r>
        <w:rPr>
          <w:rStyle w:val="37"/>
        </w:rPr>
        <w:t>debunk_count</w:t>
      </w:r>
      <w:r>
        <w:t xml:space="preserve"> 为该节点累计收到该类消息的</w:t>
      </w:r>
      <w:r>
        <w:rPr>
          <w:b/>
          <w:bCs/>
        </w:rPr>
        <w:t>不同邻居数</w:t>
      </w:r>
      <w:r>
        <w:t xml:space="preserve">（作为内部信念状态 </w:t>
      </w:r>
      <m:oMath>
        <m:r>
          <m:rPr/>
          <m:t>S</m:t>
        </m:r>
      </m:oMath>
      <w:r>
        <w:t xml:space="preserve"> 的定量分量，支撑中立者的“多重信息源交叉验证”判定）。</w:t>
      </w:r>
    </w:p>
    <w:bookmarkEnd w:id="4"/>
    <w:p w14:paraId="316B6CF0">
      <w:pPr>
        <w:pStyle w:val="4"/>
        <w:pageBreakBefore/>
      </w:pPr>
      <w:bookmarkStart w:id="5" w:name="s5-输出-json-schema严格结构化约束"/>
      <w:r>
        <w:t>S5. 输出 JSON Schema（严格结构化约束）</w:t>
      </w:r>
    </w:p>
    <w:p w14:paraId="0B0C4B44">
      <w:pPr>
        <w:pStyle w:val="23"/>
      </w:pPr>
      <w:r>
        <w:t xml:space="preserve">真实 API 调用时通过 </w:t>
      </w:r>
      <w:r>
        <w:rPr>
          <w:rStyle w:val="37"/>
        </w:rPr>
        <w:t>response_format={"type": "json_object"}</w:t>
      </w:r>
      <w:r>
        <w:t xml:space="preserve"> 施加，并在解析层用下述 schema 二次校验：</w:t>
      </w:r>
    </w:p>
    <w:p w14:paraId="41EB9F79">
      <w:pPr>
        <w:pStyle w:val="38"/>
        <w:keepLines/>
      </w:pPr>
      <w:r>
        <w:rPr>
          <w:rStyle w:val="37"/>
        </w:rPr>
        <w:t>{</w:t>
      </w:r>
      <w:r>
        <w:br w:type="textWrapping"/>
      </w:r>
      <w:r>
        <w:rPr>
          <w:rStyle w:val="37"/>
        </w:rPr>
        <w:t xml:space="preserve">  "type": "object",</w:t>
      </w:r>
      <w:r>
        <w:br w:type="textWrapping"/>
      </w:r>
      <w:r>
        <w:rPr>
          <w:rStyle w:val="37"/>
        </w:rPr>
        <w:t xml:space="preserve">  "properties": {</w:t>
      </w:r>
      <w:r>
        <w:br w:type="textWrapping"/>
      </w:r>
      <w:r>
        <w:rPr>
          <w:rStyle w:val="37"/>
        </w:rPr>
        <w:t xml:space="preserve">    "stance": { "type": "string", "enum": ["Accept", "Reject", "Neutral"] },</w:t>
      </w:r>
      <w:r>
        <w:br w:type="textWrapping"/>
      </w:r>
      <w:r>
        <w:rPr>
          <w:rStyle w:val="37"/>
        </w:rPr>
        <w:t xml:space="preserve">    "action": { "type": "string", "enum": ["Share", "Ignore", "Debunk"] }</w:t>
      </w:r>
      <w:r>
        <w:br w:type="textWrapping"/>
      </w:r>
      <w:r>
        <w:rPr>
          <w:rStyle w:val="37"/>
        </w:rPr>
        <w:t xml:space="preserve">  },</w:t>
      </w:r>
      <w:r>
        <w:br w:type="textWrapping"/>
      </w:r>
      <w:r>
        <w:rPr>
          <w:rStyle w:val="37"/>
        </w:rPr>
        <w:t xml:space="preserve">  "required": ["stance", "action"],</w:t>
      </w:r>
      <w:r>
        <w:br w:type="textWrapping"/>
      </w:r>
      <w:r>
        <w:rPr>
          <w:rStyle w:val="37"/>
        </w:rPr>
        <w:t xml:space="preserve">  "additionalProperties": false</w:t>
      </w:r>
      <w:r>
        <w:br w:type="textWrapping"/>
      </w:r>
      <w:r>
        <w:rPr>
          <w:rStyle w:val="37"/>
        </w:rPr>
        <w:t>}</w:t>
      </w:r>
    </w:p>
    <w:bookmarkEnd w:id="5"/>
    <w:p w14:paraId="35ACBE23">
      <w:pPr>
        <w:pStyle w:val="4"/>
      </w:pPr>
      <w:bookmarkStart w:id="6" w:name="X09943e2310749b2c19d5b0c6af4383e9cde316b"/>
      <w:r>
        <w:t>S6. 三类人设 Persona Profiles（对应正文 4.2 节，比例 60% / 30% / 10%）</w:t>
      </w:r>
    </w:p>
    <w:tbl>
      <w:tblPr>
        <w:tblStyle w:val="18"/>
        <w:tblW w:w="9237"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650"/>
        <w:gridCol w:w="1050"/>
        <w:gridCol w:w="6537"/>
      </w:tblGrid>
      <w:tr w14:paraId="0238C41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cantSplit/>
          <w:tblHeader/>
          <w:jc w:val="center"/>
        </w:trPr>
        <w:tc>
          <w:tcPr>
            <w:tcW w:w="1650" w:type="dxa"/>
            <w:shd w:val="clear" w:color="auto" w:fill="E7E6E6"/>
            <w:tcMar>
              <w:top w:w="55" w:type="dxa"/>
              <w:left w:w="55" w:type="dxa"/>
              <w:bottom w:w="55" w:type="dxa"/>
              <w:right w:w="55" w:type="dxa"/>
            </w:tcMar>
            <w:vAlign w:val="center"/>
          </w:tcPr>
          <w:p w14:paraId="7C363B2C">
            <w:pPr>
              <w:pStyle w:val="24"/>
              <w:keepLines/>
              <w:spacing w:before="0" w:after="0" w:line="240" w:lineRule="auto"/>
              <w:jc w:val="center"/>
            </w:pPr>
            <w:r>
              <w:rPr>
                <w:rFonts w:ascii="Times New Roman" w:hAnsi="Times New Roman" w:eastAsia="宋体" w:cs="Times New Roman"/>
                <w:b/>
                <w:bCs/>
                <w:sz w:val="18"/>
                <w:szCs w:val="18"/>
              </w:rPr>
              <w:t>人设</w:t>
            </w:r>
          </w:p>
        </w:tc>
        <w:tc>
          <w:tcPr>
            <w:tcW w:w="1050" w:type="dxa"/>
            <w:shd w:val="clear" w:color="auto" w:fill="E7E6E6"/>
            <w:tcMar>
              <w:top w:w="55" w:type="dxa"/>
              <w:left w:w="55" w:type="dxa"/>
              <w:bottom w:w="55" w:type="dxa"/>
              <w:right w:w="55" w:type="dxa"/>
            </w:tcMar>
            <w:vAlign w:val="center"/>
          </w:tcPr>
          <w:p w14:paraId="5375EB71">
            <w:pPr>
              <w:pStyle w:val="24"/>
              <w:keepLines/>
              <w:spacing w:before="0" w:after="0" w:line="240" w:lineRule="auto"/>
              <w:jc w:val="center"/>
            </w:pPr>
            <w:r>
              <w:rPr>
                <w:rFonts w:ascii="Times New Roman" w:hAnsi="Times New Roman" w:eastAsia="宋体" w:cs="Times New Roman"/>
                <w:b/>
                <w:bCs/>
                <w:sz w:val="18"/>
                <w:szCs w:val="18"/>
              </w:rPr>
              <w:t>占比</w:t>
            </w:r>
          </w:p>
        </w:tc>
        <w:tc>
          <w:tcPr>
            <w:tcW w:w="6537" w:type="dxa"/>
            <w:shd w:val="clear" w:color="auto" w:fill="E7E6E6"/>
            <w:tcMar>
              <w:top w:w="55" w:type="dxa"/>
              <w:left w:w="55" w:type="dxa"/>
              <w:bottom w:w="55" w:type="dxa"/>
              <w:right w:w="55" w:type="dxa"/>
            </w:tcMar>
            <w:vAlign w:val="center"/>
          </w:tcPr>
          <w:p w14:paraId="25444B1B">
            <w:pPr>
              <w:pStyle w:val="24"/>
              <w:keepLines/>
              <w:spacing w:before="0" w:after="0" w:line="240" w:lineRule="auto"/>
              <w:jc w:val="left"/>
            </w:pPr>
            <w:r>
              <w:rPr>
                <w:rFonts w:ascii="Times New Roman" w:hAnsi="Times New Roman" w:eastAsia="宋体" w:cs="Times New Roman"/>
                <w:b/>
                <w:bCs/>
                <w:sz w:val="18"/>
                <w:szCs w:val="18"/>
              </w:rPr>
              <w:t>Profile（注入 Prompt 的完整人设描述）</w:t>
            </w:r>
          </w:p>
        </w:tc>
      </w:tr>
      <w:tr w14:paraId="6FEE2E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50" w:type="dxa"/>
            <w:tcMar>
              <w:top w:w="55" w:type="dxa"/>
              <w:left w:w="55" w:type="dxa"/>
              <w:bottom w:w="55" w:type="dxa"/>
              <w:right w:w="55" w:type="dxa"/>
            </w:tcMar>
            <w:vAlign w:val="center"/>
          </w:tcPr>
          <w:p w14:paraId="4C1D489E">
            <w:pPr>
              <w:pStyle w:val="24"/>
              <w:keepLines/>
              <w:spacing w:before="0" w:after="0" w:line="240" w:lineRule="auto"/>
              <w:jc w:val="center"/>
            </w:pPr>
            <w:r>
              <w:rPr>
                <w:rFonts w:ascii="Times New Roman" w:hAnsi="Times New Roman" w:eastAsia="宋体" w:cs="Times New Roman"/>
                <w:sz w:val="18"/>
                <w:szCs w:val="18"/>
              </w:rPr>
              <w:t>易感者 (Susceptible)</w:t>
            </w:r>
          </w:p>
        </w:tc>
        <w:tc>
          <w:tcPr>
            <w:tcW w:w="1050" w:type="dxa"/>
            <w:tcMar>
              <w:top w:w="55" w:type="dxa"/>
              <w:left w:w="55" w:type="dxa"/>
              <w:bottom w:w="55" w:type="dxa"/>
              <w:right w:w="55" w:type="dxa"/>
            </w:tcMar>
            <w:vAlign w:val="center"/>
          </w:tcPr>
          <w:p w14:paraId="1996929B">
            <w:pPr>
              <w:pStyle w:val="24"/>
              <w:keepLines/>
              <w:spacing w:before="0" w:after="0" w:line="240" w:lineRule="auto"/>
              <w:jc w:val="center"/>
            </w:pPr>
            <w:r>
              <w:rPr>
                <w:rFonts w:ascii="Times New Roman" w:hAnsi="Times New Roman" w:eastAsia="宋体" w:cs="Times New Roman"/>
                <w:sz w:val="18"/>
                <w:szCs w:val="18"/>
              </w:rPr>
              <w:t>60%</w:t>
            </w:r>
          </w:p>
        </w:tc>
        <w:tc>
          <w:tcPr>
            <w:tcW w:w="6537" w:type="dxa"/>
            <w:tcMar>
              <w:top w:w="55" w:type="dxa"/>
              <w:left w:w="55" w:type="dxa"/>
              <w:bottom w:w="55" w:type="dxa"/>
              <w:right w:w="55" w:type="dxa"/>
            </w:tcMar>
            <w:vAlign w:val="center"/>
          </w:tcPr>
          <w:p w14:paraId="6F4BDD00">
            <w:pPr>
              <w:pStyle w:val="24"/>
              <w:keepLines/>
              <w:spacing w:before="0" w:after="0" w:line="240" w:lineRule="auto"/>
              <w:jc w:val="left"/>
            </w:pPr>
            <w:r>
              <w:rPr>
                <w:rFonts w:ascii="Times New Roman" w:hAnsi="Times New Roman" w:eastAsia="宋体" w:cs="Times New Roman"/>
                <w:sz w:val="18"/>
                <w:szCs w:val="18"/>
              </w:rPr>
              <w:t>你缺乏技术背景，对新技术潜在健康风险高度焦虑，倾向于相信并转发任何风险预警信息以提醒亲友；但若收到过权威辟谣声明，你会立刻放弃相信并停止传播。</w:t>
            </w:r>
          </w:p>
        </w:tc>
      </w:tr>
      <w:tr w14:paraId="2F4C7BA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50" w:type="dxa"/>
            <w:tcMar>
              <w:top w:w="55" w:type="dxa"/>
              <w:left w:w="55" w:type="dxa"/>
              <w:bottom w:w="55" w:type="dxa"/>
              <w:right w:w="55" w:type="dxa"/>
            </w:tcMar>
            <w:vAlign w:val="center"/>
          </w:tcPr>
          <w:p w14:paraId="6B14726F">
            <w:pPr>
              <w:pStyle w:val="24"/>
              <w:keepLines/>
              <w:spacing w:before="0" w:after="0" w:line="240" w:lineRule="auto"/>
              <w:jc w:val="center"/>
            </w:pPr>
            <w:r>
              <w:rPr>
                <w:rFonts w:ascii="Times New Roman" w:hAnsi="Times New Roman" w:eastAsia="宋体" w:cs="Times New Roman"/>
                <w:sz w:val="18"/>
                <w:szCs w:val="18"/>
              </w:rPr>
              <w:t>中立者 (Neutral)</w:t>
            </w:r>
          </w:p>
        </w:tc>
        <w:tc>
          <w:tcPr>
            <w:tcW w:w="1050" w:type="dxa"/>
            <w:tcMar>
              <w:top w:w="55" w:type="dxa"/>
              <w:left w:w="55" w:type="dxa"/>
              <w:bottom w:w="55" w:type="dxa"/>
              <w:right w:w="55" w:type="dxa"/>
            </w:tcMar>
            <w:vAlign w:val="center"/>
          </w:tcPr>
          <w:p w14:paraId="41081A37">
            <w:pPr>
              <w:pStyle w:val="24"/>
              <w:keepLines/>
              <w:spacing w:before="0" w:after="0" w:line="240" w:lineRule="auto"/>
              <w:jc w:val="center"/>
            </w:pPr>
            <w:r>
              <w:rPr>
                <w:rFonts w:ascii="Times New Roman" w:hAnsi="Times New Roman" w:eastAsia="宋体" w:cs="Times New Roman"/>
                <w:sz w:val="18"/>
                <w:szCs w:val="18"/>
              </w:rPr>
              <w:t>30%</w:t>
            </w:r>
          </w:p>
        </w:tc>
        <w:tc>
          <w:tcPr>
            <w:tcW w:w="6537" w:type="dxa"/>
            <w:tcMar>
              <w:top w:w="55" w:type="dxa"/>
              <w:left w:w="55" w:type="dxa"/>
              <w:bottom w:w="55" w:type="dxa"/>
              <w:right w:w="55" w:type="dxa"/>
            </w:tcMar>
            <w:vAlign w:val="center"/>
          </w:tcPr>
          <w:p w14:paraId="2DA2DA34">
            <w:pPr>
              <w:pStyle w:val="24"/>
              <w:keepLines/>
              <w:spacing w:before="0" w:after="0" w:line="240" w:lineRule="auto"/>
              <w:jc w:val="left"/>
            </w:pPr>
            <w:r>
              <w:rPr>
                <w:rFonts w:ascii="Times New Roman" w:hAnsi="Times New Roman" w:eastAsia="宋体" w:cs="Times New Roman"/>
                <w:sz w:val="18"/>
                <w:szCs w:val="18"/>
              </w:rPr>
              <w:t>你理性谨慎，不轻信单一信息源。只有当至少四个不同的邻居分别向你传来同一风险预警（多重信息源交叉验证）时，你才会相信并转发；一旦收到权威辟谣声明，你会直接判定该预警为谣言。</w:t>
            </w:r>
          </w:p>
        </w:tc>
      </w:tr>
      <w:tr w14:paraId="636FBE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50" w:type="dxa"/>
            <w:tcMar>
              <w:top w:w="55" w:type="dxa"/>
              <w:left w:w="55" w:type="dxa"/>
              <w:bottom w:w="55" w:type="dxa"/>
              <w:right w:w="55" w:type="dxa"/>
            </w:tcMar>
            <w:vAlign w:val="center"/>
          </w:tcPr>
          <w:p w14:paraId="69A20C76">
            <w:pPr>
              <w:pStyle w:val="24"/>
              <w:keepLines/>
              <w:spacing w:before="0" w:after="0" w:line="240" w:lineRule="auto"/>
              <w:jc w:val="center"/>
            </w:pPr>
            <w:r>
              <w:rPr>
                <w:rFonts w:ascii="Times New Roman" w:hAnsi="Times New Roman" w:eastAsia="宋体" w:cs="Times New Roman"/>
                <w:sz w:val="18"/>
                <w:szCs w:val="18"/>
              </w:rPr>
              <w:t>核查员 (Fact-Checker)</w:t>
            </w:r>
          </w:p>
        </w:tc>
        <w:tc>
          <w:tcPr>
            <w:tcW w:w="1050" w:type="dxa"/>
            <w:tcMar>
              <w:top w:w="55" w:type="dxa"/>
              <w:left w:w="55" w:type="dxa"/>
              <w:bottom w:w="55" w:type="dxa"/>
              <w:right w:w="55" w:type="dxa"/>
            </w:tcMar>
            <w:vAlign w:val="center"/>
          </w:tcPr>
          <w:p w14:paraId="0F7AC185">
            <w:pPr>
              <w:pStyle w:val="24"/>
              <w:keepLines/>
              <w:spacing w:before="0" w:after="0" w:line="240" w:lineRule="auto"/>
              <w:jc w:val="center"/>
            </w:pPr>
            <w:r>
              <w:rPr>
                <w:rFonts w:ascii="Times New Roman" w:hAnsi="Times New Roman" w:eastAsia="宋体" w:cs="Times New Roman"/>
                <w:sz w:val="18"/>
                <w:szCs w:val="18"/>
              </w:rPr>
              <w:t>10%</w:t>
            </w:r>
          </w:p>
        </w:tc>
        <w:tc>
          <w:tcPr>
            <w:tcW w:w="6537" w:type="dxa"/>
            <w:tcMar>
              <w:top w:w="55" w:type="dxa"/>
              <w:left w:w="55" w:type="dxa"/>
              <w:bottom w:w="55" w:type="dxa"/>
              <w:right w:w="55" w:type="dxa"/>
            </w:tcMar>
            <w:vAlign w:val="center"/>
          </w:tcPr>
          <w:p w14:paraId="7F20B8F1">
            <w:pPr>
              <w:pStyle w:val="24"/>
              <w:keepLines/>
              <w:spacing w:before="0" w:after="0" w:line="240" w:lineRule="auto"/>
              <w:jc w:val="left"/>
            </w:pPr>
            <w:r>
              <w:rPr>
                <w:rFonts w:ascii="Times New Roman" w:hAnsi="Times New Roman" w:eastAsia="宋体" w:cs="Times New Roman"/>
                <w:sz w:val="18"/>
                <w:szCs w:val="18"/>
              </w:rPr>
              <w:t>你具备专业科学素养，能立刻识别出该预警是无科学依据的谣言。你绝不传播谣言（stance 恒为 Reject），并且在收到谣言后必须向所有邻居发送辟谣声明（action 输出 Debunk）。</w:t>
            </w:r>
          </w:p>
        </w:tc>
      </w:tr>
      <w:bookmarkEnd w:id="6"/>
    </w:tbl>
    <w:p w14:paraId="4D60A0EA">
      <w:pPr>
        <w:pStyle w:val="4"/>
      </w:pPr>
      <w:bookmarkStart w:id="7" w:name="s7-mock确定性规则内核与真实-llm-的对应关系"/>
      <w:r>
        <w:t>S7. mock（确定性规则内核）与真实 LLM 的对应关系</w:t>
      </w:r>
    </w:p>
    <w:p w14:paraId="664667F0">
      <w:pPr>
        <w:pStyle w:val="23"/>
      </w:pPr>
      <w:r>
        <w:t>在未配置 API Key 时，</w:t>
      </w:r>
      <w:r>
        <w:rPr>
          <w:rStyle w:val="37"/>
        </w:rPr>
        <w:t>src/stage2_engine.py</w:t>
      </w:r>
      <w:r>
        <w:t xml:space="preserve"> 的 </w:t>
      </w:r>
      <w:r>
        <w:rPr>
          <w:rStyle w:val="37"/>
        </w:rPr>
        <w:t>_mock_decide</w:t>
      </w:r>
      <w:r>
        <w:t xml:space="preserve"> 以纯 </w:t>
      </w:r>
      <w:r>
        <w:rPr>
          <w:rStyle w:val="37"/>
        </w:rPr>
        <w:t>if/else</w:t>
      </w:r>
      <w:r>
        <w:t xml:space="preserve"> 规则复现上述三类人设的判定逻辑：</w:t>
      </w:r>
      <w:r>
        <w:rPr>
          <w:highlight w:val="green"/>
        </w:rPr>
        <w:t>易感者收到谣言即 Accept/Share、收到辟谣即纠偏；中立者需 ≥4 个不同邻居的谣言才转变；核查员恒 Reject 且收到谣言即 Debunk</w:t>
      </w:r>
      <w:r>
        <w:t>。其输入输出签名与真实 LLM 判别器完全一致，供离线链路验证之用。</w:t>
      </w:r>
      <w:r>
        <w:rPr>
          <w:b/>
          <w:bCs/>
        </w:rPr>
        <w:t>本文正文报告的实证数据均由真实 LLM（</w:t>
      </w:r>
      <w:r>
        <w:rPr>
          <w:rStyle w:val="37"/>
          <w:b/>
          <w:bCs/>
        </w:rPr>
        <w:t>d</w:t>
      </w:r>
      <w:bookmarkStart w:id="8" w:name="_GoBack"/>
      <w:bookmarkEnd w:id="8"/>
      <w:r>
        <w:rPr>
          <w:rStyle w:val="37"/>
          <w:b/>
          <w:bCs/>
        </w:rPr>
        <w:t>eepseek-chat</w:t>
      </w:r>
      <w:r>
        <w:rPr>
          <w:b/>
          <w:bCs/>
        </w:rPr>
        <w:t>，</w:t>
      </w:r>
      <m:oMath>
        <m:r>
          <m:rPr/>
          <m:t>Temperature</m:t>
        </m:r>
        <m:r>
          <m:rPr>
            <m:sty m:val="p"/>
          </m:rPr>
          <m:t>=</m:t>
        </m:r>
        <m:r>
          <m:rPr/>
          <m:t>0</m:t>
        </m:r>
      </m:oMath>
      <w:r>
        <w:rPr>
          <w:b/>
          <w:bCs/>
        </w:rPr>
        <w:t>）产生</w:t>
      </w:r>
      <w:r>
        <w:t>；mock 与真实 LLM 共用同一套 Prompt 与 Schema，切换后端无需改动上层算法。</w:t>
      </w:r>
    </w:p>
    <w:bookmarkEnd w:id="0"/>
    <w:bookmarkEnd w:id="7"/>
    <w:sectPr>
      <w:pgSz w:w="11906" w:h="16838"/>
      <w:pgMar w:top="1276" w:right="1247" w:bottom="1276" w:left="1247"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Noto Sans Mono CJK SC">
    <w:altName w:val="Segoe Print"/>
    <w:panose1 w:val="00000000000000000000"/>
    <w:charset w:val="00"/>
    <w:family w:val="auto"/>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A340E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uto"/>
      <w:jc w:val="both"/>
    </w:pPr>
    <w:rPr>
      <w:rFonts w:ascii="Times New Roman" w:hAnsi="Times New Roman" w:eastAsia="宋体" w:cs="Times New Roman"/>
      <w:color w:val="000000"/>
      <w:sz w:val="21"/>
      <w:szCs w:val="24"/>
      <w:lang w:val="en-US" w:eastAsia="en-US" w:bidi="ar-SA"/>
    </w:rPr>
  </w:style>
  <w:style w:type="paragraph" w:styleId="2">
    <w:name w:val="heading 1"/>
    <w:basedOn w:val="1"/>
    <w:next w:val="3"/>
    <w:qFormat/>
    <w:uiPriority w:val="9"/>
    <w:pPr>
      <w:keepNext/>
      <w:keepLines/>
      <w:spacing w:before="200" w:after="100"/>
      <w:ind w:firstLine="0"/>
      <w:outlineLvl w:val="0"/>
    </w:pPr>
    <w:rPr>
      <w:rFonts w:asciiTheme="majorHAnsi" w:hAnsiTheme="majorHAnsi" w:eastAsiaTheme="majorEastAsia" w:cstheme="majorBidi"/>
      <w:b/>
      <w:bCs/>
      <w:color w:val="000000"/>
      <w:sz w:val="28"/>
      <w:szCs w:val="32"/>
    </w:rPr>
  </w:style>
  <w:style w:type="paragraph" w:styleId="4">
    <w:name w:val="heading 2"/>
    <w:basedOn w:val="1"/>
    <w:next w:val="3"/>
    <w:unhideWhenUsed/>
    <w:qFormat/>
    <w:uiPriority w:val="9"/>
    <w:pPr>
      <w:keepNext/>
      <w:keepLines/>
      <w:spacing w:before="160" w:after="80"/>
      <w:ind w:firstLine="0"/>
      <w:outlineLvl w:val="1"/>
    </w:pPr>
    <w:rPr>
      <w:rFonts w:asciiTheme="majorHAnsi" w:hAnsiTheme="majorHAnsi" w:eastAsiaTheme="majorEastAsia" w:cstheme="majorBidi"/>
      <w:b/>
      <w:bCs/>
      <w:color w:val="000000"/>
      <w:sz w:val="24"/>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0" w:line="300" w:lineRule="auto"/>
      <w:ind w:firstLine="420"/>
      <w:jc w:val="both"/>
    </w:pPr>
    <w:rPr>
      <w:rFonts w:ascii="Times New Roman" w:hAnsi="Times New Roman" w:eastAsia="宋体" w:cs="Times New Roman"/>
      <w:color w:val="000000"/>
      <w:sz w:val="21"/>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0" w:after="240" w:line="276" w:lineRule="auto"/>
      <w:jc w:val="center"/>
    </w:pPr>
    <w:rPr>
      <w:rFonts w:asciiTheme="majorHAnsi" w:hAnsiTheme="majorHAnsi" w:eastAsiaTheme="majorEastAsia" w:cstheme="majorBidi"/>
      <w:b/>
      <w:bCs/>
      <w:color w:val="000000"/>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after="0" w:line="300" w:lineRule="auto"/>
      <w:ind w:firstLine="420"/>
      <w:jc w:val="both"/>
    </w:pPr>
    <w:rPr>
      <w:rFonts w:ascii="Times New Roman" w:hAnsi="Times New Roman" w:eastAsia="宋体" w:cs="Times New Roman"/>
      <w:color w:val="000000"/>
      <w:sz w:val="21"/>
    </w:rPr>
  </w:style>
  <w:style w:type="paragraph" w:customStyle="1" w:styleId="24">
    <w:name w:val="Compact"/>
    <w:basedOn w:val="3"/>
    <w:qFormat/>
    <w:uiPriority w:val="0"/>
    <w:pPr>
      <w:spacing w:before="36" w:after="0" w:line="288" w:lineRule="auto"/>
    </w:pPr>
    <w:rPr>
      <w:rFonts w:ascii="Times New Roman" w:hAnsi="Times New Roman" w:eastAsia="宋体" w:cs="Times New Roman"/>
      <w:color w:val="000000"/>
      <w:sz w:val="21"/>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qFormat/>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eastAsia="Noto Sans Mono CJK SC" w:cs="Consolas"/>
      <w:color w:val="000000"/>
      <w:sz w:val="19"/>
    </w:rPr>
  </w:style>
  <w:style w:type="paragraph" w:customStyle="1" w:styleId="38">
    <w:name w:val="Source Code"/>
    <w:basedOn w:val="1"/>
    <w:link w:val="37"/>
    <w:uiPriority w:val="0"/>
    <w:pPr>
      <w:shd w:val="clear" w:fill="F3F3F3"/>
      <w:wordWrap w:val="0"/>
      <w:spacing w:before="80" w:after="80" w:line="228" w:lineRule="auto"/>
      <w:ind w:left="198" w:right="198"/>
      <w:jc w:val="left"/>
    </w:pPr>
    <w:rPr>
      <w:rFonts w:ascii="Consolas" w:hAnsi="Consolas" w:eastAsia="Noto Sans Mono CJK SC" w:cs="Consolas"/>
      <w:color w:val="000000"/>
      <w:sz w:val="15"/>
    </w:r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uiPriority w:val="0"/>
  </w:style>
  <w:style w:type="character" w:customStyle="1" w:styleId="67">
    <w:name w:val="InformationTok"/>
    <w:basedOn w:val="37"/>
    <w:qFormat/>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1407</Words>
  <Characters>2315</Characters>
  <Lines>12</Lines>
  <Paragraphs>8</Paragraphs>
  <TotalTime>348</TotalTime>
  <ScaleCrop>false</ScaleCrop>
  <LinksUpToDate>false</LinksUpToDate>
  <CharactersWithSpaces>2503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2026-07-21T11:31:00Z</dcterms:created>
  <dc:creator>WPS_1752791788</dc:creator>
  <cp:lastModifiedBy>WPS_1752791788</cp:lastModifiedBy>
  <dcterms:modified xsi:type="dcterms:W3CDTF">2026-07-23T12:08:55Z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eyJoZGlkIjoiNjdiNWNiNTliOTg5ODNkOTY4ZmQ1YWQxNzViMTczODIiLCJ1c2VySWQiOiIxNzIxMzE2NTAwIn0=</vt:lpwstr>
  </property>
  <property fmtid="{D5CDD505-2E9C-101B-9397-08002B2CF9AE}" pid="3" name="KSOProductBuildVer">
    <vt:lpwstr>2052-12.1.0.26895</vt:lpwstr>
  </property>
  <property fmtid="{D5CDD505-2E9C-101B-9397-08002B2CF9AE}" pid="4" name="ICV">
    <vt:lpwstr>B1A5DF3B52484EA29E2DBC5427229832_12</vt:lpwstr>
  </property>
</Properties>
</file>