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2FEE5">
      <w:pPr>
        <w:keepNext w:val="0"/>
        <w:keepLines w:val="0"/>
        <w:widowControl/>
        <w:suppressLineNumbers w:val="0"/>
        <w:spacing w:before="0" w:beforeAutospacing="0" w:after="0" w:afterAutospacing="0"/>
        <w:ind w:left="0" w:right="0" w:firstLine="0"/>
        <w:jc w:val="center"/>
        <w:rPr>
          <w:rFonts w:hint="default" w:ascii="Arial" w:hAnsi="Arial" w:eastAsia="宋体" w:cs="Arial"/>
          <w:b/>
          <w:bCs/>
          <w:i w:val="0"/>
          <w:iCs w:val="0"/>
          <w:caps w:val="0"/>
          <w:color w:val="000000"/>
          <w:spacing w:val="0"/>
          <w:kern w:val="0"/>
          <w:sz w:val="28"/>
          <w:szCs w:val="28"/>
          <w:lang w:val="en-US" w:eastAsia="zh-CN" w:bidi="ar"/>
        </w:rPr>
      </w:pPr>
      <w:r>
        <w:rPr>
          <w:rFonts w:hint="eastAsia" w:ascii="Arial" w:hAnsi="Arial" w:eastAsia="宋体" w:cs="Arial"/>
          <w:b/>
          <w:bCs/>
          <w:i w:val="0"/>
          <w:iCs w:val="0"/>
          <w:caps w:val="0"/>
          <w:color w:val="000000"/>
          <w:spacing w:val="0"/>
          <w:kern w:val="0"/>
          <w:sz w:val="28"/>
          <w:szCs w:val="28"/>
          <w:lang w:val="en-US" w:eastAsia="zh-CN" w:bidi="ar"/>
        </w:rPr>
        <w:t>调整后的PrecedentGuard论文研究思路和实验设计</w:t>
      </w:r>
    </w:p>
    <w:p w14:paraId="7A3BA960">
      <w:pPr>
        <w:keepNext w:val="0"/>
        <w:keepLines w:val="0"/>
        <w:widowControl/>
        <w:suppressLineNumbers w:val="0"/>
        <w:spacing w:before="0" w:beforeAutospacing="0" w:after="0" w:afterAutospacing="0"/>
        <w:ind w:left="0" w:right="0" w:firstLine="0"/>
        <w:jc w:val="left"/>
        <w:rPr>
          <w:rFonts w:hint="default" w:ascii="Arial" w:hAnsi="Arial" w:eastAsia="宋体" w:cs="Arial"/>
          <w:i w:val="0"/>
          <w:iCs w:val="0"/>
          <w:caps w:val="0"/>
          <w:color w:val="000000"/>
          <w:spacing w:val="0"/>
          <w:kern w:val="0"/>
          <w:sz w:val="24"/>
          <w:szCs w:val="24"/>
          <w:lang w:val="en-US" w:eastAsia="zh-CN" w:bidi="ar"/>
        </w:rPr>
      </w:pPr>
      <w:r>
        <w:rPr>
          <w:rFonts w:hint="eastAsia" w:ascii="Arial" w:hAnsi="Arial" w:eastAsia="宋体" w:cs="Arial"/>
          <w:b/>
          <w:bCs/>
          <w:i w:val="0"/>
          <w:iCs w:val="0"/>
          <w:caps w:val="0"/>
          <w:color w:val="000000"/>
          <w:spacing w:val="0"/>
          <w:kern w:val="0"/>
          <w:sz w:val="24"/>
          <w:szCs w:val="24"/>
          <w:lang w:val="en-US" w:eastAsia="zh-CN" w:bidi="ar"/>
        </w:rPr>
        <w:t>一、</w:t>
      </w:r>
      <w:r>
        <w:rPr>
          <w:rFonts w:hint="default" w:ascii="Arial" w:hAnsi="Arial" w:eastAsia="宋体" w:cs="Arial"/>
          <w:b/>
          <w:bCs/>
          <w:i w:val="0"/>
          <w:iCs w:val="0"/>
          <w:caps w:val="0"/>
          <w:color w:val="000000"/>
          <w:spacing w:val="0"/>
          <w:kern w:val="0"/>
          <w:sz w:val="24"/>
          <w:szCs w:val="24"/>
          <w:lang w:val="en-US" w:eastAsia="zh-CN" w:bidi="ar"/>
        </w:rPr>
        <w:t>研究动机、核心缺口与主要贡献。</w:t>
      </w:r>
      <w:r>
        <w:rPr>
          <w:rFonts w:hint="default" w:ascii="Arial" w:hAnsi="Arial" w:eastAsia="宋体" w:cs="Arial"/>
          <w:i w:val="0"/>
          <w:iCs w:val="0"/>
          <w:caps w:val="0"/>
          <w:color w:val="000000"/>
          <w:spacing w:val="0"/>
          <w:kern w:val="0"/>
          <w:sz w:val="24"/>
          <w:szCs w:val="24"/>
          <w:lang w:val="en-US" w:eastAsia="zh-CN" w:bidi="ar"/>
        </w:rPr>
        <w:t xml:space="preserve"> </w:t>
      </w:r>
    </w:p>
    <w:p w14:paraId="48ACDA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left"/>
        <w:textAlignment w:val="auto"/>
        <w:rPr>
          <w:rFonts w:ascii="Arial" w:hAnsi="Arial" w:cs="Arial"/>
          <w:i w:val="0"/>
          <w:iCs w:val="0"/>
          <w:caps w:val="0"/>
          <w:color w:val="000000"/>
          <w:spacing w:val="0"/>
          <w:sz w:val="24"/>
          <w:szCs w:val="24"/>
        </w:rPr>
      </w:pPr>
      <w:r>
        <w:rPr>
          <w:rFonts w:hint="default" w:ascii="Arial" w:hAnsi="Arial" w:eastAsia="宋体" w:cs="Arial"/>
          <w:i w:val="0"/>
          <w:iCs w:val="0"/>
          <w:caps w:val="0"/>
          <w:color w:val="000000"/>
          <w:spacing w:val="0"/>
          <w:kern w:val="0"/>
          <w:sz w:val="24"/>
          <w:szCs w:val="24"/>
          <w:lang w:val="en-US" w:eastAsia="zh-CN" w:bidi="ar"/>
        </w:rPr>
        <w:t>现有大语言模型智能体的安全风险已从单轮恶意提示，逐步扩展到持久记忆、外部检索、工具返回和多步观察共同作用的长轨迹场景。在此类系统中，同一个候选动作可能仅因某条历史记忆、网页内容或工具结果被篡改，便从安全决策转变为危险行为。然而，现有静态防护模型通常将轨迹压缩为一段文本进行整体判断，难以回答“风险证据从哪里进入、某个证据究竟改变了多少风险分数、这种改变是否会同时造成危险漏检和正常任务误拒绝”等关键问题；已有轨迹防护、因果归因和记忆认证方法，也大多分别关注攻击定位、经验性检测或单一攻击通道，尚未形成覆盖异构轨迹证据的双侧风险认证框架。为此，本文提出 PrecedentGuard：首先依据可信编排日志和真实数据流构建执行落地干预图，而不是仅凭文本先后关系推断因果边；随后将当前轨迹证据与历史先例封装为具有来源真实性、语义授权、适用范围和有效期限的结构化证据单元；最后通过受控删除、替换和重放，测量每条证据对冻结安全模型判定结果的反事实影响，并利用方向性信任约束限制其作用范围。该设计使未经语义授权的证据只能提高风险警觉，不能单独降低风险或制造错误放行，从而在保留正常任务效用的同时增强对记忆投毒、间接提示注入和检索操纵的防御能力。</w:t>
      </w:r>
    </w:p>
    <w:p w14:paraId="005F2B58">
      <w:pPr>
        <w:keepNext w:val="0"/>
        <w:keepLines w:val="0"/>
        <w:widowControl/>
        <w:suppressLineNumbers w:val="0"/>
        <w:spacing w:before="0" w:beforeAutospacing="0" w:after="0" w:afterAutospacing="0"/>
        <w:ind w:left="0" w:right="0" w:firstLine="0"/>
        <w:jc w:val="left"/>
        <w:rPr>
          <w:rFonts w:hint="default" w:ascii="Arial" w:hAnsi="Arial" w:cs="Arial"/>
          <w:i w:val="0"/>
          <w:iCs w:val="0"/>
          <w:caps w:val="0"/>
          <w:color w:val="000000"/>
          <w:spacing w:val="0"/>
          <w:sz w:val="24"/>
          <w:szCs w:val="24"/>
        </w:rPr>
      </w:pPr>
    </w:p>
    <w:p w14:paraId="15AD6D39">
      <w:pPr>
        <w:keepNext w:val="0"/>
        <w:keepLines w:val="0"/>
        <w:widowControl/>
        <w:numPr>
          <w:ilvl w:val="0"/>
          <w:numId w:val="1"/>
        </w:numPr>
        <w:suppressLineNumbers w:val="0"/>
        <w:spacing w:before="0" w:beforeAutospacing="0" w:after="0" w:afterAutospacing="0"/>
        <w:ind w:left="0" w:right="0" w:firstLine="0"/>
        <w:jc w:val="left"/>
        <w:rPr>
          <w:rFonts w:hint="default" w:ascii="Arial" w:hAnsi="Arial" w:eastAsia="宋体" w:cs="Arial"/>
          <w:i w:val="0"/>
          <w:iCs w:val="0"/>
          <w:caps w:val="0"/>
          <w:color w:val="000000"/>
          <w:spacing w:val="0"/>
          <w:kern w:val="0"/>
          <w:sz w:val="24"/>
          <w:szCs w:val="24"/>
          <w:lang w:val="en-US" w:eastAsia="zh-CN" w:bidi="ar"/>
        </w:rPr>
      </w:pPr>
      <w:r>
        <w:rPr>
          <w:rFonts w:hint="default" w:ascii="Arial" w:hAnsi="Arial" w:eastAsia="宋体" w:cs="Arial"/>
          <w:b/>
          <w:bCs/>
          <w:i w:val="0"/>
          <w:iCs w:val="0"/>
          <w:caps w:val="0"/>
          <w:color w:val="000000"/>
          <w:spacing w:val="0"/>
          <w:kern w:val="0"/>
          <w:sz w:val="24"/>
          <w:szCs w:val="24"/>
          <w:lang w:val="en-US" w:eastAsia="zh-CN" w:bidi="ar"/>
        </w:rPr>
        <w:t>方法流程、理论原理与实验验证</w:t>
      </w:r>
      <w:r>
        <w:rPr>
          <w:rFonts w:hint="default" w:ascii="Arial" w:hAnsi="Arial" w:eastAsia="宋体" w:cs="Arial"/>
          <w:i w:val="0"/>
          <w:iCs w:val="0"/>
          <w:caps w:val="0"/>
          <w:color w:val="000000"/>
          <w:spacing w:val="0"/>
          <w:kern w:val="0"/>
          <w:sz w:val="24"/>
          <w:szCs w:val="24"/>
          <w:lang w:val="en-US" w:eastAsia="zh-CN" w:bidi="ar"/>
        </w:rPr>
        <w:t xml:space="preserve">。 </w:t>
      </w:r>
    </w:p>
    <w:p w14:paraId="1F90FAC7">
      <w:pPr>
        <w:keepNext w:val="0"/>
        <w:keepLines w:val="0"/>
        <w:widowControl/>
        <w:numPr>
          <w:numId w:val="0"/>
        </w:numPr>
        <w:suppressLineNumbers w:val="0"/>
        <w:spacing w:before="0" w:beforeAutospacing="0" w:after="0" w:afterAutospacing="0"/>
        <w:ind w:leftChars="0" w:right="0" w:rightChars="0"/>
        <w:jc w:val="left"/>
        <w:rPr>
          <w:rFonts w:hint="default" w:ascii="Arial" w:hAnsi="Arial" w:eastAsia="宋体" w:cs="Arial"/>
          <w:i w:val="0"/>
          <w:iCs w:val="0"/>
          <w:caps w:val="0"/>
          <w:color w:val="000000"/>
          <w:spacing w:val="0"/>
          <w:kern w:val="0"/>
          <w:sz w:val="24"/>
          <w:szCs w:val="24"/>
          <w:lang w:val="en-US" w:eastAsia="zh-CN" w:bidi="ar"/>
        </w:rPr>
      </w:pPr>
      <w:r>
        <w:rPr>
          <w:rFonts w:hint="default" w:ascii="Arial" w:hAnsi="Arial" w:eastAsia="宋体" w:cs="Arial"/>
          <w:i w:val="0"/>
          <w:iCs w:val="0"/>
          <w:caps w:val="0"/>
          <w:color w:val="000000"/>
          <w:spacing w:val="0"/>
          <w:kern w:val="0"/>
          <w:sz w:val="24"/>
          <w:szCs w:val="24"/>
          <w:lang w:val="en-US" w:eastAsia="zh-CN" w:bidi="ar"/>
        </w:rPr>
        <w:drawing>
          <wp:inline distT="0" distB="0" distL="114300" distR="114300">
            <wp:extent cx="5268595" cy="3728085"/>
            <wp:effectExtent l="0" t="0" r="8255" b="5715"/>
            <wp:docPr id="1" name="图片 1" descr="新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模型"/>
                    <pic:cNvPicPr>
                      <a:picLocks noChangeAspect="1"/>
                    </pic:cNvPicPr>
                  </pic:nvPicPr>
                  <pic:blipFill>
                    <a:blip r:embed="rId4"/>
                    <a:stretch>
                      <a:fillRect/>
                    </a:stretch>
                  </pic:blipFill>
                  <pic:spPr>
                    <a:xfrm>
                      <a:off x="0" y="0"/>
                      <a:ext cx="5268595" cy="3728085"/>
                    </a:xfrm>
                    <a:prstGeom prst="rect">
                      <a:avLst/>
                    </a:prstGeom>
                  </pic:spPr>
                </pic:pic>
              </a:graphicData>
            </a:graphic>
          </wp:inline>
        </w:drawing>
      </w:r>
    </w:p>
    <w:p w14:paraId="7E17EC2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center"/>
        <w:textAlignment w:val="auto"/>
        <w:rPr>
          <w:rFonts w:hint="default" w:ascii="Arial" w:hAnsi="Arial" w:eastAsia="宋体" w:cs="Arial"/>
          <w:b/>
          <w:bCs/>
          <w:i w:val="0"/>
          <w:iCs w:val="0"/>
          <w:caps w:val="0"/>
          <w:color w:val="000000"/>
          <w:spacing w:val="0"/>
          <w:kern w:val="0"/>
          <w:sz w:val="24"/>
          <w:szCs w:val="24"/>
          <w:lang w:val="en-US" w:eastAsia="zh-CN" w:bidi="ar"/>
        </w:rPr>
      </w:pPr>
      <w:r>
        <w:rPr>
          <w:rFonts w:hint="eastAsia" w:ascii="Arial" w:hAnsi="Arial" w:eastAsia="宋体" w:cs="Arial"/>
          <w:b/>
          <w:bCs/>
          <w:i w:val="0"/>
          <w:iCs w:val="0"/>
          <w:caps w:val="0"/>
          <w:color w:val="000000"/>
          <w:spacing w:val="0"/>
          <w:kern w:val="0"/>
          <w:sz w:val="24"/>
          <w:szCs w:val="24"/>
          <w:lang w:val="en-US" w:eastAsia="zh-CN" w:bidi="ar"/>
        </w:rPr>
        <w:t xml:space="preserve">图1 </w:t>
      </w:r>
      <w:r>
        <w:rPr>
          <w:rFonts w:hint="default" w:ascii="Arial" w:hAnsi="Arial" w:eastAsia="宋体" w:cs="Arial"/>
          <w:b/>
          <w:bCs/>
          <w:i w:val="0"/>
          <w:iCs w:val="0"/>
          <w:caps w:val="0"/>
          <w:color w:val="000000"/>
          <w:spacing w:val="0"/>
          <w:kern w:val="0"/>
          <w:sz w:val="24"/>
          <w:szCs w:val="24"/>
          <w:lang w:val="en-US" w:eastAsia="zh-CN" w:bidi="ar"/>
        </w:rPr>
        <w:t>PrecedentGuard</w:t>
      </w:r>
      <w:r>
        <w:rPr>
          <w:rFonts w:hint="eastAsia" w:ascii="Arial" w:hAnsi="Arial" w:eastAsia="宋体" w:cs="Arial"/>
          <w:b/>
          <w:bCs/>
          <w:i w:val="0"/>
          <w:iCs w:val="0"/>
          <w:caps w:val="0"/>
          <w:color w:val="000000"/>
          <w:spacing w:val="0"/>
          <w:kern w:val="0"/>
          <w:sz w:val="24"/>
          <w:szCs w:val="24"/>
          <w:lang w:val="en-US" w:eastAsia="zh-CN" w:bidi="ar"/>
        </w:rPr>
        <w:t>架构模型图</w:t>
      </w:r>
    </w:p>
    <w:p w14:paraId="59A92C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left"/>
        <w:textAlignment w:val="auto"/>
        <w:rPr>
          <w:rFonts w:hint="default" w:ascii="Arial" w:hAnsi="Arial" w:eastAsia="宋体" w:cs="Arial"/>
          <w:i w:val="0"/>
          <w:iCs w:val="0"/>
          <w:caps w:val="0"/>
          <w:color w:val="000000"/>
          <w:spacing w:val="0"/>
          <w:kern w:val="0"/>
          <w:sz w:val="24"/>
          <w:szCs w:val="24"/>
          <w:lang w:val="en-US" w:eastAsia="zh-CN" w:bidi="ar"/>
        </w:rPr>
      </w:pPr>
      <w:r>
        <w:rPr>
          <w:rFonts w:hint="default" w:ascii="Arial" w:hAnsi="Arial" w:eastAsia="宋体" w:cs="Arial"/>
          <w:i w:val="0"/>
          <w:iCs w:val="0"/>
          <w:caps w:val="0"/>
          <w:color w:val="000000"/>
          <w:spacing w:val="0"/>
          <w:kern w:val="0"/>
          <w:sz w:val="24"/>
          <w:szCs w:val="24"/>
          <w:lang w:val="en-US" w:eastAsia="zh-CN" w:bidi="ar"/>
        </w:rPr>
        <w:t>如</w:t>
      </w:r>
      <w:r>
        <w:rPr>
          <w:rFonts w:hint="default" w:ascii="Arial" w:hAnsi="Arial" w:eastAsia="宋体" w:cs="Arial"/>
          <w:i w:val="0"/>
          <w:iCs w:val="0"/>
          <w:caps w:val="0"/>
          <w:color w:val="000000"/>
          <w:spacing w:val="0"/>
          <w:kern w:val="0"/>
          <w:sz w:val="24"/>
          <w:szCs w:val="24"/>
          <w:lang w:val="en-US" w:eastAsia="zh-CN" w:bidi="ar"/>
        </w:rPr>
        <w:t>模型图所示，PrecedentGuard 按照</w:t>
      </w:r>
      <w:r>
        <w:rPr>
          <w:rFonts w:hint="default" w:ascii="Arial" w:hAnsi="Arial" w:eastAsia="宋体" w:cs="Arial"/>
          <w:b/>
          <w:bCs/>
          <w:i w:val="0"/>
          <w:iCs w:val="0"/>
          <w:caps w:val="0"/>
          <w:color w:val="000000"/>
          <w:spacing w:val="0"/>
          <w:kern w:val="0"/>
          <w:sz w:val="24"/>
          <w:szCs w:val="24"/>
          <w:lang w:val="en-US" w:eastAsia="zh-CN" w:bidi="ar"/>
        </w:rPr>
        <w:t>“运行时证据追踪—执行图构建—可信证据组织—反事实影响估计—方向性校准决策”</w:t>
      </w:r>
      <w:r>
        <w:rPr>
          <w:rFonts w:hint="default" w:ascii="Arial" w:hAnsi="Arial" w:eastAsia="宋体" w:cs="Arial"/>
          <w:i w:val="0"/>
          <w:iCs w:val="0"/>
          <w:caps w:val="0"/>
          <w:color w:val="000000"/>
          <w:spacing w:val="0"/>
          <w:kern w:val="0"/>
          <w:sz w:val="24"/>
          <w:szCs w:val="24"/>
          <w:lang w:val="en-US" w:eastAsia="zh-CN" w:bidi="ar"/>
        </w:rPr>
        <w:t>的流程运行。系统首先记录意图、记忆读写、检索结果、工具参数、工具返回、外部观察和候选动作之间的数据流与控制依赖；再从目标动作的祖先节点中选择可能影响安全判断的证据，并检索结构和语义相似的历史先例。对于每个当前证据节点或先例，系统分别构造匹配的删除或中性替换版本，通过冻结 guard 的重复重放计算其风险贡献，并按照证据类型进行有界裁剪。理论上，本文首先证明在给定攻击预算、证据类型上界和信任约束时，攻击对最终风险分数的最大向上与向下偏移均可被显式限制；进一步结合独立校准集上危险样本和安全样本相对于决策阈值的类条件间隔，分别得到攻击条件下 FNR 和 FPR 的高概率上界，实现对“危险漏检”和“良性误拦截”的同步认证。实验部分将从四个层面验证这一设计：在轨迹安全、间接提示注入和持久记忆投毒任务上比较总体安全性与正常效用；通过真实执行图、顺序图、随机图、学习图和 oracle 图验证</w:t>
      </w:r>
      <w:bookmarkStart w:id="0" w:name="_GoBack"/>
      <w:bookmarkEnd w:id="0"/>
      <w:r>
        <w:rPr>
          <w:rFonts w:hint="default" w:ascii="Arial" w:hAnsi="Arial" w:eastAsia="宋体" w:cs="Arial"/>
          <w:i w:val="0"/>
          <w:iCs w:val="0"/>
          <w:caps w:val="0"/>
          <w:color w:val="000000"/>
          <w:spacing w:val="0"/>
          <w:kern w:val="0"/>
          <w:sz w:val="24"/>
          <w:szCs w:val="24"/>
          <w:lang w:val="en-US" w:eastAsia="zh-CN" w:bidi="ar"/>
        </w:rPr>
        <w:t>结构信息的有效性；通过无来源认证、仅签名认证和完整策略授权比较真实性与语义可信性的区别；最后使用已知防御参数的自适应攻击、未见攻击类型和跨领域测试，检验理论证书的有效性、紧致性、迁移边界及运行开销。</w:t>
      </w:r>
    </w:p>
    <w:p w14:paraId="53F752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left"/>
        <w:textAlignment w:val="auto"/>
        <w:rPr>
          <w:rFonts w:hint="default" w:ascii="Arial" w:hAnsi="Arial" w:eastAsia="宋体" w:cs="Arial"/>
          <w:i w:val="0"/>
          <w:iCs w:val="0"/>
          <w:caps w:val="0"/>
          <w:color w:val="000000"/>
          <w:spacing w:val="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D4C7F8"/>
    <w:multiLevelType w:val="singleLevel"/>
    <w:tmpl w:val="5DD4C7F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096F7B"/>
    <w:rsid w:val="1BEA0FE8"/>
    <w:rsid w:val="1F77727A"/>
    <w:rsid w:val="33321433"/>
    <w:rsid w:val="36F6682B"/>
    <w:rsid w:val="533A056A"/>
    <w:rsid w:val="593012D8"/>
    <w:rsid w:val="68752FB5"/>
    <w:rsid w:val="69913E1E"/>
    <w:rsid w:val="73131D48"/>
    <w:rsid w:val="78623289"/>
    <w:rsid w:val="7EAF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2026-06-30T01:23:32Z</dcterms:created>
  <dc:creator>tiang</dc:creator>
  <cp:lastModifiedBy>WPS_1752791788</cp:lastModifiedBy>
  <dcterms:modified xsi:type="dcterms:W3CDTF">2026-06-30T01:27:44Z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eyJoZGlkIjoiNjdiNWNiNTliOTg5ODNkOTY4ZmQ1YWQxNzViMTczODIiLCJ1c2VySWQiOiIxNzIxMzE2NTAwIn0=</vt:lpwstr>
  </property>
  <property fmtid="{D5CDD505-2E9C-101B-9397-08002B2CF9AE}" pid="4" name="ICV">
    <vt:lpwstr>2DBBF6C40A1C4D8A8CD0A668CA1957A7_12</vt:lpwstr>
  </property>
</Properties>
</file>