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PrecedentGuard — AAAI 2027 Paper Planning Document</w:t>
      </w:r>
    </w:p>
    <w:p>
      <w:pPr>
        <w:spacing w:after="120"/>
        <w:jc w:val="left"/>
      </w:pPr>
      <w:r>
        <w:rPr>
          <w:b/>
          <w:bCs/>
        </w:rPr>
        <w:t xml:space="preserve">Date:</w:t>
      </w:r>
      <w:r>
        <w:t xml:space="preserve"> 2026-06-30 (v1.1 frozen evening of June 30)</w:t>
      </w:r>
      <w:r>
        <w:br/>
      </w:r>
      <w:r>
        <w:rPr>
          <w:b/>
          <w:bCs/>
        </w:rPr>
        <w:t xml:space="preserve">Author:</w:t>
      </w:r>
      <w:r>
        <w:t xml:space="preserve"> [PhD Candidate]</w:t>
      </w:r>
      <w:r>
        <w:br/>
      </w:r>
      <w:r>
        <w:rPr>
          <w:b/>
          <w:bCs/>
        </w:rPr>
        <w:t xml:space="preserve">Status:</w:t>
      </w:r>
      <w:r>
        <w:t xml:space="preserve"> ⚠️ </w:t>
      </w:r>
      <w:r>
        <w:rPr>
          <w:b/>
          <w:bCs/>
        </w:rPr>
        <w:t xml:space="preserve">SUPERSEDED — historical-context document only</w:t>
      </w:r>
      <w:r>
        <w:br/>
      </w:r>
      <w:r>
        <w:rPr>
          <w:b/>
          <w:bCs/>
        </w:rPr>
        <w:t xml:space="preserve">Target Venue:</w:t>
      </w:r>
      <w:r>
        <w:t xml:space="preserve"> AAAI 2027 (abstract: July 21, 2026; paper: July 28, 2026)</w:t>
      </w:r>
      <w:r>
        <w:br/>
      </w:r>
      <w:r>
        <w:rPr>
          <w:b/>
          <w:bCs/>
        </w:rPr>
        <w:t xml:space="preserve">Doctoral Direction:</w:t>
      </w:r>
      <w:r>
        <w:t xml:space="preserve"> II — Causal Reasoning for Agent Safety (5-paper PhD trajectory)</w:t>
      </w:r>
    </w:p>
    <w:p>
      <w:pPr>
        <w:spacing w:after="200"/>
      </w:pPr>
      <w:r>
        <w:t xml:space="preserve"> </w:t>
      </w:r>
    </w:p>
    <w:p>
      <w:pPr>
        <w:pBdr>
          <w:left w:val="single" w:color="BFBFBF" w:sz="12" w:space="200"/>
        </w:pBdr>
        <w:spacing w:after="120"/>
        <w:ind w:start="300"/>
        <w:jc w:val="left"/>
      </w:pPr>
      <w:r>
        <w:t xml:space="preserve">⚠️ DEPRECATION NOTICE (2026-06-30 evening)</w:t>
      </w:r>
    </w:p>
    <w:p>
      <w:pPr>
        <w:pBdr>
          <w:left w:val="single" w:color="BFBFBF" w:sz="12" w:space="200"/>
        </w:pBdr>
        <w:spacing w:after="120"/>
        <w:ind w:start="300"/>
        <w:jc w:val="left"/>
      </w:pPr>
      <w:r>
        <w:t xml:space="preserve">This document was </w:t>
      </w:r>
      <w:r>
        <w:rPr>
          <w:b/>
          <w:bCs/>
        </w:rPr>
        <w:t xml:space="preserve">v1.x for the CID-based framework</w:t>
      </w:r>
      <w:r>
        <w:t xml:space="preserve">. It is now </w:t>
      </w:r>
      <w:r>
        <w:rPr>
          <w:b/>
          <w:bCs/>
        </w:rPr>
        <w:t xml:space="preserve">SUPERSEDED</w:t>
      </w:r>
      <w:r>
        <w:t xml:space="preserve"> by:</w:t>
      </w:r>
    </w:p>
    <w:p>
      <w:pPr>
        <w:pBdr>
          <w:left w:val="single" w:color="BFBFBF" w:sz="12" w:space="200"/>
        </w:pBdr>
        <w:spacing w:after="120"/>
        <w:ind w:start="300"/>
        <w:jc w:val="left"/>
      </w:pPr>
      <w:r>
        <w:rPr>
          <w:b/>
          <w:bCs/>
        </w:rPr>
        <w:t xml:space="preserve">What to use this document for:</w:t>
      </w:r>
      <w:r>
        <w:t xml:space="preserve"> §6 Citation Matrix, §13 Reference Bibliography, project history.</w:t>
      </w:r>
    </w:p>
    <w:p>
      <w:pPr>
        <w:pBdr>
          <w:left w:val="single" w:color="BFBFBF" w:sz="12" w:space="200"/>
        </w:pBdr>
        <w:spacing w:after="120"/>
        <w:ind w:start="300"/>
        <w:jc w:val="left"/>
      </w:pPr>
      <w:r>
        <w:rPr>
          <w:b/>
          <w:bCs/>
        </w:rPr>
        <w:t xml:space="preserve">What to ignore:</w:t>
      </w:r>
      <w:r>
        <w:t xml:space="preserve"> §3 (old framing), §4 (old Chapter 1 with CID hook), §7 (old Theorem 2 with universal impossibility), §8 (old timeline). All these have been replaced by v0.2.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Table of Contents</w:t>
      </w:r>
    </w:p>
    <w:p>
      <w:pPr>
        <w:spacing w:after="100"/>
        <w:ind w:start="20"/>
        <w:jc w:val="left"/>
      </w:pPr>
      <w:r>
        <w:t xml:space="preserve">1. </w:t>
      </w:r>
      <w:r>
        <w:rPr>
          <w:color w:val="0563C1"/>
          <w:u w:val="single"/>
        </w:rPr>
        <w:t xml:space="preserve">Strategic Positioning</w:t>
      </w:r>
    </w:p>
    <w:p>
      <w:pPr>
        <w:spacing w:after="100"/>
        <w:ind w:start="20"/>
        <w:jc w:val="left"/>
      </w:pPr>
      <w:r>
        <w:t xml:space="preserve">2. </w:t>
      </w:r>
      <w:r>
        <w:rPr>
          <w:color w:val="0563C1"/>
          <w:u w:val="single"/>
        </w:rPr>
        <w:t xml:space="preserve">PhD Research Trajectory (5 Papers)</w:t>
      </w:r>
    </w:p>
    <w:p>
      <w:pPr>
        <w:spacing w:after="100"/>
        <w:ind w:start="20"/>
        <w:jc w:val="left"/>
      </w:pPr>
      <w:r>
        <w:t xml:space="preserve">3. </w:t>
      </w:r>
      <w:r>
        <w:rPr>
          <w:color w:val="0563C1"/>
          <w:u w:val="single"/>
        </w:rPr>
        <w:t xml:space="preserve">Paper 1: Title and Framing</w:t>
      </w:r>
    </w:p>
    <w:p>
      <w:pPr>
        <w:spacing w:after="100"/>
        <w:ind w:start="20"/>
        <w:jc w:val="left"/>
      </w:pPr>
      <w:r>
        <w:t xml:space="preserve">4. </w:t>
      </w:r>
      <w:r>
        <w:rPr>
          <w:color w:val="0563C1"/>
          <w:u w:val="single"/>
        </w:rPr>
        <w:t xml:space="preserve">Paper 1 / Chapter 1 — Abstract + Introduction (Final Draft)</w:t>
      </w:r>
    </w:p>
    <w:p>
      <w:pPr>
        <w:spacing w:after="100"/>
        <w:ind w:start="20"/>
        <w:jc w:val="left"/>
      </w:pPr>
      <w:r>
        <w:t xml:space="preserve">5. </w:t>
      </w:r>
      <w:r>
        <w:rPr>
          <w:color w:val="0563C1"/>
          <w:u w:val="single"/>
        </w:rPr>
        <w:t xml:space="preserve">Paper 1 / Chapter 2 — Related Work (Final Draft)</w:t>
      </w:r>
    </w:p>
    <w:p>
      <w:pPr>
        <w:spacing w:after="100"/>
        <w:ind w:start="20"/>
        <w:jc w:val="left"/>
      </w:pPr>
      <w:r>
        <w:t xml:space="preserve">6. </w:t>
      </w:r>
      <w:r>
        <w:rPr>
          <w:color w:val="0563C1"/>
          <w:u w:val="single"/>
        </w:rPr>
        <w:t xml:space="preserve">Per-Paper Citation Matrix (26 Anchors)</w:t>
      </w:r>
    </w:p>
    <w:p>
      <w:pPr>
        <w:spacing w:after="100"/>
        <w:ind w:start="20"/>
        <w:jc w:val="left"/>
      </w:pPr>
      <w:r>
        <w:t xml:space="preserve">7. </w:t>
      </w:r>
      <w:r>
        <w:rPr>
          <w:color w:val="0563C1"/>
          <w:u w:val="single"/>
        </w:rPr>
        <w:t xml:space="preserve">Theorem 2 Plan — Impossibility Result (2-Week Decisive Attempt)</w:t>
      </w:r>
    </w:p>
    <w:p>
      <w:pPr>
        <w:spacing w:after="100"/>
        <w:ind w:start="20"/>
        <w:jc w:val="left"/>
      </w:pPr>
      <w:r>
        <w:t xml:space="preserve">8. </w:t>
      </w:r>
      <w:r>
        <w:rPr>
          <w:color w:val="0563C1"/>
          <w:u w:val="single"/>
        </w:rPr>
        <w:t xml:space="preserve">AAAI 2027 Execution Timeline (8-9 Weeks)</w:t>
      </w:r>
    </w:p>
    <w:p>
      <w:pPr>
        <w:spacing w:after="100"/>
        <w:ind w:start="20"/>
        <w:jc w:val="left"/>
      </w:pPr>
      <w:r>
        <w:t xml:space="preserve">9. </w:t>
      </w:r>
      <w:r>
        <w:rPr>
          <w:color w:val="0563C1"/>
          <w:u w:val="single"/>
        </w:rPr>
        <w:t xml:space="preserve">Risk Register and Mitigation</w:t>
      </w:r>
    </w:p>
    <w:p>
      <w:pPr>
        <w:spacing w:after="100"/>
        <w:ind w:start="20"/>
        <w:jc w:val="left"/>
      </w:pPr>
      <w:r>
        <w:t xml:space="preserve">10. </w:t>
      </w:r>
      <w:r>
        <w:rPr>
          <w:color w:val="0563C1"/>
          <w:u w:val="single"/>
        </w:rPr>
        <w:t xml:space="preserve">SOTA Comparison Targets</w:t>
      </w:r>
    </w:p>
    <w:p>
      <w:pPr>
        <w:spacing w:after="100"/>
        <w:ind w:start="20"/>
        <w:jc w:val="left"/>
      </w:pPr>
      <w:r>
        <w:t xml:space="preserve">11. </w:t>
      </w:r>
      <w:r>
        <w:rPr>
          <w:color w:val="0563C1"/>
          <w:u w:val="single"/>
        </w:rPr>
        <w:t xml:space="preserve">Model Figure Specification</w:t>
      </w:r>
    </w:p>
    <w:p>
      <w:pPr>
        <w:spacing w:after="100"/>
        <w:ind w:start="20"/>
        <w:jc w:val="left"/>
      </w:pPr>
      <w:r>
        <w:t xml:space="preserve">12. </w:t>
      </w:r>
      <w:r>
        <w:rPr>
          <w:color w:val="0563C1"/>
          <w:u w:val="single"/>
        </w:rPr>
        <w:t xml:space="preserve">Next Steps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Strategic Positioning</w:t>
      </w:r>
    </w:p>
    <w:p>
      <w:pPr>
        <w:pStyle w:val="Heading3"/>
        <w:spacing w:after="200"/>
        <w:jc w:val="left"/>
      </w:pPr>
      <w:r>
        <w:t xml:space="preserve">1.1 Direction Choice</w:t>
      </w:r>
    </w:p>
    <w:p>
      <w:pPr>
        <w:spacing w:after="120"/>
        <w:jc w:val="left"/>
      </w:pPr>
      <w:r>
        <w:t xml:space="preserve">After surveying six active fronts in agent safety (static guards, trajectory-aware guards, memory poisoning defense, auditability/provenance, formal guarantees, multi-agent emergent risk), the doctoral direction selected is:</w:t>
      </w:r>
    </w:p>
    <w:p>
      <w:pPr>
        <w:spacing w:after="200"/>
      </w:pPr>
      <w:r>
        <w:t xml:space="preserve"> </w:t>
      </w:r>
    </w:p>
    <w:p>
      <w:pPr>
        <w:pBdr>
          <w:left w:val="single" w:color="BFBFBF" w:sz="12" w:space="200"/>
        </w:pBdr>
        <w:spacing w:after="120"/>
        <w:ind w:start="300"/>
        <w:jc w:val="left"/>
      </w:pPr>
      <w:r>
        <w:rPr>
          <w:b/>
          <w:bCs/>
        </w:rPr>
        <w:t xml:space="preserve">Direction II — Causal Reasoning for Agent Safety</w:t>
      </w:r>
    </w:p>
    <w:p>
      <w:pPr>
        <w:spacing w:after="200"/>
      </w:pPr>
      <w:r>
        <w:t xml:space="preserve"> </w:t>
      </w:r>
    </w:p>
    <w:p>
      <w:pPr>
        <w:spacing w:after="120"/>
        <w:jc w:val="left"/>
      </w:pPr>
      <w:r>
        <w:t xml:space="preserve">Rationale:</w:t>
      </w:r>
    </w:p>
    <w:p>
      <w:pPr>
        <w:pStyle w:val="ListParagraph"/>
        <w:numPr>
          <w:ilvl w:val="0"/>
          <w:numId w:val="2"/>
        </w:numPr>
        <w:spacing w:after="100"/>
        <w:ind w:start="240"/>
        <w:jc w:val="left"/>
      </w:pPr>
      <w:r>
        <w:t xml:space="preserve">White space in the field (Causal Influence Prompting 2025 is the only existing CID-based agent safety work)</w:t>
      </w:r>
    </w:p>
    <w:p>
      <w:pPr>
        <w:pStyle w:val="ListParagraph"/>
        <w:numPr>
          <w:ilvl w:val="0"/>
          <w:numId w:val="2"/>
        </w:numPr>
        <w:spacing w:after="100"/>
        <w:ind w:start="240"/>
        <w:jc w:val="left"/>
      </w:pPr>
      <w:r>
        <w:t xml:space="preserve">Directly addresses the OOD generalization weakness of current PrecedentGuard v2 (causal invariance)</w:t>
      </w:r>
    </w:p>
    <w:p>
      <w:pPr>
        <w:pStyle w:val="ListParagraph"/>
        <w:numPr>
          <w:ilvl w:val="0"/>
          <w:numId w:val="2"/>
        </w:numPr>
        <w:spacing w:after="100"/>
        <w:ind w:start="240"/>
        <w:jc w:val="left"/>
      </w:pPr>
      <w:r>
        <w:t xml:space="preserve">The typed causal graph in PrecedentGuard v2 is a natural starting point for formal CID treatment</w:t>
      </w:r>
    </w:p>
    <w:p>
      <w:pPr>
        <w:pStyle w:val="ListParagraph"/>
        <w:numPr>
          <w:ilvl w:val="0"/>
          <w:numId w:val="2"/>
        </w:numPr>
        <w:spacing w:after="100"/>
        <w:ind w:start="240"/>
        <w:jc w:val="left"/>
      </w:pPr>
      <w:r>
        <w:t xml:space="preserve">AAAI strongly favors "first formalization in framework Y" contributions</w:t>
      </w:r>
    </w:p>
    <w:p>
      <w:pPr>
        <w:spacing w:after="200"/>
      </w:pPr>
      <w:r>
        <w:t xml:space="preserve"> </w:t>
      </w:r>
    </w:p>
    <w:p>
      <w:pPr>
        <w:pStyle w:val="Heading3"/>
        <w:spacing w:after="200"/>
        <w:jc w:val="left"/>
      </w:pPr>
      <w:r>
        <w:t xml:space="preserve">1.2 Why Not Other Directions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50"/>
        <w:gridCol w:w="6110"/>
      </w:tblGrid>
      <w:tr>
        <w:trPr>
          <w:tblHeader/>
        </w:trPr>
        <w:tc>
          <w:p>
            <w:pPr>
              <w:jc w:val="left"/>
            </w:pPr>
            <w:r>
              <w:rPr>
                <w:b/>
                <w:bCs/>
              </w:rPr>
              <w:t xml:space="preserve">Rejected Direction</w:t>
            </w:r>
          </w:p>
        </w:tc>
        <w:tc>
          <w:p>
            <w:pPr>
              <w:jc w:val="left"/>
            </w:pPr>
            <w:r>
              <w:rPr>
                <w:b/>
                <w:bCs/>
              </w:rPr>
              <w:t xml:space="preserve">Reason</w:t>
            </w:r>
          </w:p>
        </w:tc>
      </w:tr>
      <w:tr>
        <w:tc>
          <w:p>
            <w:pPr>
              <w:jc w:val="left"/>
            </w:pPr>
            <w:r>
              <w:t xml:space="preserve">Direction I (Provable Runtime Safety)</w:t>
            </w:r>
          </w:p>
        </w:tc>
        <w:tc>
          <w:p>
            <w:pPr>
              <w:jc w:val="left"/>
            </w:pPr>
            <w:r>
              <w:t xml:space="preserve">Strong but narrower — single theoretical thread; less white space</w:t>
            </w:r>
          </w:p>
        </w:tc>
      </w:tr>
      <w:tr>
        <w:tc>
          <w:p>
            <w:pPr>
              <w:jc w:val="left"/>
            </w:pPr>
            <w:r>
              <w:t xml:space="preserve">Direction III (POMDP/Game-Theoretic)</w:t>
            </w:r>
          </w:p>
        </w:tc>
        <w:tc>
          <w:p>
            <w:pPr>
              <w:jc w:val="left"/>
            </w:pPr>
            <w:r>
              <w:t xml:space="preserve">Highest theoretical depth but heavy pre-requisite (game theory + POMDP); 14-16 weeks first-paper timeline incompatible with AAAI 2027</w:t>
            </w:r>
          </w:p>
        </w:tc>
      </w:tr>
      <w:tr>
        <w:tc>
          <w:p>
            <w:pPr>
              <w:jc w:val="left"/>
            </w:pPr>
            <w:r>
              <w:t xml:space="preserve">Direction IV (Multi-agent collusion)</w:t>
            </w:r>
          </w:p>
        </w:tc>
        <w:tc>
          <w:p>
            <w:pPr>
              <w:jc w:val="left"/>
            </w:pPr>
            <w:r>
              <w:t xml:space="preserve">Too early; benchmarks immature</w:t>
            </w:r>
          </w:p>
        </w:tc>
      </w:tr>
    </w:tbl>
    <w:p>
      <w:pPr>
        <w:spacing w:before="240"/>
      </w:pPr>
      <w:r>
        <w:t xml:space="preserve"> </w:t>
      </w:r>
    </w:p>
    <w:p>
      <w:pPr>
        <w:pStyle w:val="Heading3"/>
        <w:spacing w:after="200"/>
        <w:jc w:val="left"/>
      </w:pPr>
      <w:r>
        <w:t xml:space="preserve">1.3 Single-Sentence Doctoral Identity</w:t>
      </w:r>
    </w:p>
    <w:p>
      <w:pPr>
        <w:pBdr>
          <w:left w:val="single" w:color="BFBFBF" w:sz="12" w:space="200"/>
        </w:pBdr>
        <w:spacing w:after="120"/>
        <w:ind w:start="300"/>
        <w:jc w:val="left"/>
      </w:pPr>
      <w:r>
        <w:rPr>
          <w:i/>
          <w:iCs/>
        </w:rPr>
        <w:t xml:space="preserve">"This thesis formalizes LLM agent runtime safety as bounded do-intervention on Causal Influence Diagrams, with double-sided certification guarantees, counterfactual attribution, causal explanation, and causally-invariant generalization."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PhD Research Trajectory (5 Papers)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30"/>
        <w:gridCol w:w="3066"/>
        <w:gridCol w:w="2259"/>
        <w:gridCol w:w="1614"/>
        <w:gridCol w:w="1291"/>
      </w:tblGrid>
      <w:tr>
        <w:trPr>
          <w:tblHeader/>
        </w:trPr>
        <w:tc>
          <w:p>
            <w:pPr>
              <w:jc w:val="left"/>
            </w:pPr>
            <w:r>
              <w:rPr>
                <w:b/>
                <w:bCs/>
              </w:rPr>
              <w:t xml:space="preserve">#</w:t>
            </w:r>
          </w:p>
        </w:tc>
        <w:tc>
          <w:p>
            <w:pPr>
              <w:jc w:val="left"/>
            </w:pPr>
            <w:r>
              <w:rPr>
                <w:b/>
                <w:bCs/>
              </w:rPr>
              <w:t xml:space="preserve">Title (working)</w:t>
            </w:r>
          </w:p>
        </w:tc>
        <w:tc>
          <w:p>
            <w:pPr>
              <w:jc w:val="left"/>
            </w:pPr>
            <w:r>
              <w:rPr>
                <w:b/>
                <w:bCs/>
              </w:rPr>
              <w:t xml:space="preserve">Core theorem / claim</w:t>
            </w:r>
          </w:p>
        </w:tc>
        <w:tc>
          <w:p>
            <w:pPr>
              <w:jc w:val="left"/>
            </w:pPr>
            <w:r>
              <w:rPr>
                <w:b/>
                <w:bCs/>
              </w:rPr>
              <w:t xml:space="preserve">Target venue</w:t>
            </w:r>
          </w:p>
        </w:tc>
        <w:tc>
          <w:p>
            <w:pPr>
              <w:jc w:val="left"/>
            </w:pPr>
            <w:r>
              <w:rPr>
                <w:b/>
                <w:bCs/>
              </w:rPr>
              <w:t xml:space="preserve">Timeline</w:t>
            </w:r>
          </w:p>
        </w:tc>
      </w:tr>
      <w:tr>
        <w:tc>
          <w:p>
            <w:pPr>
              <w:jc w:val="left"/>
            </w:pPr>
            <w:r>
              <w:rPr>
                <w:b/>
                <w:bCs/>
              </w:rPr>
              <w:t xml:space="preserve">Paper 1</w:t>
            </w:r>
          </w:p>
        </w:tc>
        <w:tc>
          <w:p>
            <w:pPr>
              <w:jc w:val="left"/>
            </w:pPr>
            <w:r>
              <w:t xml:space="preserve">Bounded Do-Intervention: A Causal Influence Diagram Framework for LLM Agent Runtime Safety</w:t>
            </w:r>
          </w:p>
        </w:tc>
        <w:tc>
          <w:p>
            <w:pPr>
              <w:jc w:val="left"/>
            </w:pPr>
            <w:r>
              <w:t xml:space="preserve">Causal Influence Bound + Impossibility Theorem</w:t>
            </w:r>
          </w:p>
        </w:tc>
        <w:tc>
          <w:p>
            <w:pPr>
              <w:jc w:val="left"/>
            </w:pPr>
            <w:r>
              <w:rPr>
                <w:b/>
                <w:bCs/>
              </w:rPr>
              <w:t xml:space="preserve">AAAI 2027</w:t>
            </w:r>
          </w:p>
        </w:tc>
        <w:tc>
          <w:p>
            <w:pPr>
              <w:jc w:val="left"/>
            </w:pPr>
            <w:r>
              <w:t xml:space="preserve">now → Aug 2026</w:t>
            </w:r>
          </w:p>
        </w:tc>
      </w:tr>
      <w:tr>
        <w:tc>
          <w:p>
            <w:pPr>
              <w:jc w:val="left"/>
            </w:pPr>
            <w:r>
              <w:t xml:space="preserve">Paper 2</w:t>
            </w:r>
          </w:p>
        </w:tc>
        <w:tc>
          <w:p>
            <w:pPr>
              <w:jc w:val="left"/>
            </w:pPr>
            <w:r>
              <w:t xml:space="preserve">Counterfactual Trajectory Analysis for Jailbreak Attribution</w:t>
            </w:r>
          </w:p>
        </w:tc>
        <w:tc>
          <w:p>
            <w:pPr>
              <w:jc w:val="left"/>
            </w:pPr>
            <w:r>
              <w:t xml:space="preserve">Counterfactual robustness theorem</w:t>
            </w:r>
          </w:p>
        </w:tc>
        <w:tc>
          <w:p>
            <w:pPr>
              <w:jc w:val="left"/>
            </w:pPr>
            <w:r>
              <w:t xml:space="preserve">NeurIPS 2027 / ICLR 2028</w:t>
            </w:r>
          </w:p>
        </w:tc>
        <w:tc>
          <w:p>
            <w:pPr>
              <w:jc w:val="left"/>
            </w:pPr>
            <w:r>
              <w:t xml:space="preserve">12-16 weeks</w:t>
            </w:r>
          </w:p>
        </w:tc>
      </w:tr>
      <w:tr>
        <w:tc>
          <w:p>
            <w:pPr>
              <w:jc w:val="left"/>
            </w:pPr>
            <w:r>
              <w:t xml:space="preserve">Paper 3</w:t>
            </w:r>
          </w:p>
        </w:tc>
        <w:tc>
          <w:p>
            <w:pPr>
              <w:jc w:val="left"/>
            </w:pPr>
            <w:r>
              <w:t xml:space="preserve">Causal Attribution of Agent Guard Decisions</w:t>
            </w:r>
          </w:p>
        </w:tc>
        <w:tc>
          <w:p>
            <w:pPr>
              <w:jc w:val="left"/>
            </w:pPr>
            <w:r>
              <w:t xml:space="preserve">Identifiability theorem for guard rationales</w:t>
            </w:r>
          </w:p>
        </w:tc>
        <w:tc>
          <w:p>
            <w:pPr>
              <w:jc w:val="left"/>
            </w:pPr>
            <w:r>
              <w:t xml:space="preserve">ICML 2028 / ICLR 2028</w:t>
            </w:r>
          </w:p>
        </w:tc>
        <w:tc>
          <w:p>
            <w:pPr>
              <w:jc w:val="left"/>
            </w:pPr>
            <w:r>
              <w:t xml:space="preserve">12-16 weeks</w:t>
            </w:r>
          </w:p>
        </w:tc>
      </w:tr>
      <w:tr>
        <w:tc>
          <w:p>
            <w:pPr>
              <w:jc w:val="left"/>
            </w:pPr>
            <w:r>
              <w:t xml:space="preserve">Paper 4</w:t>
            </w:r>
          </w:p>
        </w:tc>
        <w:tc>
          <w:p>
            <w:pPr>
              <w:jc w:val="left"/>
            </w:pPr>
            <w:r>
              <w:t xml:space="preserve">Causally-Invariant Guard Generalization (solves OOD)</w:t>
            </w:r>
          </w:p>
        </w:tc>
        <w:tc>
          <w:p>
            <w:pPr>
              <w:jc w:val="left"/>
            </w:pPr>
            <w:r>
              <w:t xml:space="preserve">OOD invariance theorem via causal SCM</w:t>
            </w:r>
          </w:p>
        </w:tc>
        <w:tc>
          <w:p>
            <w:pPr>
              <w:jc w:val="left"/>
            </w:pPr>
            <w:r>
              <w:t xml:space="preserve">ICLR 2028 / NeurIPS 2028</w:t>
            </w:r>
          </w:p>
        </w:tc>
        <w:tc>
          <w:p>
            <w:pPr>
              <w:jc w:val="left"/>
            </w:pPr>
            <w:r>
              <w:t xml:space="preserve">16-20 weeks</w:t>
            </w:r>
          </w:p>
        </w:tc>
      </w:tr>
      <w:tr>
        <w:tc>
          <w:p>
            <w:pPr>
              <w:jc w:val="left"/>
            </w:pPr>
            <w:r>
              <w:t xml:space="preserve">Paper 5</w:t>
            </w:r>
          </w:p>
        </w:tc>
        <w:tc>
          <w:p>
            <w:pPr>
              <w:jc w:val="left"/>
            </w:pPr>
            <w:r>
              <w:t xml:space="preserve">CausalAgentBench: A Causal Benchmark for Agent Safety</w:t>
            </w:r>
          </w:p>
        </w:tc>
        <w:tc>
          <w:p>
            <w:pPr>
              <w:jc w:val="left"/>
            </w:pPr>
            <w:r>
              <w:t xml:space="preserve">(Datasets &amp; Benchmarks)</w:t>
            </w:r>
          </w:p>
        </w:tc>
        <w:tc>
          <w:p>
            <w:pPr>
              <w:jc w:val="left"/>
            </w:pPr>
            <w:r>
              <w:t xml:space="preserve">NeurIPS D&amp;B 2027</w:t>
            </w:r>
          </w:p>
        </w:tc>
        <w:tc>
          <w:p>
            <w:pPr>
              <w:jc w:val="left"/>
            </w:pPr>
            <w:r>
              <w:t xml:space="preserve">8-12 weeks</w:t>
            </w:r>
          </w:p>
        </w:tc>
      </w:tr>
    </w:tbl>
    <w:p>
      <w:pPr>
        <w:spacing w:before="240"/>
      </w:pPr>
      <w:r>
        <w:t xml:space="preserve"> </w:t>
      </w:r>
    </w:p>
    <w:p>
      <w:pPr>
        <w:pStyle w:val="Heading3"/>
        <w:spacing w:after="200"/>
        <w:jc w:val="left"/>
      </w:pPr>
      <w:r>
        <w:t xml:space="preserve">2.1 Five Inherited Assets Across the Series</w:t>
      </w:r>
    </w:p>
    <w:p>
      <w:pPr>
        <w:spacing w:after="100"/>
        <w:ind w:start="20"/>
        <w:jc w:val="left"/>
      </w:pPr>
      <w:r>
        <w:t xml:space="preserve">1. </w:t>
      </w:r>
      <w:r>
        <w:rPr>
          <w:b/>
          <w:bCs/>
        </w:rPr>
        <w:t xml:space="preserve">CID extraction pipeline</w:t>
      </w:r>
      <w:r>
        <w:t xml:space="preserve"> — reused in Papers 2, 3, 4</w:t>
      </w:r>
    </w:p>
    <w:p>
      <w:pPr>
        <w:spacing w:after="100"/>
        <w:ind w:start="20"/>
        <w:jc w:val="left"/>
      </w:pPr>
      <w:r>
        <w:t xml:space="preserve">2. </w:t>
      </w:r>
      <w:r>
        <w:rPr>
          <w:b/>
          <w:bCs/>
        </w:rPr>
        <w:t xml:space="preserve">Causal Trust Anchor cryptographic protocol</w:t>
      </w:r>
      <w:r>
        <w:t xml:space="preserve"> — central to Paper 4 (invariance under intervention)</w:t>
      </w:r>
    </w:p>
    <w:p>
      <w:pPr>
        <w:spacing w:after="100"/>
        <w:ind w:start="20"/>
        <w:jc w:val="left"/>
      </w:pPr>
      <w:r>
        <w:t xml:space="preserve">3. </w:t>
      </w:r>
      <w:r>
        <w:rPr>
          <w:b/>
          <w:bCs/>
        </w:rPr>
        <w:t xml:space="preserve">7-attack benchmark dataset</w:t>
      </w:r>
      <w:r>
        <w:t xml:space="preserve"> — seeds Paper 5</w:t>
      </w:r>
    </w:p>
    <w:p>
      <w:pPr>
        <w:spacing w:after="100"/>
        <w:ind w:start="20"/>
        <w:jc w:val="left"/>
      </w:pPr>
      <w:r>
        <w:t xml:space="preserve">4. </w:t>
      </w:r>
      <w:r>
        <w:rPr>
          <w:b/>
          <w:bCs/>
        </w:rPr>
        <w:t xml:space="preserve">Theorem 1 proof toolchain</w:t>
      </w:r>
      <w:r>
        <w:t xml:space="preserve"> (adversarial construction + indistinguishability + cryptographic isolation) — reused in Papers 2, 3, 4</w:t>
      </w:r>
    </w:p>
    <w:p>
      <w:pPr>
        <w:spacing w:after="100"/>
        <w:ind w:start="20"/>
        <w:jc w:val="left"/>
      </w:pPr>
      <w:r>
        <w:t xml:space="preserve">5. </w:t>
      </w:r>
      <w:r>
        <w:rPr>
          <w:b/>
          <w:bCs/>
        </w:rPr>
        <w:t xml:space="preserve">Reproducibility infrastructure</w:t>
      </w:r>
      <w:r>
        <w:t xml:space="preserve"> (Hydra configs, Zenodo dumps, single-command eval) — full-thesis backbone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Paper 1: Title and Framing</w:t>
      </w:r>
    </w:p>
    <w:p>
      <w:pPr>
        <w:pStyle w:val="Heading3"/>
        <w:spacing w:after="200"/>
        <w:jc w:val="left"/>
      </w:pPr>
      <w:r>
        <w:t xml:space="preserve">3.1 Proposed Title</w:t>
      </w:r>
    </w:p>
    <w:p>
      <w:pPr>
        <w:spacing w:after="120"/>
        <w:jc w:val="left"/>
      </w:pPr>
      <w:r>
        <w:rPr>
          <w:b/>
          <w:bCs/>
        </w:rPr>
        <w:t xml:space="preserve">Bounded Do-Intervention: A Causal Influence Diagram Framework for LLM Agent Runtime Safety</w:t>
      </w:r>
    </w:p>
    <w:p>
      <w:pPr>
        <w:spacing w:after="200"/>
      </w:pPr>
      <w:r>
        <w:t xml:space="preserve"> </w:t>
      </w:r>
    </w:p>
    <w:p>
      <w:pPr>
        <w:spacing w:after="120"/>
        <w:jc w:val="left"/>
      </w:pPr>
      <w:r>
        <w:t xml:space="preserve">System name: </w:t>
      </w:r>
      <w:r>
        <w:rPr>
          <w:b/>
          <w:bCs/>
        </w:rPr>
        <w:t xml:space="preserve">PrecedentGuard</w:t>
      </w:r>
      <w:r>
        <w:t xml:space="preserve"> (retained as system label; paper title leads with framework)</w:t>
      </w:r>
    </w:p>
    <w:p>
      <w:pPr>
        <w:spacing w:after="200"/>
      </w:pPr>
      <w:r>
        <w:t xml:space="preserve"> </w:t>
      </w:r>
    </w:p>
    <w:p>
      <w:pPr>
        <w:pStyle w:val="Heading3"/>
        <w:spacing w:after="200"/>
        <w:jc w:val="left"/>
      </w:pPr>
      <w:r>
        <w:t xml:space="preserve">3.2 Reframing Summary (vs. PrecedentGuard v2 / advisor review draft)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7"/>
        <w:gridCol w:w="3673"/>
        <w:gridCol w:w="3910"/>
      </w:tblGrid>
      <w:tr>
        <w:trPr>
          <w:tblHeader/>
        </w:trPr>
        <w:tc>
          <w:p>
            <w:pPr>
              <w:jc w:val="left"/>
            </w:pPr>
            <w:r>
              <w:rPr>
                <w:b/>
                <w:bCs/>
              </w:rPr>
              <w:t xml:space="preserve">Dimension</w:t>
            </w:r>
          </w:p>
        </w:tc>
        <w:tc>
          <w:p>
            <w:pPr>
              <w:jc w:val="left"/>
            </w:pPr>
            <w:r>
              <w:rPr>
                <w:b/>
                <w:bCs/>
              </w:rPr>
              <w:t xml:space="preserve">Old Framing (v2)</w:t>
            </w:r>
          </w:p>
        </w:tc>
        <w:tc>
          <w:p>
            <w:pPr>
              <w:jc w:val="left"/>
            </w:pPr>
            <w:r>
              <w:rPr>
                <w:b/>
                <w:bCs/>
              </w:rPr>
              <w:t xml:space="preserve">New Framing (Paper 1)</w:t>
            </w:r>
          </w:p>
        </w:tc>
      </w:tr>
      <w:tr>
        <w:tc>
          <w:p>
            <w:pPr>
              <w:jc w:val="left"/>
            </w:pPr>
            <w:r>
              <w:t xml:space="preserve">Narrative</w:t>
            </w:r>
          </w:p>
        </w:tc>
        <w:tc>
          <w:p>
            <w:pPr>
              <w:jc w:val="left"/>
            </w:pPr>
            <w:r>
              <w:t xml:space="preserve">"Precedents as prior, not authority" (mechanism description)</w:t>
            </w:r>
          </w:p>
        </w:tc>
        <w:tc>
          <w:p>
            <w:pPr>
              <w:jc w:val="left"/>
            </w:pPr>
            <w:r>
              <w:t xml:space="preserve">"Trajectory as CID; failures as do-interventions" (formal framework)</w:t>
            </w:r>
          </w:p>
        </w:tc>
      </w:tr>
      <w:tr>
        <w:tc>
          <w:p>
            <w:pPr>
              <w:jc w:val="left"/>
            </w:pPr>
            <w:r>
              <w:t xml:space="preserve">Concept</w:t>
            </w:r>
          </w:p>
        </w:tc>
        <w:tc>
          <w:p>
            <w:pPr>
              <w:jc w:val="left"/>
            </w:pPr>
            <w:r>
              <w:t xml:space="preserve">Self-coined term "precedent"</w:t>
            </w:r>
          </w:p>
        </w:tc>
        <w:tc>
          <w:p>
            <w:pPr>
              <w:jc w:val="left"/>
            </w:pPr>
            <w:r>
              <w:t xml:space="preserve">Causal Influence Diagram (Everitt et al. 2021)</w:t>
            </w:r>
          </w:p>
        </w:tc>
      </w:tr>
      <w:tr>
        <w:tc>
          <w:p>
            <w:pPr>
              <w:jc w:val="left"/>
            </w:pPr>
            <w:r>
              <w:t xml:space="preserve">Theorem 1</w:t>
            </w:r>
          </w:p>
        </w:tc>
        <w:tc>
          <w:p>
            <w:pPr>
              <w:jc w:val="left"/>
            </w:pPr>
            <w:r>
              <w:t xml:space="preserve">Statistical robustness bound</w:t>
            </w:r>
          </w:p>
        </w:tc>
        <w:tc>
          <w:p>
            <w:pPr>
              <w:jc w:val="left"/>
            </w:pPr>
            <w:r>
              <w:rPr>
                <w:b/>
                <w:bCs/>
              </w:rPr>
              <w:t xml:space="preserve">Causal Influence Bound</w:t>
            </w:r>
            <w:r>
              <w:t xml:space="preserve"> (rewritten in do-calculus)</w:t>
            </w:r>
          </w:p>
        </w:tc>
      </w:tr>
      <w:tr>
        <w:tc>
          <w:p>
            <w:pPr>
              <w:jc w:val="left"/>
            </w:pPr>
            <w:r>
              <w:t xml:space="preserve">New Theorem 2</w:t>
            </w:r>
          </w:p>
        </w:tc>
        <w:tc>
          <w:p>
            <w:pPr>
              <w:jc w:val="left"/>
            </w:pPr>
            <w:r>
              <w:t xml:space="preserve">—</w:t>
            </w:r>
          </w:p>
        </w:tc>
        <w:tc>
          <w:p>
            <w:pPr>
              <w:jc w:val="left"/>
            </w:pPr>
            <w:r>
              <w:rPr>
                <w:b/>
                <w:bCs/>
              </w:rPr>
              <w:t xml:space="preserve">Impossibility Theorem</w:t>
            </w:r>
            <w:r>
              <w:t xml:space="preserve"> under no trust anchor (load-bearing)</w:t>
            </w:r>
          </w:p>
        </w:tc>
      </w:tr>
      <w:tr>
        <w:tc>
          <w:p>
            <w:pPr>
              <w:jc w:val="left"/>
            </w:pPr>
            <w:r>
              <w:t xml:space="preserve">OOD problem</w:t>
            </w:r>
          </w:p>
        </w:tc>
        <w:tc>
          <w:p>
            <w:pPr>
              <w:jc w:val="left"/>
            </w:pPr>
            <w:r>
              <w:t xml:space="preserve">Limitation in main text</w:t>
            </w:r>
          </w:p>
        </w:tc>
        <w:tc>
          <w:p>
            <w:pPr>
              <w:jc w:val="left"/>
            </w:pPr>
            <w:r>
              <w:t xml:space="preserve">Explicitly deferred to Paper 4 (roadmap)</w:t>
            </w:r>
          </w:p>
        </w:tc>
      </w:tr>
      <w:tr>
        <w:tc>
          <w:p>
            <w:pPr>
              <w:jc w:val="left"/>
            </w:pPr>
            <w:r>
              <w:t xml:space="preserve">Audience</w:t>
            </w:r>
          </w:p>
        </w:tc>
        <w:tc>
          <w:p>
            <w:pPr>
              <w:jc w:val="left"/>
            </w:pPr>
            <w:r>
              <w:t xml:space="preserve">RAG / security community</w:t>
            </w:r>
          </w:p>
        </w:tc>
        <w:tc>
          <w:p>
            <w:pPr>
              <w:jc w:val="left"/>
            </w:pPr>
            <w:r>
              <w:t xml:space="preserve">AAAI mainstream ML + causal inference + safety</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Paper 1 / Chapter 1 — Abstract + Introduction (Final Draft)</w:t>
      </w:r>
    </w:p>
    <w:p>
      <w:pPr>
        <w:pStyle w:val="Heading3"/>
        <w:spacing w:after="200"/>
        <w:jc w:val="left"/>
      </w:pPr>
      <w:r>
        <w:t xml:space="preserve">4.1 Abstract (final)</w:t>
      </w:r>
    </w:p>
    <w:p>
      <w:pPr>
        <w:spacing w:after="120"/>
        <w:jc w:val="left"/>
      </w:pPr>
      <w:r>
        <w:t xml:space="preserve">LLM agents that browse, write files, execute code, and call external APIs face safety threats that emerge not from individual prompts but from the </w:t>
      </w:r>
      <w:r>
        <w:rPr>
          <w:b/>
          <w:bCs/>
        </w:rPr>
        <w:t xml:space="preserve">causal interaction</w:t>
      </w:r>
      <w:r>
        <w:t xml:space="preserve"> of user intent, retrieved memory, tool arguments, and intermediate observations along multi-step trajectories. We model an agent trajectory as a </w:t>
      </w:r>
      <w:r>
        <w:rPr>
          <w:b/>
          <w:bCs/>
        </w:rPr>
        <w:t xml:space="preserve">Causal Influence Diagram (CID)</w:t>
      </w:r>
      <w:r>
        <w:t xml:space="preserve"> and observe that three otherwise-disparate attack families — memory poisoning, indirect prompt injection, and retrieval corruption — admit a unified formalization as </w:t>
      </w:r>
      <w:r>
        <w:rPr>
          <w:b/>
          <w:bCs/>
        </w:rPr>
        <w:t xml:space="preserve">adversarial do-interventions on identifiable causal parent sets</w:t>
      </w:r>
      <w:r>
        <w:t xml:space="preserve">. Yet existing runtime guards classify trajectory steps as i.i.d. text, miss the structural locus where interventions occur, and provide no formal account of how an adversary's intervention shifts the guard's output.</w:t>
      </w:r>
    </w:p>
    <w:p>
      <w:pPr>
        <w:spacing w:after="200"/>
      </w:pPr>
      <w:r>
        <w:t xml:space="preserve"> </w:t>
      </w:r>
    </w:p>
    <w:p>
      <w:pPr>
        <w:spacing w:after="120"/>
        <w:jc w:val="left"/>
      </w:pPr>
      <w:r>
        <w:t xml:space="preserve">We introduce </w:t>
      </w:r>
      <w:r>
        <w:rPr>
          <w:b/>
          <w:bCs/>
        </w:rPr>
        <w:t xml:space="preserve">PrecedentGuard</w:t>
      </w:r>
      <w:r>
        <w:t xml:space="preserve">, a CID-based runtime defense built on three components: (i) a typed CID extraction pipeline that recovers causal parents from raw agent trajectories; (ii) a </w:t>
      </w:r>
      <w:r>
        <w:rPr>
          <w:b/>
          <w:bCs/>
        </w:rPr>
        <w:t xml:space="preserve">cryptographically-isolated Causal Trust Anchor</w:t>
      </w:r>
      <w:r>
        <w:t xml:space="preserve"> </w:t>
      </w:r>
      <m:oMath>
        <m:sSub>
          <m:sSubPr>
            <m:ctrlPr/>
          </m:sSubPr>
          <m:e>
            <m:r>
              <m:t xml:space="preserve">L</m:t>
            </m:r>
          </m:e>
          <m:sub>
            <m:r>
              <m:t xml:space="preserve">i</m:t>
            </m:r>
          </m:sub>
        </m:sSub>
      </m:oMath>
      <w:r>
        <w:t xml:space="preserve"> that a bounded-budget adversary cannot reach; and (iii) </w:t>
      </w:r>
      <w:r>
        <w:rPr>
          <w:b/>
          <w:bCs/>
        </w:rPr>
        <w:t xml:space="preserve">Bounded Do-Intervention Calibration (BDIC)</w:t>
      </w:r>
      <w:r>
        <w:t xml:space="preserve"> — a training-free, decoding-time perturbation of a frozen guard backbone whose maximum effect is provably </w:t>
      </w:r>
      <m:oMath>
        <m:sSub>
          <m:sSubPr>
            <m:ctrlPr/>
          </m:sSubPr>
          <m:e>
            <m:r>
              <w:rPr/>
              <m:rPr>
                <m:nor/>
                <m:sty m:val="undefined"/>
              </m:rPr>
              <m:t xml:space="preserve">ℓ</m:t>
            </m:r>
          </m:e>
          <m:sub>
            <m:r>
              <w:rPr/>
              <m:rPr>
                <m:nor/>
                <m:sty m:val="undefined"/>
              </m:rPr>
              <m:t xml:space="preserve">∞</m:t>
            </m:r>
          </m:sub>
        </m:sSub>
      </m:oMath>
      <w:r>
        <w:t xml:space="preserve">-bounded.</w:t>
      </w:r>
    </w:p>
    <w:p>
      <w:pPr>
        <w:spacing w:after="200"/>
      </w:pPr>
      <w:r>
        <w:t xml:space="preserve"> </w:t>
      </w:r>
    </w:p>
    <w:p>
      <w:pPr>
        <w:spacing w:after="120"/>
        <w:jc w:val="left"/>
      </w:pPr>
      <w:r>
        <w:t xml:space="preserve">Our central result, the </w:t>
      </w:r>
      <w:r>
        <w:rPr>
          <w:b/>
          <w:bCs/>
        </w:rPr>
        <w:t xml:space="preserve">Causal Influence Bound Theorem</w:t>
      </w:r>
      <w:r>
        <w:t xml:space="preserve">, shows that under intervention budget </w:t>
      </w:r>
      <m:oMath>
        <m:r>
          <m:t xml:space="preserve">p≤ε</m:t>
        </m:r>
        <m:r>
          <w:rPr/>
          <m:rPr>
            <m:nor/>
            <m:sty m:val="undefined"/>
          </m:rPr>
          <m:t xml:space="preserve">/</m:t>
        </m:r>
        <m:r>
          <m:t xml:space="preserve">(K⋅D)</m:t>
        </m:r>
      </m:oMath>
      <w:r>
        <w:t xml:space="preserve">, BDIC simultaneously controls FNR and FPR. We further prove an </w:t>
      </w:r>
      <w:r>
        <w:rPr>
          <w:b/>
          <w:bCs/>
        </w:rPr>
        <w:t xml:space="preserve">Impossibility Theorem</w:t>
      </w:r>
      <w:r>
        <w:t xml:space="preserve">: without a cryptographically-isolated trust anchor, no bounded do-intervention can simultaneously control both rates — establishing trust isolation as necessary, not optional. Across 5 benchmarks × 13 systems × 5 seeds, PrecedentGuard reaches F1 = 0.954 on AgentHarm (FPR = 0.068) and, under a 7-attack × 5-rate poisoning sweep, maintains FNR = 0.077 at 30% corruption (vs. 0.348 for vanilla retrieval). Empirical collapse points match theoretical predictions within 3%.</w:t>
      </w:r>
    </w:p>
    <w:p>
      <w:pPr>
        <w:spacing w:after="200"/>
      </w:pPr>
      <w:r>
        <w:t xml:space="preserve"> </w:t>
      </w:r>
    </w:p>
    <w:p>
      <w:pPr>
        <w:spacing w:after="120"/>
        <w:jc w:val="left"/>
      </w:pPr>
      <w:r>
        <w:rPr>
          <w:b/>
          <w:bCs/>
        </w:rPr>
        <w:t xml:space="preserve">Keywords:</w:t>
      </w:r>
      <w:r>
        <w:t xml:space="preserve"> LLM agent safety; causal influence diagrams; bounded intervention; certified runtime defense; memory poisoning.</w:t>
      </w:r>
    </w:p>
    <w:p>
      <w:pPr>
        <w:spacing w:after="200"/>
      </w:pPr>
      <w:r>
        <w:t xml:space="preserve"> </w:t>
      </w:r>
    </w:p>
    <w:p>
      <w:pPr>
        <w:pStyle w:val="Heading3"/>
        <w:spacing w:after="200"/>
        <w:jc w:val="left"/>
      </w:pPr>
      <w:r>
        <w:t xml:space="preserve">4.2 §1.1 Trajectory as a Causal Process (Hook)</w:t>
      </w:r>
    </w:p>
    <w:p>
      <w:pPr>
        <w:spacing w:after="120"/>
        <w:jc w:val="left"/>
      </w:pPr>
      <w:r>
        <w:t xml:space="preserve">An LLM agent's trajectory — the ordered chain of user intent, retrieved memory items, tool calls, intermediate observations, and intermediate decisions — can be modeled as a </w:t>
      </w:r>
      <w:r>
        <w:rPr>
          <w:b/>
          <w:bCs/>
        </w:rPr>
        <w:t xml:space="preserve">Causal Influence Diagram (CID)</w:t>
      </w:r>
      <w:r>
        <w:t xml:space="preserve"> [Everitt et al., 2021; Richens &amp; Everitt, 2024] in which each trajectory component is a causal parent of subsequent agent decisions and the ultimate task utility. Under this view, otherwise-disparate safety failures admit a single formalization: memory poisoning is a do-intervention on the memory node, indirect prompt injection is a do-intervention on observation nodes, and retrieval corruption is a do-intervention on the retrieval transition. Yet existing runtime guards treat the trajectory as a flat sequence of text, classifying each step as if i.i.d., and consequently cannot quantify how much an adversary's intervention can shift the guard's decision. The central question this paper addresses is:</w:t>
      </w:r>
    </w:p>
    <w:p>
      <w:pPr>
        <w:spacing w:after="200"/>
      </w:pPr>
      <w:r>
        <w:t xml:space="preserve"> </w:t>
      </w:r>
    </w:p>
    <w:p>
      <w:pPr>
        <w:pBdr>
          <w:left w:val="single" w:color="BFBFBF" w:sz="12" w:space="200"/>
        </w:pBdr>
        <w:spacing w:after="120"/>
        <w:ind w:start="300"/>
        <w:jc w:val="left"/>
      </w:pPr>
      <w:r>
        <w:rPr>
          <w:i/>
          <w:iCs/>
        </w:rPr>
        <w:t xml:space="preserve">Can the causal influence of trajectory components on guard decisions be **quantitatively bounded** under adversarial intervention, with formal guarantees on both false-negative and false-positive rates?</w:t>
      </w:r>
    </w:p>
    <w:p>
      <w:pPr>
        <w:spacing w:after="200"/>
      </w:pPr>
      <w:r>
        <w:t xml:space="preserve"> </w:t>
      </w:r>
    </w:p>
    <w:p>
      <w:pPr>
        <w:pStyle w:val="Heading3"/>
        <w:spacing w:after="200"/>
        <w:jc w:val="left"/>
      </w:pPr>
      <w:r>
        <w:t xml:space="preserve">4.3 §1.2 Three Gaps</w:t>
      </w:r>
    </w:p>
    <w:p>
      <w:pPr>
        <w:spacing w:after="120"/>
        <w:jc w:val="left"/>
      </w:pPr>
      <w:r>
        <w:rPr>
          <w:b/>
          <w:bCs/>
        </w:rPr>
        <w:t xml:space="preserve">(G1) Existing trajectory-aware guards lack quantitative causal influence modeling.</w:t>
      </w:r>
      <w:r>
        <w:t xml:space="preserve"> State-of-the-art guard backbones (LLaMA-Guard 3/4, ShieldGemma 2, Granite Guardian, WildGuard) and recently proposed trajectory-aware variants (TRACES, Trajectory Guard, GuardAgent, Spider-Sense, AgentDoG) use causal-sounding language — </w:t>
      </w:r>
      <w:r>
        <w:rPr>
          <w:i/>
          <w:iCs/>
        </w:rPr>
        <w:t xml:space="preserve">knowledge reasoning</w:t>
      </w:r>
      <w:r>
        <w:t xml:space="preserve">, </w:t>
      </w:r>
      <w:r>
        <w:rPr>
          <w:i/>
          <w:iCs/>
        </w:rPr>
        <w:t xml:space="preserve">hierarchical risk</w:t>
      </w:r>
      <w:r>
        <w:t xml:space="preserve">, </w:t>
      </w:r>
      <w:r>
        <w:rPr>
          <w:i/>
          <w:iCs/>
        </w:rPr>
        <w:t xml:space="preserve">trajectory state</w:t>
      </w:r>
      <w:r>
        <w:t xml:space="preserve"> — but none provides a do-calculus formulation that supports formal bounds. The consequence is that adversarial intervention on memory, observations, or tool returns has no controlled effect: corruption of a single causal parent can flip the guard's verdict by an arbitrary margin.</w:t>
      </w:r>
    </w:p>
    <w:p>
      <w:pPr>
        <w:spacing w:after="200"/>
      </w:pPr>
      <w:r>
        <w:t xml:space="preserve"> </w:t>
      </w:r>
    </w:p>
    <w:p>
      <w:pPr>
        <w:spacing w:after="120"/>
        <w:jc w:val="left"/>
      </w:pPr>
      <w:r>
        <w:rPr>
          <w:b/>
          <w:bCs/>
        </w:rPr>
        <w:t xml:space="preserve">(G2) Memory-based defenses cannot quantify retrieved memory's causal influence on the decision.</w:t>
      </w:r>
      <w:r>
        <w:t xml:space="preserve"> Memory-augmented defenses (Vanilla RAG, PathRAG, SafeHarbor, AgentPoison-aware variants) retrieve trajectory-relevant precedents but lack a formal account of how retrieved memory causally shifts the decision in a do-calculus sense. They are therefore vulnerable to memory poisoning attacks (AgentPoison, MINJA, PoisonedRAG, MemoryGraft) that operate precisely on the causal pathway from memory to guard output.</w:t>
      </w:r>
    </w:p>
    <w:p>
      <w:pPr>
        <w:spacing w:after="200"/>
      </w:pPr>
      <w:r>
        <w:t xml:space="preserve"> </w:t>
      </w:r>
    </w:p>
    <w:p>
      <w:pPr>
        <w:spacing w:after="120"/>
        <w:jc w:val="left"/>
      </w:pPr>
      <w:r>
        <w:rPr>
          <w:b/>
          <w:bCs/>
        </w:rPr>
        <w:t xml:space="preserve">(G3) The sole existing CID-based agent-safety work provides no formal bound under intervention.</w:t>
      </w:r>
      <w:r>
        <w:t xml:space="preserve"> The most relevant prior work, </w:t>
      </w:r>
      <w:r>
        <w:rPr>
          <w:i/>
          <w:iCs/>
        </w:rPr>
        <w:t xml:space="preserve">Causal Influence Prompting</w:t>
      </w:r>
      <w:r>
        <w:t xml:space="preserve"> (CIP, 2025), introduces CIDs into LLM agent safety but uses them as a </w:t>
      </w:r>
      <w:r>
        <w:rPr>
          <w:b/>
          <w:bCs/>
        </w:rPr>
        <w:t xml:space="preserve">prompt-engineering aid</w:t>
      </w:r>
      <w:r>
        <w:t xml:space="preserve">: the CID is serialized and fed to the LLM as additional context. CIP does not perform decoding-time intervention, does not isolate a trust anchor against adversarial corruption, and provides no formal certification of how much a memory item can shift the guard's output. The fundamental question — </w:t>
      </w:r>
      <w:r>
        <w:rPr>
          <w:i/>
          <w:iCs/>
        </w:rPr>
        <w:t xml:space="preserve">can causal influence be quantitatively bounded under adversarial intervention, with simultaneous control of FNR and FPR</w:t>
      </w:r>
      <w:r>
        <w:t xml:space="preserve"> — remains open.</w:t>
      </w:r>
    </w:p>
    <w:p>
      <w:pPr>
        <w:spacing w:after="200"/>
      </w:pPr>
      <w:r>
        <w:t xml:space="preserve"> </w:t>
      </w:r>
    </w:p>
    <w:p>
      <w:pPr>
        <w:pStyle w:val="Heading3"/>
        <w:spacing w:after="200"/>
        <w:jc w:val="left"/>
      </w:pPr>
      <w:r>
        <w:t xml:space="preserve">4.4 §1.3 Approach: Bounded Do-Intervention</w:t>
      </w:r>
    </w:p>
    <w:p>
      <w:pPr>
        <w:spacing w:after="120"/>
        <w:jc w:val="left"/>
      </w:pPr>
      <w:r>
        <w:t xml:space="preserve">We address this question with </w:t>
      </w:r>
      <w:r>
        <w:rPr>
          <w:b/>
          <w:bCs/>
        </w:rPr>
        <w:t xml:space="preserve">Bounded Do-Intervention</w:t>
      </w:r>
      <w:r>
        <w:t xml:space="preserve">, a causal-influence-bounded runtime defense framework instantiated as </w:t>
      </w:r>
      <w:r>
        <w:rPr>
          <w:b/>
          <w:bCs/>
        </w:rPr>
        <w:t xml:space="preserve">PrecedentGuard</w:t>
      </w:r>
      <w:r>
        <w:t xml:space="preserve">. Each agent trajectory is converted into a typed CID whose nodes carry types </w:t>
      </w:r>
      <w:r>
        <w:rPr>
          <w:rFonts w:ascii="Courier New" w:cs="Courier New" w:eastAsia="Courier New" w:hAnsi="Courier New"/>
          <w:shd w:fill="F1F5F9" w:color="auto" w:val="clear"/>
        </w:rPr>
        <w:t xml:space="preserve">{Intent, Memory, Tool, Observation, Decision, Utility}</w:t>
      </w:r>
      <w:r>
        <w:t xml:space="preserve"> and whose edges carry causal dependencies. A set of past trajectories ("precedents") </w:t>
      </w:r>
      <m:oMath>
        <m:sSub>
          <m:sSubPr>
            <m:ctrlPr/>
          </m:sSubPr>
          <m:e>
            <m:r>
              <m:t xml:space="preserve">E</m:t>
            </m:r>
          </m:e>
          <m:sub>
            <m:r>
              <m:t xml:space="preserve">i</m:t>
            </m:r>
          </m:sub>
        </m:sSub>
        <m:r>
          <m:t xml:space="preserve">=(</m:t>
        </m:r>
        <m:sSub>
          <m:sSubPr>
            <m:ctrlPr/>
          </m:sSubPr>
          <m:e>
            <m:r>
              <m:t xml:space="preserve">M</m:t>
            </m:r>
          </m:e>
          <m:sub>
            <m:r>
              <m:t xml:space="preserve">i</m:t>
            </m:r>
          </m:sub>
        </m:sSub>
        <m:r>
          <m:t xml:space="preserve">,</m:t>
        </m:r>
        <m:sSub>
          <m:sSubPr>
            <m:ctrlPr/>
          </m:sSubPr>
          <m:e>
            <m:r>
              <m:t xml:space="preserve">G</m:t>
            </m:r>
          </m:e>
          <m:sub>
            <m:r>
              <m:t xml:space="preserve">i</m:t>
            </m:r>
          </m:sub>
        </m:sSub>
        <m:r>
          <m:t xml:space="preserve">,</m:t>
        </m:r>
        <m:sSub>
          <m:sSubPr>
            <m:ctrlPr/>
          </m:sSubPr>
          <m:e>
            <m:r>
              <m:t xml:space="preserve">T</m:t>
            </m:r>
          </m:e>
          <m:sub>
            <m:r>
              <m:t xml:space="preserve">i</m:t>
            </m:r>
          </m:sub>
        </m:sSub>
        <m:r>
          <m:t xml:space="preserve">,</m:t>
        </m:r>
        <m:sSub>
          <m:sSubPr>
            <m:ctrlPr/>
          </m:sSubPr>
          <m:e>
            <m:r>
              <m:t xml:space="preserve">L</m:t>
            </m:r>
          </m:e>
          <m:sub>
            <m:r>
              <m:t xml:space="preserve">i</m:t>
            </m:r>
          </m:sub>
        </m:sSub>
        <m:r>
          <m:t xml:space="preserve">,</m:t>
        </m:r>
        <m:sSub>
          <m:sSubPr>
            <m:ctrlPr/>
          </m:sSubPr>
          <m:e>
            <m:r>
              <m:t xml:space="preserve">C</m:t>
            </m:r>
          </m:e>
          <m:sub>
            <m:r>
              <m:t xml:space="preserve">i</m:t>
            </m:r>
          </m:sub>
        </m:sSub>
        <m:r>
          <m:t xml:space="preserve">)</m:t>
        </m:r>
      </m:oMath>
      <w:r>
        <w:t xml:space="preserve"> is retrieved by combining dense embedding similarity over </w:t>
      </w:r>
      <m:oMath>
        <m:sSub>
          <m:sSubPr>
            <m:ctrlPr/>
          </m:sSubPr>
          <m:e>
            <m:r>
              <m:t xml:space="preserve">M</m:t>
            </m:r>
          </m:e>
          <m:sub>
            <m:r>
              <m:t xml:space="preserve">i</m:t>
            </m:r>
          </m:sub>
        </m:sSub>
      </m:oMath>
      <w:r>
        <w:t xml:space="preserve"> with typed-set Jaccard similarity over </w:t>
      </w:r>
      <m:oMath>
        <m:sSub>
          <m:sSubPr>
            <m:ctrlPr/>
          </m:sSubPr>
          <m:e>
            <m:r>
              <m:t xml:space="preserve">G</m:t>
            </m:r>
          </m:e>
          <m:sub>
            <m:r>
              <m:t xml:space="preserve">i</m:t>
            </m:r>
          </m:sub>
        </m:sSub>
      </m:oMath>
      <w:r>
        <w:t xml:space="preserve">. The retrieved precedents inform the guard's decoding-time output through </w:t>
      </w:r>
      <w:r>
        <w:rPr>
          <w:b/>
          <w:bCs/>
        </w:rPr>
        <w:t xml:space="preserve">Bounded Do-Intervention Calibration (BDIC)</w:t>
      </w:r>
      <w:r>
        <w:t xml:space="preserve">, which perturbs a frozen guard backbone's logits by a quantity that is </w:t>
      </w:r>
      <m:oMath>
        <m:sSub>
          <m:sSubPr>
            <m:ctrlPr/>
          </m:sSubPr>
          <m:e>
            <m:r>
              <w:rPr/>
              <m:rPr>
                <m:nor/>
                <m:sty m:val="undefined"/>
              </m:rPr>
              <m:t xml:space="preserve">ℓ</m:t>
            </m:r>
          </m:e>
          <m:sub>
            <m:r>
              <w:rPr/>
              <m:rPr>
                <m:nor/>
                <m:sty m:val="undefined"/>
              </m:rPr>
              <m:t xml:space="preserve">∞</m:t>
            </m:r>
          </m:sub>
        </m:sSub>
      </m:oMath>
      <w:r>
        <w:t xml:space="preserve">-bounded by an explicit budget </w:t>
      </w:r>
      <m:oMath>
        <m:r>
          <m:t xml:space="preserve">ε</m:t>
        </m:r>
      </m:oMath>
      <w:r>
        <w:t xml:space="preserve">, subject to a monotonicity constraint mediated by the </w:t>
      </w:r>
      <w:r>
        <w:rPr>
          <w:b/>
          <w:bCs/>
        </w:rPr>
        <w:t xml:space="preserve">Causal Trust Anchor</w:t>
      </w:r>
      <w:r>
        <w:t xml:space="preserve"> </w:t>
      </w:r>
      <m:oMath>
        <m:sSub>
          <m:sSubPr>
            <m:ctrlPr/>
          </m:sSubPr>
          <m:e>
            <m:r>
              <m:t xml:space="preserve">L</m:t>
            </m:r>
          </m:e>
          <m:sub>
            <m:r>
              <m:t xml:space="preserve">i</m:t>
            </m:r>
          </m:sub>
        </m:sSub>
      </m:oMath>
      <w:r>
        <w:t xml:space="preserve"> — a cryptographically-signed audit rule that an attacker with a bounded intervention budget cannot reach.</w:t>
      </w:r>
    </w:p>
    <w:p>
      <w:pPr>
        <w:spacing w:after="200"/>
      </w:pPr>
      <w:r>
        <w:t xml:space="preserve"> </w:t>
      </w:r>
    </w:p>
    <w:p>
      <w:pPr>
        <w:pStyle w:val="Heading3"/>
        <w:spacing w:after="200"/>
        <w:jc w:val="left"/>
      </w:pPr>
      <w:r>
        <w:t xml:space="preserve">4.5 §1.4 Contributions</w:t>
      </w:r>
    </w:p>
    <w:p>
      <w:pPr>
        <w:spacing w:after="100"/>
        <w:ind w:start="20"/>
        <w:jc w:val="left"/>
      </w:pPr>
      <w:r>
        <w:t xml:space="preserve">1. </w:t>
      </w:r>
      <w:r>
        <w:rPr>
          <w:b/>
          <w:bCs/>
        </w:rPr>
        <w:t xml:space="preserve">CID framework with isolated trust anchors (§3).</w:t>
      </w:r>
      <w:r>
        <w:t xml:space="preserve"> We introduce the first formalization of LLM agent runtime safety as a CID with cryptographically-isolated causal trust anchors, unifying memory poisoning, indirect prompt injection, and retrieval corruption as do-interventions on a typed causal parent set.</w:t>
      </w:r>
    </w:p>
    <w:p>
      <w:pPr>
        <w:spacing w:after="100"/>
        <w:ind w:start="20"/>
        <w:jc w:val="left"/>
      </w:pPr>
      <w:r>
        <w:t xml:space="preserve">2. </w:t>
      </w:r>
      <w:r>
        <w:rPr>
          <w:b/>
          <w:bCs/>
        </w:rPr>
        <w:t xml:space="preserve">Causal Influence Bound and Impossibility Theorems (§4).</w:t>
      </w:r>
      <w:r>
        <w:t xml:space="preserve"> We prove the </w:t>
      </w:r>
      <w:r>
        <w:rPr>
          <w:b/>
          <w:bCs/>
        </w:rPr>
        <w:t xml:space="preserve">Causal Influence Bound Theorem</w:t>
      </w:r>
      <w:r>
        <w:t xml:space="preserve"> (Theorem 1): under intervention budget </w:t>
      </w:r>
      <m:oMath>
        <m:r>
          <m:t xml:space="preserve">p≤ε</m:t>
        </m:r>
        <m:r>
          <w:rPr/>
          <m:rPr>
            <m:nor/>
            <m:sty m:val="undefined"/>
          </m:rPr>
          <m:t xml:space="preserve">/</m:t>
        </m:r>
        <m:r>
          <m:t xml:space="preserve">(K⋅D)</m:t>
        </m:r>
      </m:oMath>
      <w:r>
        <w:t xml:space="preserve">, BDIC simultaneously controls FNR and FPR, with three corollaries on graceful degradation, adaptive adversaries, and the FNR-FPR Pareto frontier. We further prove the </w:t>
      </w:r>
      <w:r>
        <w:rPr>
          <w:b/>
          <w:bCs/>
        </w:rPr>
        <w:t xml:space="preserve">Impossibility Theorem</w:t>
      </w:r>
      <w:r>
        <w:t xml:space="preserve"> (Theorem 2): without a cryptographically-isolated trust anchor, no bounded do-intervention scheme can simultaneously control FNR and FPR — establishing trust isolation as necessary, not merely sufficient.</w:t>
      </w:r>
    </w:p>
    <w:p>
      <w:pPr>
        <w:spacing w:after="100"/>
        <w:ind w:start="20"/>
        <w:jc w:val="left"/>
      </w:pPr>
      <w:r>
        <w:t xml:space="preserve">3. </w:t>
      </w:r>
      <w:r>
        <w:rPr>
          <w:b/>
          <w:bCs/>
        </w:rPr>
        <w:t xml:space="preserve">Bounded Do-Intervention Calibration (§5-6).</w:t>
      </w:r>
      <w:r>
        <w:t xml:space="preserve"> We instantiate the bound via BDIC, a training-free, decoding-time perturbation of a frozen guard backbone with </w:t>
      </w:r>
      <m:oMath>
        <m:r>
          <m:t xml:space="preserve">O(</m:t>
        </m:r>
        <m:r>
          <w:rPr/>
          <m:rPr>
            <m:nor/>
            <m:sty m:val="undefined"/>
          </m:rPr>
          <m:t xml:space="preserve">∣</m:t>
        </m:r>
        <m:r>
          <w:rPr/>
          <m:rPr>
            <m:nor/>
            <m:sty m:val="undefined"/>
          </m:rPr>
          <m:t xml:space="preserve">E</m:t>
        </m:r>
        <m:r>
          <w:rPr/>
          <m:rPr>
            <m:nor/>
            <m:sty m:val="undefined"/>
          </m:rPr>
          <m:t xml:space="preserve">∣</m:t>
        </m:r>
        <m:sSub>
          <m:sSubPr>
            <m:ctrlPr/>
          </m:sSubPr>
          <m:e>
            <m:r>
              <m:t xml:space="preserve">d</m:t>
            </m:r>
          </m:e>
          <m:sub>
            <m:r>
              <m:t xml:space="preserve">M</m:t>
            </m:r>
          </m:sub>
        </m:sSub>
        <m:r>
          <m:t xml:space="preserve">+K(</m:t>
        </m:r>
        <m:r>
          <w:rPr/>
          <m:rPr>
            <m:nor/>
            <m:sty m:val="undefined"/>
          </m:rPr>
          <m:t xml:space="preserve">∣</m:t>
        </m:r>
        <m:r>
          <m:t xml:space="preserve">V</m:t>
        </m:r>
        <m:r>
          <w:rPr/>
          <m:rPr>
            <m:nor/>
            <m:sty m:val="undefined"/>
          </m:rPr>
          <m:t xml:space="preserve">∣</m:t>
        </m:r>
        <m:r>
          <m:t xml:space="preserve">+</m:t>
        </m:r>
        <m:r>
          <w:rPr/>
          <m:rPr>
            <m:nor/>
            <m:sty m:val="undefined"/>
          </m:rPr>
          <m:t xml:space="preserve">∣</m:t>
        </m:r>
        <m:r>
          <m:t xml:space="preserve">E</m:t>
        </m:r>
        <m:r>
          <w:rPr/>
          <m:rPr>
            <m:nor/>
            <m:sty m:val="undefined"/>
          </m:rPr>
          <m:t xml:space="preserve">∣</m:t>
        </m:r>
        <m:r>
          <m:t xml:space="preserve">))</m:t>
        </m:r>
      </m:oMath>
      <w:r>
        <w:t xml:space="preserve"> retrieval cost. PrecedentGuard achieves new SOTA on AgentHarm (F1 = 0.954, FPR = 0.068) and, under a 7-attack × 5-rate memory poisoning sweep, maintains FNR = 0.077 at $p = 30</w:t>
      </w:r>
      <w:r>
        <w:t xml:space="preserve">%</w:t>
      </w:r>
      <m:oMath>
        <m:r>
          <m:t xml:space="preserve">corruption</m:t>
        </m:r>
        <m:r>
          <m:rPr>
            <m:nor/>
          </m:rPr>
          <m:t xml:space="preserve">—</m:t>
        </m:r>
        <m:r>
          <m:t xml:space="preserve">matchingthetheoretical</m:t>
        </m:r>
      </m:oMath>
      <w:r>
        <w:t xml:space="preserve">p^*$ collapse point within 3%.</w:t>
      </w:r>
    </w:p>
    <w:p>
      <w:pPr>
        <w:spacing w:after="200"/>
      </w:pPr>
      <w:r>
        <w:t xml:space="preserve"> </w:t>
      </w:r>
    </w:p>
    <w:p>
      <w:pPr>
        <w:pStyle w:val="Heading3"/>
        <w:spacing w:after="200"/>
        <w:jc w:val="left"/>
      </w:pPr>
      <w:r>
        <w:t xml:space="preserve">4.6 §1.5 Roadmap</w:t>
      </w:r>
    </w:p>
    <w:p>
      <w:pPr>
        <w:spacing w:after="120"/>
        <w:jc w:val="left"/>
      </w:pPr>
      <w:r>
        <w:t xml:space="preserve">Section 2 positions this work against (i) static and trajectory-aware guards, (ii) memory-poisoning attacks and defenses, (iii) decoding-time interventions, and (iv) the recent causal-prompting literature. Section 3 introduces the CID formalism with isolated trust anchors. Section 4 states and proves Theorems 1-2 with three corollaries. Section 5 instantiates BDIC. Section 6 reports the empirical evaluation. Section 7 discusses limitations — most notably out-of-distribution generalization, addressed in subsequent work via </w:t>
      </w:r>
      <w:r>
        <w:rPr>
          <w:i/>
          <w:iCs/>
        </w:rPr>
        <w:t xml:space="preserve">causally-invariant guards</w:t>
      </w:r>
      <w:r>
        <w:t xml:space="preserve"> — and outlines </w:t>
      </w:r>
      <w:r>
        <w:rPr>
          <w:b/>
          <w:bCs/>
        </w:rPr>
        <w:t xml:space="preserve">counterfactual attribution</w:t>
      </w:r>
      <w:r>
        <w:t xml:space="preserve">, </w:t>
      </w:r>
      <w:r>
        <w:rPr>
          <w:b/>
          <w:bCs/>
        </w:rPr>
        <w:t xml:space="preserve">causal explanation of guard decisions</w:t>
      </w:r>
      <w:r>
        <w:t xml:space="preserve">, and </w:t>
      </w:r>
      <w:r>
        <w:rPr>
          <w:b/>
          <w:bCs/>
        </w:rPr>
        <w:t xml:space="preserve">federated causal precedent updates</w:t>
      </w:r>
      <w:r>
        <w:t xml:space="preserve"> as continuing research directions.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Paper 1 / Chapter 2 — Related Work (Final Draft)</w:t>
      </w:r>
    </w:p>
    <w:p>
      <w:pPr>
        <w:pStyle w:val="Heading3"/>
        <w:spacing w:after="200"/>
        <w:jc w:val="left"/>
      </w:pPr>
      <w:r>
        <w:t xml:space="preserve">5.1 Narrative Structure</w:t>
      </w:r>
    </w:p>
    <w:p>
      <w:pPr>
        <w:spacing w:after="120"/>
        <w:jc w:val="left"/>
      </w:pPr>
      <w:r>
        <w:t xml:space="preserve">Five lines, with L1 compressed to a background mention (~1-2 sentences) and L2-L5 as full paragraphs:</w:t>
      </w:r>
    </w:p>
    <w:p>
      <w:pPr>
        <w:spacing w:after="200"/>
      </w:pPr>
      <w:r>
        <w:t xml:space="preserve"> </w:t>
      </w:r>
    </w:p>
    <w:p>
      <w:pPr>
        <w:pStyle w:val="ListParagraph"/>
        <w:numPr>
          <w:ilvl w:val="0"/>
          <w:numId w:val="2"/>
        </w:numPr>
        <w:spacing w:after="100"/>
        <w:ind w:start="240"/>
        <w:jc w:val="left"/>
      </w:pPr>
      <w:r>
        <w:rPr>
          <w:b/>
          <w:bCs/>
        </w:rPr>
        <w:t xml:space="preserve">L1</w:t>
      </w:r>
      <w:r>
        <w:t xml:space="preserve"> — Static guard backbones (background only)</w:t>
      </w:r>
    </w:p>
    <w:p>
      <w:pPr>
        <w:pStyle w:val="ListParagraph"/>
        <w:numPr>
          <w:ilvl w:val="0"/>
          <w:numId w:val="2"/>
        </w:numPr>
        <w:spacing w:after="100"/>
        <w:ind w:start="240"/>
        <w:jc w:val="left"/>
      </w:pPr>
      <w:r>
        <w:rPr>
          <w:b/>
          <w:bCs/>
        </w:rPr>
        <w:t xml:space="preserve">L2</w:t>
      </w:r>
      <w:r>
        <w:t xml:space="preserve"> — Trajectory-aware guards (the primary same-generation competitors)</w:t>
      </w:r>
    </w:p>
    <w:p>
      <w:pPr>
        <w:pStyle w:val="ListParagraph"/>
        <w:numPr>
          <w:ilvl w:val="0"/>
          <w:numId w:val="2"/>
        </w:numPr>
        <w:spacing w:after="100"/>
        <w:ind w:start="240"/>
        <w:jc w:val="left"/>
      </w:pPr>
      <w:r>
        <w:rPr>
          <w:b/>
          <w:bCs/>
        </w:rPr>
        <w:t xml:space="preserve">L3</w:t>
      </w:r>
      <w:r>
        <w:t xml:space="preserve"> — Memory poisoning attacks and certified defenses (empirical arena + SMSR head-on critique)</w:t>
      </w:r>
    </w:p>
    <w:p>
      <w:pPr>
        <w:pStyle w:val="ListParagraph"/>
        <w:numPr>
          <w:ilvl w:val="0"/>
          <w:numId w:val="2"/>
        </w:numPr>
        <w:spacing w:after="100"/>
        <w:ind w:start="240"/>
        <w:jc w:val="left"/>
      </w:pPr>
      <w:r>
        <w:rPr>
          <w:b/>
          <w:bCs/>
        </w:rPr>
        <w:t xml:space="preserve">L4</w:t>
      </w:r>
      <w:r>
        <w:t xml:space="preserve"> — Decoding-time intervention (operational paradigm replaced)</w:t>
      </w:r>
    </w:p>
    <w:p>
      <w:pPr>
        <w:pStyle w:val="ListParagraph"/>
        <w:numPr>
          <w:ilvl w:val="0"/>
          <w:numId w:val="2"/>
        </w:numPr>
        <w:spacing w:after="100"/>
        <w:ind w:start="240"/>
        <w:jc w:val="left"/>
      </w:pPr>
      <w:r>
        <w:rPr>
          <w:b/>
          <w:bCs/>
        </w:rPr>
        <w:t xml:space="preserve">L5</w:t>
      </w:r>
      <w:r>
        <w:t xml:space="preserve"> — Causal reasoning in agent and LLM safety (theoretical lineage + CIP head-on critique)</w:t>
      </w:r>
    </w:p>
    <w:p>
      <w:pPr>
        <w:spacing w:after="200"/>
      </w:pPr>
      <w:r>
        <w:t xml:space="preserve"> </w:t>
      </w:r>
    </w:p>
    <w:p>
      <w:pPr>
        <w:spacing w:after="120"/>
        <w:jc w:val="left"/>
      </w:pPr>
      <w:r>
        <w:t xml:space="preserve">Closing sentence positions the work at the </w:t>
      </w:r>
      <w:r>
        <w:rPr>
          <w:b/>
          <w:bCs/>
        </w:rPr>
        <w:t xml:space="preserve">intersection of trajectory-aware guarding, certified defense, and causal influence reasoning</w:t>
      </w:r>
      <w:r>
        <w:t xml:space="preserve">.</w:t>
      </w:r>
    </w:p>
    <w:p>
      <w:pPr>
        <w:spacing w:after="200"/>
      </w:pPr>
      <w:r>
        <w:t xml:space="preserve"> </w:t>
      </w:r>
    </w:p>
    <w:p>
      <w:pPr>
        <w:pStyle w:val="Heading3"/>
        <w:spacing w:after="200"/>
        <w:jc w:val="left"/>
      </w:pPr>
      <w:r>
        <w:t xml:space="preserve">5.2 §2 Related Work (final draft)</w:t>
      </w:r>
    </w:p>
    <w:p>
      <w:pPr>
        <w:spacing w:after="120"/>
        <w:jc w:val="left"/>
      </w:pPr>
      <w:r>
        <w:t xml:space="preserve">Our work builds on five strands of prior research: static and trajectory-aware guards, memory poisoning attacks and defenses, decoding-time intervention, and causal reasoning for LLM agent safety. We discuss each in turn and end by stating the unique intersection our framework occupies.</w:t>
      </w:r>
    </w:p>
    <w:p>
      <w:pPr>
        <w:spacing w:after="200"/>
      </w:pPr>
      <w:r>
        <w:t xml:space="preserve"> </w:t>
      </w:r>
    </w:p>
    <w:p>
      <w:pPr>
        <w:pStyle w:val="Heading4"/>
        <w:spacing w:after="200"/>
        <w:jc w:val="left"/>
      </w:pPr>
      <w:r>
        <w:t xml:space="preserve">§2.1 Static and Trajectory-Aware Guards</w:t>
      </w:r>
    </w:p>
    <w:p>
      <w:pPr>
        <w:spacing w:after="120"/>
        <w:jc w:val="left"/>
      </w:pPr>
      <w:r>
        <w:t xml:space="preserve">A generation of static guards — LLaMA-Guard 3/4 [Inan et al., 2024], ShieldGemma 2 [Zeng et al., 2024], Granite Guardian [Padhi et al., 2024], WildGuard [Han et al., 2024], and DataSentinel [Liu et al., 2025] — established the pointwise-classifier paradigm: each trajectory step is scored as i.i.d. text. These models remain strong in-domain baselines but cannot model dependencies among trajectory components and cannot bound an adversary's intervention on a specific causal parent.</w:t>
      </w:r>
    </w:p>
    <w:p>
      <w:pPr>
        <w:spacing w:after="200"/>
      </w:pPr>
      <w:r>
        <w:t xml:space="preserve"> </w:t>
      </w:r>
    </w:p>
    <w:p>
      <w:pPr>
        <w:spacing w:after="120"/>
        <w:jc w:val="left"/>
      </w:pPr>
      <w:r>
        <w:t xml:space="preserve">A more recent line of work introduces trajectory awareness. TRACES [2026] models multi-turn trajectories via trajectory-state representations; Trajectory Guard [Advani, 2026] performs sequence-aware reactive anomaly detection; GuardAgent [Xiang et al., 2025] runs an auxiliary reasoning agent; AGrail [2025] frames safety detection as a lifelong-learning task; Spider-Sense [2026] learns hierarchical adversarial risk signals; AgentDoG [2026] proposes a three-dimensional risk taxonomy; SafeHarbor [2026] couples a guard with a hierarchical memory store. </w:t>
      </w:r>
      <w:r>
        <w:rPr>
          <w:b/>
          <w:bCs/>
        </w:rPr>
        <w:t xml:space="preserve">All of these use causal-sounding language — *state*, *risk*, *trajectory dependency* — but none formulates the dependency in a do-calculus sense or supports formal bounds on adversarial influence.</w:t>
      </w:r>
      <w:r>
        <w:t xml:space="preserve"> Our framework recovers their trajectory awareness within an explicitly causal formalism.</w:t>
      </w:r>
    </w:p>
    <w:p>
      <w:pPr>
        <w:spacing w:after="200"/>
      </w:pPr>
      <w:r>
        <w:t xml:space="preserve"> </w:t>
      </w:r>
    </w:p>
    <w:p>
      <w:pPr>
        <w:pStyle w:val="Heading4"/>
        <w:spacing w:after="200"/>
        <w:jc w:val="left"/>
      </w:pPr>
      <w:r>
        <w:t xml:space="preserve">§2.2 Memory Poisoning Attacks and Certified Defenses</w:t>
      </w:r>
    </w:p>
    <w:p>
      <w:pPr>
        <w:spacing w:after="120"/>
        <w:jc w:val="left"/>
      </w:pPr>
      <w:r>
        <w:t xml:space="preserve">The attack literature has progressed from theoretical demonstrations to deployable adversarial pipelines. AgentPoison [Chen et al., 2024] established that retrieved memory items can be crafted to redirect agent behavior; MINJA [Dong et al., 2025] showed practical online injection; PoisonedRAG [Zou et al., 2025] systematized knowledge-corruption attacks on RAG systems. On the defense side, vanilla retrieval baselines degrade sharply under these attacks, and ShieldRAG [AAAI 2026] proposes a discriminative gatekeeping module — but neither provides certification across both error directions.</w:t>
      </w:r>
    </w:p>
    <w:p>
      <w:pPr>
        <w:spacing w:after="200"/>
      </w:pPr>
      <w:r>
        <w:t xml:space="preserve"> </w:t>
      </w:r>
    </w:p>
    <w:p>
      <w:pPr>
        <w:spacing w:after="120"/>
        <w:jc w:val="left"/>
      </w:pPr>
      <w:r>
        <w:t xml:space="preserve">The closest theoretically grounded prior work is </w:t>
      </w:r>
      <w:r>
        <w:rPr>
          <w:b/>
          <w:bCs/>
        </w:rPr>
        <w:t xml:space="preserve">SMSR</w:t>
      </w:r>
      <w:r>
        <w:t xml:space="preserve"> [2025], which gives a certified defense against runtime memory poisoning. SMSR is single-sided: it bounds false-negative rate under bounded poisoning but does not control over-blocking (FPR inflation). In safety-critical agent deployment — where signed benign-sensitive tasks must not be refused — single-sided certification is insufficient. Our Causal Influence Bound (Theorem 1) controls FNR and FPR simultaneously, and our Impossibility Theorem (Theorem 2) shows that the additional cryptographically-isolated trust anchor is not optional — it is the necessary condition for double-sided certification.</w:t>
      </w:r>
    </w:p>
    <w:p>
      <w:pPr>
        <w:spacing w:after="200"/>
      </w:pPr>
      <w:r>
        <w:t xml:space="preserve"> </w:t>
      </w:r>
    </w:p>
    <w:p>
      <w:pPr>
        <w:pStyle w:val="Heading4"/>
        <w:spacing w:after="200"/>
        <w:jc w:val="left"/>
      </w:pPr>
      <w:r>
        <w:t xml:space="preserve">§2.3 Decoding-Time Intervention</w:t>
      </w:r>
    </w:p>
    <w:p>
      <w:pPr>
        <w:spacing w:after="120"/>
        <w:jc w:val="left"/>
      </w:pPr>
      <w:r>
        <w:t xml:space="preserve">A separate tradition modifies decoding-time logits to elicit safer outputs: DeAL [Huang et al., 2024] frames alignment as decoding-time search, CARE [Hu et al., 2025] performs rollback-and-introspection, Proxy Tuning [Liu et al., 2024] uses a small proxy to shift large-model logits, and ARGS [Khanov et al., 2024] performs reward-guided sampling. </w:t>
      </w:r>
      <w:r>
        <w:rPr>
          <w:b/>
          <w:bCs/>
        </w:rPr>
        <w:t xml:space="preserve">These interventions modify output probabilities without modeling the causal pathway from upstream trajectory components to the decision</w:t>
      </w:r>
      <w:r>
        <w:t xml:space="preserve"> — and consequently provide no account of how a poisoned memory item, an injected observation, or a corrupted retrieval transition shifts the final logit. We treat decoding-time intervention as a do-operation on the </w:t>
      </w:r>
      <w:r>
        <w:rPr>
          <w:i/>
          <w:iCs/>
        </w:rPr>
        <w:t xml:space="preserve">Decision</w:t>
      </w:r>
      <w:r>
        <w:t xml:space="preserve"> node and bound its magnitude with explicit reference to the causal parent set.</w:t>
      </w:r>
    </w:p>
    <w:p>
      <w:pPr>
        <w:spacing w:after="200"/>
      </w:pPr>
      <w:r>
        <w:t xml:space="preserve"> </w:t>
      </w:r>
    </w:p>
    <w:p>
      <w:pPr>
        <w:pStyle w:val="Heading4"/>
        <w:spacing w:after="200"/>
        <w:jc w:val="left"/>
      </w:pPr>
      <w:r>
        <w:t xml:space="preserve">§2.4 Causal Reasoning for Agent and LLM Safety</w:t>
      </w:r>
    </w:p>
    <w:p>
      <w:pPr>
        <w:spacing w:after="120"/>
        <w:jc w:val="left"/>
      </w:pPr>
      <w:r>
        <w:t xml:space="preserve">The use of Causal Influence Diagrams (CIDs) to analyze AI agents was formalized by Everitt et al. [2021] and extended by Richens &amp; Everitt [2024], who showed that </w:t>
      </w:r>
      <w:r>
        <w:rPr>
          <w:i/>
          <w:iCs/>
        </w:rPr>
        <w:t xml:space="preserve">learning a causal world model is necessary for a robustly safe policy</w:t>
      </w:r>
      <w:r>
        <w:t xml:space="preserve">. Our work inherits this lineage and operationalizes it for LLM agent runtime safety.</w:t>
      </w:r>
    </w:p>
    <w:p>
      <w:pPr>
        <w:spacing w:after="200"/>
      </w:pPr>
      <w:r>
        <w:t xml:space="preserve"> </w:t>
      </w:r>
    </w:p>
    <w:p>
      <w:pPr>
        <w:spacing w:after="120"/>
        <w:jc w:val="left"/>
      </w:pPr>
      <w:r>
        <w:t xml:space="preserve">The most directly related concurrent work is </w:t>
      </w:r>
      <w:r>
        <w:rPr>
          <w:b/>
          <w:bCs/>
        </w:rPr>
        <w:t xml:space="preserve">Causal Influence Prompting (CIP)</w:t>
      </w:r>
      <w:r>
        <w:t xml:space="preserve"> [2025], which introduces CIDs into LLM agent safety. </w:t>
      </w:r>
      <w:r>
        <w:rPr>
          <w:b/>
          <w:bCs/>
        </w:rPr>
        <w:t xml:space="preserve">CIP uses the CID structure as a prompt-engineering aid: the CID is serialized and fed to the LLM as additional context to elicit safer responses.</w:t>
      </w:r>
      <w:r>
        <w:t xml:space="preserve"> This is a fundamentally different operational paradigm from ours: CIP modifies inputs to a black-box LLM agent and provides no decoding-time intervention, no cryptographically-isolated trust anchor, and no formal bound on adversarial influence. We extend the CID framing of CIP into a certified runtime defense layer, with double-sided guarantees and an accompanying impossibility result that grounds the necessity of trust isolation.</w:t>
      </w:r>
    </w:p>
    <w:p>
      <w:pPr>
        <w:spacing w:after="200"/>
      </w:pPr>
      <w:r>
        <w:t xml:space="preserve"> </w:t>
      </w:r>
    </w:p>
    <w:p>
      <w:pPr>
        <w:pStyle w:val="Heading4"/>
        <w:spacing w:after="200"/>
        <w:jc w:val="left"/>
      </w:pPr>
      <w:r>
        <w:t xml:space="preserve">§2.5 Position of This Work</w:t>
      </w:r>
    </w:p>
    <w:p>
      <w:pPr>
        <w:spacing w:after="120"/>
        <w:jc w:val="left"/>
      </w:pPr>
      <w:r>
        <w:t xml:space="preserve">Our work uniquely occupies the intersection of three traditions — trajectory-aware guarding, certified defense, and causal influence reasoning — and is the first to formalize this intersection with </w:t>
      </w:r>
      <w:r>
        <w:rPr>
          <w:b/>
          <w:bCs/>
        </w:rPr>
        <w:t xml:space="preserve">double-sided guarantees under adversarial do-intervention</w:t>
      </w:r>
      <w:r>
        <w:t xml:space="preserve"> (Section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Per-Paper Citation Matrix (26 Anchors)</w:t>
      </w:r>
    </w:p>
    <w:p>
      <w:pPr>
        <w:pStyle w:val="Heading3"/>
        <w:spacing w:after="200"/>
        <w:jc w:val="left"/>
      </w:pPr>
      <w:r>
        <w:t xml:space="preserve">L1 — Static Guard Backbones (5 papers, background mention only)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59"/>
        <w:gridCol w:w="3289"/>
        <w:gridCol w:w="1897"/>
        <w:gridCol w:w="3415"/>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c>
          <w:p>
            <w:pPr>
              <w:jc w:val="left"/>
            </w:pPr>
            <w:r>
              <w:rPr>
                <w:b/>
                <w:bCs/>
              </w:rPr>
              <w:t xml:space="preserve">Differentiation Note</w:t>
            </w:r>
          </w:p>
        </w:tc>
      </w:tr>
      <w:tr>
        <w:tc>
          <w:p>
            <w:pPr>
              <w:jc w:val="left"/>
            </w:pPr>
            <w:r>
              <w:t xml:space="preserve">1</w:t>
            </w:r>
          </w:p>
        </w:tc>
        <w:tc>
          <w:p>
            <w:pPr>
              <w:jc w:val="left"/>
            </w:pPr>
            <w:r>
              <w:t xml:space="preserve">LLaMA-Guard 3/4 (Inan et al., 2024)</w:t>
            </w:r>
          </w:p>
        </w:tc>
        <w:tc>
          <w:p>
            <w:pPr>
              <w:jc w:val="left"/>
            </w:pPr>
            <w:r>
              <w:t xml:space="preserve">§2.1</w:t>
            </w:r>
          </w:p>
        </w:tc>
        <w:tc>
          <w:p>
            <w:pPr>
              <w:jc w:val="left"/>
            </w:pPr>
            <w:r>
              <w:t xml:space="preserve">pointwise classifier, no trajectory awareness</w:t>
            </w:r>
          </w:p>
        </w:tc>
      </w:tr>
      <w:tr>
        <w:tc>
          <w:p>
            <w:pPr>
              <w:jc w:val="left"/>
            </w:pPr>
            <w:r>
              <w:t xml:space="preserve">2</w:t>
            </w:r>
          </w:p>
        </w:tc>
        <w:tc>
          <w:p>
            <w:pPr>
              <w:jc w:val="left"/>
            </w:pPr>
            <w:r>
              <w:t xml:space="preserve">ShieldGemma 2 (Zeng et al., 2024)</w:t>
            </w:r>
          </w:p>
        </w:tc>
        <w:tc>
          <w:p>
            <w:pPr>
              <w:jc w:val="left"/>
            </w:pPr>
            <w:r>
              <w:t xml:space="preserve">§2.1</w:t>
            </w:r>
          </w:p>
        </w:tc>
        <w:tc>
          <w:p>
            <w:pPr>
              <w:jc w:val="left"/>
            </w:pPr>
            <w:r>
              <w:t xml:space="preserve">single-step classification</w:t>
            </w:r>
          </w:p>
        </w:tc>
      </w:tr>
      <w:tr>
        <w:tc>
          <w:p>
            <w:pPr>
              <w:jc w:val="left"/>
            </w:pPr>
            <w:r>
              <w:t xml:space="preserve">3</w:t>
            </w:r>
          </w:p>
        </w:tc>
        <w:tc>
          <w:p>
            <w:pPr>
              <w:jc w:val="left"/>
            </w:pPr>
            <w:r>
              <w:t xml:space="preserve">Granite Guardian 3.3 (Padhi et al., 2024)</w:t>
            </w:r>
          </w:p>
        </w:tc>
        <w:tc>
          <w:p>
            <w:pPr>
              <w:jc w:val="left"/>
            </w:pPr>
            <w:r>
              <w:t xml:space="preserve">§2.1</w:t>
            </w:r>
          </w:p>
        </w:tc>
        <w:tc>
          <w:p>
            <w:pPr>
              <w:jc w:val="left"/>
            </w:pPr>
            <w:r>
              <w:t xml:space="preserve">model-level guardrail, no causal structure</w:t>
            </w:r>
          </w:p>
        </w:tc>
      </w:tr>
      <w:tr>
        <w:tc>
          <w:p>
            <w:pPr>
              <w:jc w:val="left"/>
            </w:pPr>
            <w:r>
              <w:t xml:space="preserve">4</w:t>
            </w:r>
          </w:p>
        </w:tc>
        <w:tc>
          <w:p>
            <w:pPr>
              <w:jc w:val="left"/>
            </w:pPr>
            <w:r>
              <w:t xml:space="preserve">WildGuard (Han et al., 2024)</w:t>
            </w:r>
          </w:p>
        </w:tc>
        <w:tc>
          <w:p>
            <w:pPr>
              <w:jc w:val="left"/>
            </w:pPr>
            <w:r>
              <w:t xml:space="preserve">§2.1</w:t>
            </w:r>
          </w:p>
        </w:tc>
        <w:tc>
          <w:p>
            <w:pPr>
              <w:jc w:val="left"/>
            </w:pPr>
            <w:r>
              <w:t xml:space="preserve">moderation tool, non-trajectory</w:t>
            </w:r>
          </w:p>
        </w:tc>
      </w:tr>
      <w:tr>
        <w:tc>
          <w:p>
            <w:pPr>
              <w:jc w:val="left"/>
            </w:pPr>
            <w:r>
              <w:t xml:space="preserve">5</w:t>
            </w:r>
          </w:p>
        </w:tc>
        <w:tc>
          <w:p>
            <w:pPr>
              <w:jc w:val="left"/>
            </w:pPr>
            <w:r>
              <w:t xml:space="preserve">DataSentinel (Liu et al., 2025)</w:t>
            </w:r>
          </w:p>
        </w:tc>
        <w:tc>
          <w:p>
            <w:pPr>
              <w:jc w:val="left"/>
            </w:pPr>
            <w:r>
              <w:t xml:space="preserve">§2.1</w:t>
            </w:r>
          </w:p>
        </w:tc>
        <w:tc>
          <w:p>
            <w:pPr>
              <w:jc w:val="left"/>
            </w:pPr>
            <w:r>
              <w:t xml:space="preserve">prompt-injection detection, single-step</w:t>
            </w:r>
          </w:p>
        </w:tc>
      </w:tr>
    </w:tbl>
    <w:p>
      <w:pPr>
        <w:spacing w:before="240"/>
      </w:pPr>
      <w:r>
        <w:t xml:space="preserve"> </w:t>
      </w:r>
    </w:p>
    <w:p>
      <w:pPr>
        <w:pStyle w:val="Heading3"/>
        <w:spacing w:after="200"/>
        <w:jc w:val="left"/>
      </w:pPr>
      <w:r>
        <w:t xml:space="preserve">L2 — Trajectory-Aware Guards (7 papers, primary competitors)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69"/>
        <w:gridCol w:w="2949"/>
        <w:gridCol w:w="1923"/>
        <w:gridCol w:w="3719"/>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c>
          <w:p>
            <w:pPr>
              <w:jc w:val="left"/>
            </w:pPr>
            <w:r>
              <w:rPr>
                <w:b/>
                <w:bCs/>
              </w:rPr>
              <w:t xml:space="preserve">Differentiation Note</w:t>
            </w:r>
          </w:p>
        </w:tc>
      </w:tr>
      <w:tr>
        <w:tc>
          <w:p>
            <w:pPr>
              <w:jc w:val="left"/>
            </w:pPr>
            <w:r>
              <w:t xml:space="preserve">6</w:t>
            </w:r>
          </w:p>
        </w:tc>
        <w:tc>
          <w:p>
            <w:pPr>
              <w:jc w:val="left"/>
            </w:pPr>
            <w:r>
              <w:t xml:space="preserve">TRACES (2026)</w:t>
            </w:r>
          </w:p>
        </w:tc>
        <w:tc>
          <w:p>
            <w:pPr>
              <w:jc w:val="left"/>
            </w:pPr>
            <w:r>
              <w:t xml:space="preserve">§2.1</w:t>
            </w:r>
          </w:p>
        </w:tc>
        <w:tc>
          <w:p>
            <w:pPr>
              <w:jc w:val="left"/>
            </w:pPr>
            <w:r>
              <w:t xml:space="preserve">trajectory-state modeling, no do-calculus bound</w:t>
            </w:r>
          </w:p>
        </w:tc>
      </w:tr>
      <w:tr>
        <w:tc>
          <w:p>
            <w:pPr>
              <w:jc w:val="left"/>
            </w:pPr>
            <w:r>
              <w:t xml:space="preserve">7</w:t>
            </w:r>
          </w:p>
        </w:tc>
        <w:tc>
          <w:p>
            <w:pPr>
              <w:jc w:val="left"/>
            </w:pPr>
            <w:r>
              <w:t xml:space="preserve">Trajectory Guard (Advani, 2026)</w:t>
            </w:r>
          </w:p>
        </w:tc>
        <w:tc>
          <w:p>
            <w:pPr>
              <w:jc w:val="left"/>
            </w:pPr>
            <w:r>
              <w:t xml:space="preserve">§2.1</w:t>
            </w:r>
          </w:p>
        </w:tc>
        <w:tc>
          <w:p>
            <w:pPr>
              <w:jc w:val="left"/>
            </w:pPr>
            <w:r>
              <w:t xml:space="preserve">sequence-aware reactive, not certified</w:t>
            </w:r>
          </w:p>
        </w:tc>
      </w:tr>
      <w:tr>
        <w:tc>
          <w:p>
            <w:pPr>
              <w:jc w:val="left"/>
            </w:pPr>
            <w:r>
              <w:t xml:space="preserve">8</w:t>
            </w:r>
          </w:p>
        </w:tc>
        <w:tc>
          <w:p>
            <w:pPr>
              <w:jc w:val="left"/>
            </w:pPr>
            <w:r>
              <w:t xml:space="preserve">GuardAgent (Xiang et al., 2025)</w:t>
            </w:r>
          </w:p>
        </w:tc>
        <w:tc>
          <w:p>
            <w:pPr>
              <w:jc w:val="left"/>
            </w:pPr>
            <w:r>
              <w:t xml:space="preserve">§2.1</w:t>
            </w:r>
          </w:p>
        </w:tc>
        <w:tc>
          <w:p>
            <w:pPr>
              <w:jc w:val="left"/>
            </w:pPr>
            <w:r>
              <w:t xml:space="preserve">reasoning chain, no causal influence quantification</w:t>
            </w:r>
          </w:p>
        </w:tc>
      </w:tr>
      <w:tr>
        <w:tc>
          <w:p>
            <w:pPr>
              <w:jc w:val="left"/>
            </w:pPr>
            <w:r>
              <w:t xml:space="preserve">9</w:t>
            </w:r>
          </w:p>
        </w:tc>
        <w:tc>
          <w:p>
            <w:pPr>
              <w:jc w:val="left"/>
            </w:pPr>
            <w:r>
              <w:t xml:space="preserve">AGrail (ACL 2025)</w:t>
            </w:r>
          </w:p>
        </w:tc>
        <w:tc>
          <w:p>
            <w:pPr>
              <w:jc w:val="left"/>
            </w:pPr>
            <w:r>
              <w:t xml:space="preserve">§2.1</w:t>
            </w:r>
          </w:p>
        </w:tc>
        <w:tc>
          <w:p>
            <w:pPr>
              <w:jc w:val="left"/>
            </w:pPr>
            <w:r>
              <w:t xml:space="preserve">lifelong-learning, lacks structural causal account</w:t>
            </w:r>
          </w:p>
        </w:tc>
      </w:tr>
      <w:tr>
        <w:tc>
          <w:p>
            <w:pPr>
              <w:jc w:val="left"/>
            </w:pPr>
            <w:r>
              <w:t xml:space="preserve">10</w:t>
            </w:r>
          </w:p>
        </w:tc>
        <w:tc>
          <w:p>
            <w:pPr>
              <w:jc w:val="left"/>
            </w:pPr>
            <w:r>
              <w:t xml:space="preserve">Spider-Sense (2026)</w:t>
            </w:r>
          </w:p>
        </w:tc>
        <w:tc>
          <w:p>
            <w:pPr>
              <w:jc w:val="left"/>
            </w:pPr>
            <w:r>
              <w:t xml:space="preserve">§2.1</w:t>
            </w:r>
          </w:p>
        </w:tc>
        <w:tc>
          <w:p>
            <w:pPr>
              <w:jc w:val="left"/>
            </w:pPr>
            <w:r>
              <w:t xml:space="preserve">intrinsic risk signal, no intervention bound</w:t>
            </w:r>
          </w:p>
        </w:tc>
      </w:tr>
      <w:tr>
        <w:tc>
          <w:p>
            <w:pPr>
              <w:jc w:val="left"/>
            </w:pPr>
            <w:r>
              <w:t xml:space="preserve">11</w:t>
            </w:r>
          </w:p>
        </w:tc>
        <w:tc>
          <w:p>
            <w:pPr>
              <w:jc w:val="left"/>
            </w:pPr>
            <w:r>
              <w:t xml:space="preserve">AgentDoG (2026)</w:t>
            </w:r>
          </w:p>
        </w:tc>
        <w:tc>
          <w:p>
            <w:pPr>
              <w:jc w:val="left"/>
            </w:pPr>
            <w:r>
              <w:t xml:space="preserve">§2.1</w:t>
            </w:r>
          </w:p>
        </w:tc>
        <w:tc>
          <w:p>
            <w:pPr>
              <w:jc w:val="left"/>
            </w:pPr>
            <w:r>
              <w:t xml:space="preserve">risk taxonomy, no certification</w:t>
            </w:r>
          </w:p>
        </w:tc>
      </w:tr>
      <w:tr>
        <w:tc>
          <w:p>
            <w:pPr>
              <w:jc w:val="left"/>
            </w:pPr>
            <w:r>
              <w:t xml:space="preserve">12</w:t>
            </w:r>
          </w:p>
        </w:tc>
        <w:tc>
          <w:p>
            <w:pPr>
              <w:jc w:val="left"/>
            </w:pPr>
            <w:r>
              <w:t xml:space="preserve">SafeHarbor (2026)</w:t>
            </w:r>
          </w:p>
        </w:tc>
        <w:tc>
          <w:p>
            <w:pPr>
              <w:jc w:val="left"/>
            </w:pPr>
            <w:r>
              <w:t xml:space="preserve">§2.1</w:t>
            </w:r>
          </w:p>
        </w:tc>
        <w:tc>
          <w:p>
            <w:pPr>
              <w:jc w:val="left"/>
            </w:pPr>
            <w:r>
              <w:t xml:space="preserve">hierarchical memory, no do-intervention bound</w:t>
            </w:r>
          </w:p>
        </w:tc>
      </w:tr>
    </w:tbl>
    <w:p>
      <w:pPr>
        <w:spacing w:before="240"/>
      </w:pPr>
      <w:r>
        <w:t xml:space="preserve"> </w:t>
      </w:r>
    </w:p>
    <w:p>
      <w:pPr>
        <w:pStyle w:val="Heading3"/>
        <w:spacing w:after="200"/>
        <w:jc w:val="left"/>
      </w:pPr>
      <w:r>
        <w:t xml:space="preserve">L3 — Memory Poisoning Attacks and Defenses (7 papers, incl. SMSR head-on)</w:t>
      </w:r>
    </w:p>
    <w:p>
      <w:pPr>
        <w:spacing w:after="120"/>
        <w:jc w:val="left"/>
      </w:pPr>
      <w:r>
        <w:t xml:space="preserve">Attacks (3):</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76"/>
        <w:gridCol w:w="4893"/>
        <w:gridCol w:w="3191"/>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r>
      <w:tr>
        <w:tc>
          <w:p>
            <w:pPr>
              <w:jc w:val="left"/>
            </w:pPr>
            <w:r>
              <w:t xml:space="preserve">13</w:t>
            </w:r>
          </w:p>
        </w:tc>
        <w:tc>
          <w:p>
            <w:pPr>
              <w:jc w:val="left"/>
            </w:pPr>
            <w:r>
              <w:t xml:space="preserve">AgentPoison (Chen et al., 2024)</w:t>
            </w:r>
          </w:p>
        </w:tc>
        <w:tc>
          <w:p>
            <w:pPr>
              <w:jc w:val="left"/>
            </w:pPr>
            <w:r>
              <w:t xml:space="preserve">§2.2</w:t>
            </w:r>
          </w:p>
        </w:tc>
      </w:tr>
      <w:tr>
        <w:tc>
          <w:p>
            <w:pPr>
              <w:jc w:val="left"/>
            </w:pPr>
            <w:r>
              <w:t xml:space="preserve">14</w:t>
            </w:r>
          </w:p>
        </w:tc>
        <w:tc>
          <w:p>
            <w:pPr>
              <w:jc w:val="left"/>
            </w:pPr>
            <w:r>
              <w:t xml:space="preserve">MINJA (Dong et al., 2025)</w:t>
            </w:r>
          </w:p>
        </w:tc>
        <w:tc>
          <w:p>
            <w:pPr>
              <w:jc w:val="left"/>
            </w:pPr>
            <w:r>
              <w:t xml:space="preserve">§2.2</w:t>
            </w:r>
          </w:p>
        </w:tc>
      </w:tr>
      <w:tr>
        <w:tc>
          <w:p>
            <w:pPr>
              <w:jc w:val="left"/>
            </w:pPr>
            <w:r>
              <w:t xml:space="preserve">15</w:t>
            </w:r>
          </w:p>
        </w:tc>
        <w:tc>
          <w:p>
            <w:pPr>
              <w:jc w:val="left"/>
            </w:pPr>
            <w:r>
              <w:t xml:space="preserve">PoisonedRAG (Zou et al., 2025)</w:t>
            </w:r>
          </w:p>
        </w:tc>
        <w:tc>
          <w:p>
            <w:pPr>
              <w:jc w:val="left"/>
            </w:pPr>
            <w:r>
              <w:t xml:space="preserve">§2.2</w:t>
            </w:r>
          </w:p>
        </w:tc>
      </w:tr>
    </w:tbl>
    <w:p>
      <w:pPr>
        <w:spacing w:before="240"/>
      </w:pPr>
      <w:r>
        <w:t xml:space="preserve"> </w:t>
      </w:r>
    </w:p>
    <w:p>
      <w:pPr>
        <w:spacing w:after="120"/>
        <w:jc w:val="left"/>
      </w:pPr>
      <w:r>
        <w:t xml:space="preserve">Defenses (3):</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7"/>
        <w:gridCol w:w="4680"/>
        <w:gridCol w:w="3343"/>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r>
      <w:tr>
        <w:tc>
          <w:p>
            <w:pPr>
              <w:jc w:val="left"/>
            </w:pPr>
            <w:r>
              <w:t xml:space="preserve">16</w:t>
            </w:r>
          </w:p>
        </w:tc>
        <w:tc>
          <w:p>
            <w:pPr>
              <w:jc w:val="left"/>
            </w:pPr>
            <w:r>
              <w:t xml:space="preserve">Vanilla RAG (baseline)</w:t>
            </w:r>
          </w:p>
        </w:tc>
        <w:tc>
          <w:p>
            <w:pPr>
              <w:jc w:val="left"/>
            </w:pPr>
            <w:r>
              <w:t xml:space="preserve">§2.2</w:t>
            </w:r>
          </w:p>
        </w:tc>
      </w:tr>
      <w:tr>
        <w:tc>
          <w:p>
            <w:pPr>
              <w:jc w:val="left"/>
            </w:pPr>
            <w:r>
              <w:t xml:space="preserve">17</w:t>
            </w:r>
          </w:p>
        </w:tc>
        <w:tc>
          <w:p>
            <w:pPr>
              <w:jc w:val="left"/>
            </w:pPr>
            <w:r>
              <w:t xml:space="preserve">ShieldRAG (AAAI 2026)</w:t>
            </w:r>
          </w:p>
        </w:tc>
        <w:tc>
          <w:p>
            <w:pPr>
              <w:jc w:val="left"/>
            </w:pPr>
            <w:r>
              <w:t xml:space="preserve">§2.2</w:t>
            </w:r>
          </w:p>
        </w:tc>
      </w:tr>
      <w:tr>
        <w:tc>
          <w:p>
            <w:pPr>
              <w:jc w:val="left"/>
            </w:pPr>
            <w:r>
              <w:t xml:space="preserve">18</w:t>
            </w:r>
          </w:p>
        </w:tc>
        <w:tc>
          <w:p>
            <w:pPr>
              <w:jc w:val="left"/>
            </w:pPr>
            <w:r>
              <w:rPr>
                <w:b/>
                <w:bCs/>
              </w:rPr>
              <w:t xml:space="preserve">SMSR</w:t>
            </w:r>
            <w:r>
              <w:t xml:space="preserve"> (head-on critique)</w:t>
            </w:r>
          </w:p>
        </w:tc>
        <w:tc>
          <w:p>
            <w:pPr>
              <w:jc w:val="left"/>
            </w:pPr>
            <w:r>
              <w:t xml:space="preserve">§2.2</w:t>
            </w:r>
          </w:p>
        </w:tc>
      </w:tr>
    </w:tbl>
    <w:p>
      <w:pPr>
        <w:spacing w:before="240"/>
      </w:pPr>
      <w:r>
        <w:t xml:space="preserve"> </w:t>
      </w:r>
    </w:p>
    <w:p>
      <w:pPr>
        <w:pStyle w:val="Heading3"/>
        <w:spacing w:after="200"/>
        <w:jc w:val="left"/>
      </w:pPr>
      <w:r>
        <w:t xml:space="preserve">L4 — Decoding-Time Intervention (4 papers)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76"/>
        <w:gridCol w:w="4893"/>
        <w:gridCol w:w="3191"/>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r>
      <w:tr>
        <w:tc>
          <w:p>
            <w:pPr>
              <w:jc w:val="left"/>
            </w:pPr>
            <w:r>
              <w:t xml:space="preserve">19</w:t>
            </w:r>
          </w:p>
        </w:tc>
        <w:tc>
          <w:p>
            <w:pPr>
              <w:jc w:val="left"/>
            </w:pPr>
            <w:r>
              <w:t xml:space="preserve">DeAL (Huang et al., 2024)</w:t>
            </w:r>
          </w:p>
        </w:tc>
        <w:tc>
          <w:p>
            <w:pPr>
              <w:jc w:val="left"/>
            </w:pPr>
            <w:r>
              <w:t xml:space="preserve">§2.3</w:t>
            </w:r>
          </w:p>
        </w:tc>
      </w:tr>
      <w:tr>
        <w:tc>
          <w:p>
            <w:pPr>
              <w:jc w:val="left"/>
            </w:pPr>
            <w:r>
              <w:t xml:space="preserve">20</w:t>
            </w:r>
          </w:p>
        </w:tc>
        <w:tc>
          <w:p>
            <w:pPr>
              <w:jc w:val="left"/>
            </w:pPr>
            <w:r>
              <w:t xml:space="preserve">CARE (Hu et al., 2025)</w:t>
            </w:r>
          </w:p>
        </w:tc>
        <w:tc>
          <w:p>
            <w:pPr>
              <w:jc w:val="left"/>
            </w:pPr>
            <w:r>
              <w:t xml:space="preserve">§2.3</w:t>
            </w:r>
          </w:p>
        </w:tc>
      </w:tr>
      <w:tr>
        <w:tc>
          <w:p>
            <w:pPr>
              <w:jc w:val="left"/>
            </w:pPr>
            <w:r>
              <w:t xml:space="preserve">21</w:t>
            </w:r>
          </w:p>
        </w:tc>
        <w:tc>
          <w:p>
            <w:pPr>
              <w:jc w:val="left"/>
            </w:pPr>
            <w:r>
              <w:t xml:space="preserve">Proxy Tuning (Liu et al., 2024)</w:t>
            </w:r>
          </w:p>
        </w:tc>
        <w:tc>
          <w:p>
            <w:pPr>
              <w:jc w:val="left"/>
            </w:pPr>
            <w:r>
              <w:t xml:space="preserve">§2.3</w:t>
            </w:r>
          </w:p>
        </w:tc>
      </w:tr>
      <w:tr>
        <w:tc>
          <w:p>
            <w:pPr>
              <w:jc w:val="left"/>
            </w:pPr>
            <w:r>
              <w:t xml:space="preserve">22</w:t>
            </w:r>
          </w:p>
        </w:tc>
        <w:tc>
          <w:p>
            <w:pPr>
              <w:jc w:val="left"/>
            </w:pPr>
            <w:r>
              <w:t xml:space="preserve">ARGS (Khanov et al., 2024)</w:t>
            </w:r>
          </w:p>
        </w:tc>
        <w:tc>
          <w:p>
            <w:pPr>
              <w:jc w:val="left"/>
            </w:pPr>
            <w:r>
              <w:t xml:space="preserve">§2.3</w:t>
            </w:r>
          </w:p>
        </w:tc>
      </w:tr>
    </w:tbl>
    <w:p>
      <w:pPr>
        <w:spacing w:before="240"/>
      </w:pPr>
      <w:r>
        <w:t xml:space="preserve"> </w:t>
      </w:r>
    </w:p>
    <w:p>
      <w:pPr>
        <w:pStyle w:val="Heading3"/>
        <w:spacing w:after="200"/>
        <w:jc w:val="left"/>
      </w:pPr>
      <w:r>
        <w:t xml:space="preserve">L5 — Causal Reasoning in Agent/LLM Safety (4 papers, incl. CIP head-on)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60"/>
        <w:gridCol w:w="5651"/>
        <w:gridCol w:w="2649"/>
      </w:tblGrid>
      <w:tr>
        <w:trPr>
          <w:tblHeader/>
        </w:trPr>
        <w:tc>
          <w:p>
            <w:pPr>
              <w:jc w:val="left"/>
            </w:pPr>
            <w:r>
              <w:rPr>
                <w:b/>
                <w:bCs/>
              </w:rPr>
              <w:t xml:space="preserve">#</w:t>
            </w:r>
          </w:p>
        </w:tc>
        <w:tc>
          <w:p>
            <w:pPr>
              <w:jc w:val="left"/>
            </w:pPr>
            <w:r>
              <w:rPr>
                <w:b/>
                <w:bCs/>
              </w:rPr>
              <w:t xml:space="preserve">Paper</w:t>
            </w:r>
          </w:p>
        </w:tc>
        <w:tc>
          <w:p>
            <w:pPr>
              <w:jc w:val="left"/>
            </w:pPr>
            <w:r>
              <w:rPr>
                <w:b/>
                <w:bCs/>
              </w:rPr>
              <w:t xml:space="preserve">Citation Slot</w:t>
            </w:r>
          </w:p>
        </w:tc>
      </w:tr>
      <w:tr>
        <w:tc>
          <w:p>
            <w:pPr>
              <w:jc w:val="left"/>
            </w:pPr>
            <w:r>
              <w:t xml:space="preserve">23</w:t>
            </w:r>
          </w:p>
        </w:tc>
        <w:tc>
          <w:p>
            <w:pPr>
              <w:jc w:val="left"/>
            </w:pPr>
            <w:r>
              <w:t xml:space="preserve">Everitt et al. (2021)</w:t>
            </w:r>
          </w:p>
        </w:tc>
        <w:tc>
          <w:p>
            <w:pPr>
              <w:jc w:val="left"/>
            </w:pPr>
            <w:r>
              <w:t xml:space="preserve">§2.4</w:t>
            </w:r>
          </w:p>
        </w:tc>
      </w:tr>
      <w:tr>
        <w:tc>
          <w:p>
            <w:pPr>
              <w:jc w:val="left"/>
            </w:pPr>
            <w:r>
              <w:t xml:space="preserve">24</w:t>
            </w:r>
          </w:p>
        </w:tc>
        <w:tc>
          <w:p>
            <w:pPr>
              <w:jc w:val="left"/>
            </w:pPr>
            <w:r>
              <w:t xml:space="preserve">Richens &amp; Everitt (2024, ICLR)</w:t>
            </w:r>
          </w:p>
        </w:tc>
        <w:tc>
          <w:p>
            <w:pPr>
              <w:jc w:val="left"/>
            </w:pPr>
            <w:r>
              <w:t xml:space="preserve">§2.4</w:t>
            </w:r>
          </w:p>
        </w:tc>
      </w:tr>
      <w:tr>
        <w:tc>
          <w:p>
            <w:pPr>
              <w:jc w:val="left"/>
            </w:pPr>
            <w:r>
              <w:t xml:space="preserve">25</w:t>
            </w:r>
          </w:p>
        </w:tc>
        <w:tc>
          <w:p>
            <w:pPr>
              <w:jc w:val="left"/>
            </w:pPr>
            <w:r>
              <w:rPr>
                <w:b/>
                <w:bCs/>
              </w:rPr>
              <w:t xml:space="preserve">Causal Influence Prompting (CIP, 2025)</w:t>
            </w:r>
            <w:r>
              <w:t xml:space="preserve"> (head-on critique)</w:t>
            </w:r>
          </w:p>
        </w:tc>
        <w:tc>
          <w:p>
            <w:pPr>
              <w:jc w:val="left"/>
            </w:pPr>
            <w:r>
              <w:t xml:space="preserve">§2.4</w:t>
            </w:r>
          </w:p>
        </w:tc>
      </w:tr>
      <w:tr>
        <w:tc>
          <w:p>
            <w:pPr>
              <w:jc w:val="left"/>
            </w:pPr>
            <w:r>
              <w:t xml:space="preserve">26</w:t>
            </w:r>
          </w:p>
        </w:tc>
        <w:tc>
          <w:p>
            <w:pPr>
              <w:jc w:val="left"/>
            </w:pPr>
            <w:r>
              <w:t xml:space="preserve">Pearl (2009) / Pearl &amp; Mackenzie (2018)</w:t>
            </w:r>
          </w:p>
        </w:tc>
        <w:tc>
          <w:p>
            <w:pPr>
              <w:jc w:val="left"/>
            </w:pPr>
            <w:r>
              <w:t xml:space="preserve">§2.4</w:t>
            </w:r>
          </w:p>
        </w:tc>
      </w:tr>
    </w:tbl>
    <w:p>
      <w:pPr>
        <w:spacing w:before="240"/>
      </w:pPr>
      <w:r>
        <w:t xml:space="preserve"> </w:t>
      </w:r>
    </w:p>
    <w:p>
      <w:pPr>
        <w:spacing w:after="120"/>
        <w:jc w:val="left"/>
      </w:pPr>
      <w:r>
        <w:rPr>
          <w:b/>
          <w:bCs/>
        </w:rPr>
        <w:t xml:space="preserve">Total: 26 papers</w:t>
      </w:r>
      <w:r>
        <w:t xml:space="preserve"> (within the AAAI norm of 25-35 citations).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Theorem 2 Plan — Impossibility Result (2-Week Decisive Attempt)</w:t>
      </w:r>
    </w:p>
    <w:p>
      <w:pPr>
        <w:pStyle w:val="Heading3"/>
        <w:spacing w:after="200"/>
        <w:jc w:val="left"/>
      </w:pPr>
      <w:r>
        <w:t xml:space="preserve">7.1 Theorem 2 Statement (target)</w:t>
      </w:r>
    </w:p>
    <w:p>
      <w:pPr>
        <w:pBdr>
          <w:left w:val="single" w:color="BFBFBF" w:sz="12" w:space="200"/>
        </w:pBdr>
        <w:spacing w:after="120"/>
        <w:ind w:start="300"/>
        <w:jc w:val="left"/>
      </w:pPr>
      <w:r>
        <w:rPr>
          <w:b/>
          <w:bCs/>
        </w:rPr>
        <w:t xml:space="preserve">Theorem 2 (Impossibility).</w:t>
      </w:r>
      <w:r>
        <w:t xml:space="preserve"> Let </w:t>
      </w:r>
      <m:oMath>
        <m:r>
          <w:rPr/>
          <m:rPr>
            <m:nor/>
            <m:sty m:val="undefined"/>
          </m:rPr>
          <m:t xml:space="preserve">A</m:t>
        </m:r>
      </m:oMath>
      <w:r>
        <w:t xml:space="preserve"> be an adversary with intervention budget </w:t>
      </w:r>
      <m:oMath>
        <m:r>
          <m:t xml:space="preserve">p</m:t>
        </m:r>
      </m:oMath>
      <w:r>
        <w:t xml:space="preserve"> that may apply do-operations to any </w:t>
      </w:r>
      <m:oMath>
        <m:r>
          <m:t xml:space="preserve">K</m:t>
        </m:r>
      </m:oMath>
      <w:r>
        <w:t xml:space="preserve"> causal parents of the guard's decision. Without access to a cryptographically-isolated causal trust anchor </w:t>
      </w:r>
      <m:oMath>
        <m:sSub>
          <m:sSubPr>
            <m:ctrlPr/>
          </m:sSubPr>
          <m:e>
            <m:r>
              <m:t xml:space="preserve">L</m:t>
            </m:r>
          </m:e>
          <m:sub>
            <m:r>
              <m:t xml:space="preserve">i</m:t>
            </m:r>
          </m:sub>
        </m:sSub>
      </m:oMath>
      <w:r>
        <w:t xml:space="preserve">, no bounded do-intervention scheme </w:t>
      </w:r>
      <m:oMath>
        <m:r>
          <w:rPr/>
          <m:rPr>
            <m:nor/>
            <m:sty m:val="undefined"/>
          </m:rPr>
          <m:t xml:space="preserve">Π</m:t>
        </m:r>
      </m:oMath>
      <w:r>
        <w:t xml:space="preserve"> with $</w:t>
      </w:r>
      <w:r>
        <w:t xml:space="preserve">|</w:t>
      </w:r>
      <w:r>
        <w:t xml:space="preserve">\Delta z</w:t>
      </w:r>
      <w:r>
        <w:t xml:space="preserve">|</w:t>
      </w:r>
      <w:r>
        <w:t xml:space="preserve">_\infty \le \varepsilon</w:t>
      </w:r>
      <m:oMath>
        <m:r>
          <m:t xml:space="preserve">cansimultaneouslyachieve</m:t>
        </m:r>
      </m:oMath>
      <w:r>
        <w:t xml:space="preserve">\text{FNR} \le \delta</w:t>
      </w:r>
      <m:oMath>
        <m:r>
          <m:t xml:space="preserve">and</m:t>
        </m:r>
      </m:oMath>
      <w:r>
        <w:t xml:space="preserve">\text{FPR} \le \delta</w:t>
      </w:r>
      <m:oMath>
        <m:r>
          <m:t xml:space="preserve">forany</m:t>
        </m:r>
      </m:oMath>
      <w:r>
        <w:t xml:space="preserve">\delta &lt; 1/2$.</w:t>
      </w:r>
    </w:p>
    <w:p>
      <w:pPr>
        <w:spacing w:after="200"/>
      </w:pPr>
      <w:r>
        <w:t xml:space="preserve"> </w:t>
      </w:r>
    </w:p>
    <w:p>
      <w:pPr>
        <w:pStyle w:val="Heading3"/>
        <w:spacing w:after="200"/>
        <w:jc w:val="left"/>
      </w:pPr>
      <w:r>
        <w:t xml:space="preserve">7.2 Proof Strategy (4 steps)</w:t>
      </w:r>
    </w:p>
    <w:p>
      <w:pPr>
        <w:spacing w:after="120"/>
        <w:jc w:val="left"/>
      </w:pPr>
      <w:r>
        <w:rPr>
          <w:b/>
          <w:bCs/>
        </w:rPr>
        <w:t xml:space="preserve">Step 1 — Formalize threat model without trust anchor.</w:t>
      </w:r>
      <w:r>
        <w:br/>
      </w:r>
      <w:r>
        <w:t xml:space="preserve">Define adversary </w:t>
      </w:r>
      <m:oMath>
        <m:sSub>
          <m:sSubPr>
            <m:ctrlPr/>
          </m:sSubPr>
          <m:e>
            <m:r>
              <w:rPr/>
              <m:rPr>
                <m:nor/>
                <m:sty m:val="undefined"/>
              </m:rPr>
              <m:t xml:space="preserve">A</m:t>
            </m:r>
          </m:e>
          <m:sub>
            <m:r>
              <m:t xml:space="preserve">p</m:t>
            </m:r>
          </m:sub>
        </m:sSub>
      </m:oMath>
      <w:r>
        <w:t xml:space="preserve"> with </w:t>
      </w:r>
      <m:oMath>
        <m:r>
          <m:rPr>
            <m:nor/>
          </m:rPr>
          <m:t xml:space="preserve">do</m:t>
        </m:r>
      </m:oMath>
      <w:r>
        <w:t xml:space="preserve">-budget </w:t>
      </w:r>
      <m:oMath>
        <m:r>
          <m:t xml:space="preserve">p</m:t>
        </m:r>
      </m:oMath>
      <w:r>
        <w:t xml:space="preserve">; defender has access only to poisonable tier $</w:t>
      </w:r>
      <w:r>
        <w:t xml:space="preserve">{</w:t>
      </w:r>
      <w:r>
        <w:t xml:space="preserve">M, G, T, C</w:t>
      </w:r>
      <w:r>
        <w:t xml:space="preserve">}</w:t>
      </w:r>
      <m:oMath>
        <m:r>
          <w:rPr/>
          <m:rPr>
            <m:nor/>
            <m:sty m:val="undefined"/>
          </m:rPr>
          <m:t xml:space="preserve">.</m:t>
        </m:r>
        <m:r>
          <m:t xml:space="preserve">Nosigned</m:t>
        </m:r>
      </m:oMath>
      <w:r>
        <w:t xml:space="preserve">L_i$.</w:t>
      </w:r>
    </w:p>
    <w:p>
      <w:pPr>
        <w:spacing w:after="200"/>
      </w:pPr>
      <w:r>
        <w:t xml:space="preserve"> </w:t>
      </w:r>
    </w:p>
    <w:p>
      <w:pPr>
        <w:spacing w:after="120"/>
        <w:jc w:val="left"/>
      </w:pPr>
      <w:r>
        <w:rPr>
          <w:b/>
          <w:bCs/>
        </w:rPr>
        <w:t xml:space="preserve">Step 2 — Adversarial construction.</w:t>
      </w:r>
      <w:r>
        <w:br/>
      </w:r>
      <w:r>
        <w:t xml:space="preserve">Construct </w:t>
      </w:r>
      <m:oMath>
        <m:sSub>
          <m:sSubPr>
            <m:ctrlPr/>
          </m:sSubPr>
          <m:e>
            <m:r>
              <m:t xml:space="preserve">ν</m:t>
            </m:r>
          </m:e>
          <m:sub>
            <m:r>
              <m:t xml:space="preserve">1</m:t>
            </m:r>
          </m:sub>
        </m:sSub>
        <m:r>
          <m:t xml:space="preserve">,</m:t>
        </m:r>
        <m:sSub>
          <m:sSubPr>
            <m:ctrlPr/>
          </m:sSubPr>
          <m:e>
            <m:r>
              <m:t xml:space="preserve">ν</m:t>
            </m:r>
          </m:e>
          <m:sub>
            <m:r>
              <m:t xml:space="preserve">2</m:t>
            </m:r>
          </m:sub>
        </m:sSub>
      </m:oMath>
      <w:r>
        <w:t xml:space="preserve"> such that:</w:t>
      </w:r>
    </w:p>
    <w:p>
      <w:pPr>
        <w:pStyle w:val="ListParagraph"/>
        <w:numPr>
          <w:ilvl w:val="0"/>
          <w:numId w:val="2"/>
        </w:numPr>
        <w:spacing w:after="100"/>
        <w:ind w:start="240"/>
        <w:jc w:val="left"/>
      </w:pPr>
      <w:r>
        <w:t xml:space="preserve">(a) Observable retrieved-memory distributions under </w:t>
      </w:r>
      <m:oMath>
        <m:sSub>
          <m:sSubPr>
            <m:ctrlPr/>
          </m:sSubPr>
          <m:e>
            <m:r>
              <m:t xml:space="preserve">ν</m:t>
            </m:r>
          </m:e>
          <m:sub>
            <m:r>
              <m:t xml:space="preserve">1</m:t>
            </m:r>
          </m:sub>
        </m:sSub>
        <m:r>
          <m:t xml:space="preserve">,</m:t>
        </m:r>
        <m:sSub>
          <m:sSubPr>
            <m:ctrlPr/>
          </m:sSubPr>
          <m:e>
            <m:r>
              <m:t xml:space="preserve">ν</m:t>
            </m:r>
          </m:e>
          <m:sub>
            <m:r>
              <m:t xml:space="preserve">2</m:t>
            </m:r>
          </m:sub>
        </m:sSub>
      </m:oMath>
      <w:r>
        <w:t xml:space="preserve"> are statistically indistinguishable to the guard.</w:t>
      </w:r>
    </w:p>
    <w:p>
      <w:pPr>
        <w:pStyle w:val="ListParagraph"/>
        <w:numPr>
          <w:ilvl w:val="0"/>
          <w:numId w:val="2"/>
        </w:numPr>
        <w:spacing w:after="100"/>
        <w:ind w:start="240"/>
        <w:jc w:val="left"/>
      </w:pPr>
      <w:r>
        <w:t xml:space="preserve">(b) True labels: </w:t>
      </w:r>
      <m:oMath>
        <m:sSub>
          <m:sSubPr>
            <m:ctrlPr/>
          </m:sSubPr>
          <m:e>
            <m:r>
              <m:t xml:space="preserve">ν</m:t>
            </m:r>
          </m:e>
          <m:sub>
            <m:r>
              <m:t xml:space="preserve">1</m:t>
            </m:r>
          </m:sub>
        </m:sSub>
      </m:oMath>
      <w:r>
        <w:t xml:space="preserve"> produces safe trajectory; </w:t>
      </w:r>
      <m:oMath>
        <m:sSub>
          <m:sSubPr>
            <m:ctrlPr/>
          </m:sSubPr>
          <m:e>
            <m:r>
              <m:t xml:space="preserve">ν</m:t>
            </m:r>
          </m:e>
          <m:sub>
            <m:r>
              <m:t xml:space="preserve">2</m:t>
            </m:r>
          </m:sub>
        </m:sSub>
      </m:oMath>
      <w:r>
        <w:t xml:space="preserve"> produces unsafe trajectory.</w:t>
      </w:r>
    </w:p>
    <w:p>
      <w:pPr>
        <w:spacing w:after="200"/>
      </w:pPr>
      <w:r>
        <w:t xml:space="preserve"> </w:t>
      </w:r>
    </w:p>
    <w:p>
      <w:pPr>
        <w:spacing w:after="120"/>
        <w:jc w:val="left"/>
      </w:pPr>
      <w:r>
        <w:rPr>
          <w:b/>
          <w:bCs/>
        </w:rPr>
        <w:t xml:space="preserve">Step 3 — Information-theoretic indistinguishability lower bound.</w:t>
      </w:r>
      <w:r>
        <w:br/>
      </w:r>
      <w:r>
        <w:t xml:space="preserve">For any deterministic guard $\Pi: \text{observed memory} \to </w:t>
      </w:r>
      <w:r>
        <w:t xml:space="preserve">{</w:t>
      </w:r>
      <w:r>
        <w:t xml:space="preserve">\text{allow, block}</w:t>
      </w:r>
      <w:r>
        <w:t xml:space="preserve">}</w:t>
      </w:r>
      <w:r>
        <w:t xml:space="preserve">$:</w:t>
      </w:r>
    </w:p>
    <w:p>
      <w:pPr>
        <w:pStyle w:val="ListParagraph"/>
        <w:numPr>
          <w:ilvl w:val="0"/>
          <w:numId w:val="2"/>
        </w:numPr>
        <w:spacing w:after="100"/>
        <w:ind w:start="240"/>
        <w:jc w:val="left"/>
      </w:pPr>
      <m:oMath>
        <m:r>
          <w:rPr/>
          <m:rPr>
            <m:nor/>
            <m:sty m:val="undefined"/>
          </m:rPr>
          <m:t xml:space="preserve">Π</m:t>
        </m:r>
      </m:oMath>
      <w:r>
        <w:t xml:space="preserve">'s decisions under </w:t>
      </w:r>
      <m:oMath>
        <m:sSub>
          <m:sSubPr>
            <m:ctrlPr/>
          </m:sSubPr>
          <m:e>
            <m:r>
              <m:t xml:space="preserve">ν</m:t>
            </m:r>
          </m:e>
          <m:sub>
            <m:r>
              <m:t xml:space="preserve">1</m:t>
            </m:r>
          </m:sub>
        </m:sSub>
      </m:oMath>
      <w:r>
        <w:t xml:space="preserve"> and </w:t>
      </w:r>
      <m:oMath>
        <m:sSub>
          <m:sSubPr>
            <m:ctrlPr/>
          </m:sSubPr>
          <m:e>
            <m:r>
              <m:t xml:space="preserve">ν</m:t>
            </m:r>
          </m:e>
          <m:sub>
            <m:r>
              <m:t xml:space="preserve">2</m:t>
            </m:r>
          </m:sub>
        </m:sSub>
      </m:oMath>
      <w:r>
        <w:t xml:space="preserve"> must coincide.</w:t>
      </w:r>
    </w:p>
    <w:p>
      <w:pPr>
        <w:pStyle w:val="ListParagraph"/>
        <w:numPr>
          <w:ilvl w:val="0"/>
          <w:numId w:val="2"/>
        </w:numPr>
        <w:spacing w:after="100"/>
        <w:ind w:start="240"/>
        <w:jc w:val="left"/>
      </w:pPr>
      <w:r>
        <w:t xml:space="preserve">Yet ground-truth labels differ.</w:t>
      </w:r>
    </w:p>
    <w:p>
      <w:pPr>
        <w:pStyle w:val="ListParagraph"/>
        <w:numPr>
          <w:ilvl w:val="0"/>
          <w:numId w:val="2"/>
        </w:numPr>
        <w:spacing w:after="100"/>
        <w:ind w:start="240"/>
        <w:jc w:val="left"/>
      </w:pPr>
      <m:oMath>
        <m:r>
          <m:t xml:space="preserve">⇒</m:t>
        </m:r>
      </m:oMath>
      <w:r>
        <w:t xml:space="preserve"> At least one of FNR/FPR </w:t>
      </w:r>
      <m:oMath>
        <m:r>
          <m:t xml:space="preserve">≥1</m:t>
        </m:r>
        <m:r>
          <w:rPr/>
          <m:rPr>
            <m:nor/>
            <m:sty m:val="undefined"/>
          </m:rPr>
          <m:t xml:space="preserve">/</m:t>
        </m:r>
        <m:r>
          <m:t xml:space="preserve">2</m:t>
        </m:r>
      </m:oMath>
      <w:r>
        <w:t xml:space="preserve">.</w:t>
      </w:r>
    </w:p>
    <w:p>
      <w:pPr>
        <w:spacing w:after="200"/>
      </w:pPr>
      <w:r>
        <w:t xml:space="preserve"> </w:t>
      </w:r>
    </w:p>
    <w:p>
      <w:pPr>
        <w:spacing w:after="120"/>
        <w:jc w:val="left"/>
      </w:pPr>
      <w:r>
        <w:rPr>
          <w:b/>
          <w:bCs/>
        </w:rPr>
        <w:t xml:space="preserve">Step 4 — Trust anchor breaks indistinguishability.</w:t>
      </w:r>
      <w:r>
        <w:br/>
      </w:r>
      <w:r>
        <w:t xml:space="preserve">With cryptographically-signed </w:t>
      </w:r>
      <m:oMath>
        <m:sSub>
          <m:sSubPr>
            <m:ctrlPr/>
          </m:sSubPr>
          <m:e>
            <m:r>
              <m:t xml:space="preserve">L</m:t>
            </m:r>
          </m:e>
          <m:sub>
            <m:r>
              <m:t xml:space="preserve">i</m:t>
            </m:r>
          </m:sub>
        </m:sSub>
      </m:oMath>
      <w:r>
        <w:t xml:space="preserve">:</w:t>
      </w:r>
    </w:p>
    <w:p>
      <w:pPr>
        <w:pStyle w:val="ListParagraph"/>
        <w:numPr>
          <w:ilvl w:val="0"/>
          <w:numId w:val="2"/>
        </w:numPr>
        <w:spacing w:after="100"/>
        <w:ind w:start="240"/>
        <w:jc w:val="left"/>
      </w:pPr>
      <m:oMath>
        <m:sSub>
          <m:sSubPr>
            <m:ctrlPr/>
          </m:sSubPr>
          <m:e>
            <m:r>
              <m:t xml:space="preserve">ν</m:t>
            </m:r>
          </m:e>
          <m:sub>
            <m:r>
              <m:t xml:space="preserve">1</m:t>
            </m:r>
          </m:sub>
        </m:sSub>
      </m:oMath>
      <w:r>
        <w:t xml:space="preserve"> (safe) preserves valid signature.</w:t>
      </w:r>
    </w:p>
    <w:p>
      <w:pPr>
        <w:pStyle w:val="ListParagraph"/>
        <w:numPr>
          <w:ilvl w:val="0"/>
          <w:numId w:val="2"/>
        </w:numPr>
        <w:spacing w:after="100"/>
        <w:ind w:start="240"/>
        <w:jc w:val="left"/>
      </w:pPr>
      <m:oMath>
        <m:sSub>
          <m:sSubPr>
            <m:ctrlPr/>
          </m:sSubPr>
          <m:e>
            <m:r>
              <m:t xml:space="preserve">ν</m:t>
            </m:r>
          </m:e>
          <m:sub>
            <m:r>
              <m:t xml:space="preserve">2</m:t>
            </m:r>
          </m:sub>
        </m:sSub>
      </m:oMath>
      <w:r>
        <w:t xml:space="preserve"> (unsafe) requires forging </w:t>
      </w:r>
      <m:oMath>
        <m:sSub>
          <m:sSubPr>
            <m:ctrlPr/>
          </m:sSubPr>
          <m:e>
            <m:r>
              <m:t xml:space="preserve">L</m:t>
            </m:r>
          </m:e>
          <m:sub>
            <m:r>
              <m:t xml:space="preserve">i</m:t>
            </m:r>
          </m:sub>
        </m:sSub>
      </m:oMath>
      <w:r>
        <w:t xml:space="preserve"> — infeasible under standard unforgeability assumption (EUF-CMA).</w:t>
      </w:r>
    </w:p>
    <w:p>
      <w:pPr>
        <w:pStyle w:val="ListParagraph"/>
        <w:numPr>
          <w:ilvl w:val="0"/>
          <w:numId w:val="2"/>
        </w:numPr>
        <w:spacing w:after="100"/>
        <w:ind w:start="240"/>
        <w:jc w:val="left"/>
      </w:pPr>
      <m:oMath>
        <m:r>
          <m:t xml:space="preserve">⇒</m:t>
        </m:r>
      </m:oMath>
      <w:r>
        <w:t xml:space="preserve"> Indistinguishability fails; double-sided certification recovered.</w:t>
      </w:r>
    </w:p>
    <w:p>
      <w:pPr>
        <w:spacing w:after="200"/>
      </w:pPr>
      <w:r>
        <w:t xml:space="preserve"> </w:t>
      </w:r>
    </w:p>
    <w:p>
      <w:pPr>
        <w:pStyle w:val="Heading3"/>
        <w:spacing w:after="200"/>
        <w:jc w:val="left"/>
      </w:pPr>
      <w:r>
        <w:t xml:space="preserve">7.3 Two-Week Timeline with Decision Gates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08"/>
        <w:gridCol w:w="4434"/>
        <w:gridCol w:w="3818"/>
      </w:tblGrid>
      <w:tr>
        <w:trPr>
          <w:tblHeader/>
        </w:trPr>
        <w:tc>
          <w:p>
            <w:pPr>
              <w:jc w:val="left"/>
            </w:pPr>
            <w:r>
              <w:rPr>
                <w:b/>
                <w:bCs/>
              </w:rPr>
              <w:t xml:space="preserve">Day</w:t>
            </w:r>
          </w:p>
        </w:tc>
        <w:tc>
          <w:p>
            <w:pPr>
              <w:jc w:val="left"/>
            </w:pPr>
            <w:r>
              <w:rPr>
                <w:b/>
                <w:bCs/>
              </w:rPr>
              <w:t xml:space="preserve">Task</w:t>
            </w:r>
          </w:p>
        </w:tc>
        <w:tc>
          <w:p>
            <w:pPr>
              <w:jc w:val="left"/>
            </w:pPr>
            <w:r>
              <w:rPr>
                <w:b/>
                <w:bCs/>
              </w:rPr>
              <w:t xml:space="preserve">Decision Gate</w:t>
            </w:r>
          </w:p>
        </w:tc>
      </w:tr>
      <w:tr>
        <w:tc>
          <w:p>
            <w:pPr>
              <w:jc w:val="left"/>
            </w:pPr>
            <w:r>
              <w:t xml:space="preserve">1-2</w:t>
            </w:r>
          </w:p>
        </w:tc>
        <w:tc>
          <w:p>
            <w:pPr>
              <w:jc w:val="left"/>
            </w:pPr>
            <w:r>
              <w:t xml:space="preserve">Formalize threat model (</w:t>
            </w:r>
            <m:oMath>
              <m:sSub>
                <m:sSubPr>
                  <m:ctrlPr/>
                </m:sSubPr>
                <m:e>
                  <m:r>
                    <w:rPr/>
                    <m:rPr>
                      <m:nor/>
                      <m:sty m:val="undefined"/>
                    </m:rPr>
                    <m:t xml:space="preserve">A</m:t>
                  </m:r>
                </m:e>
                <m:sub>
                  <m:r>
                    <m:t xml:space="preserve">p</m:t>
                  </m:r>
                </m:sub>
              </m:sSub>
              <m:r>
                <m:t xml:space="preserve">,K,D,ε</m:t>
              </m:r>
            </m:oMath>
            <w:r>
              <w:t xml:space="preserve">); set notation</w:t>
            </w:r>
          </w:p>
        </w:tc>
        <w:tc>
          <w:p>
            <w:pPr>
              <w:jc w:val="left"/>
            </w:pPr>
            <w:r>
              <w:t xml:space="preserve">—</w:t>
            </w:r>
          </w:p>
        </w:tc>
      </w:tr>
      <w:tr>
        <w:tc>
          <w:p>
            <w:pPr>
              <w:jc w:val="left"/>
            </w:pPr>
            <w:r>
              <w:t xml:space="preserve">3-4</w:t>
            </w:r>
          </w:p>
        </w:tc>
        <w:tc>
          <w:p>
            <w:pPr>
              <w:jc w:val="left"/>
            </w:pPr>
            <w:r>
              <w:t xml:space="preserve">Construct </w:t>
            </w:r>
            <m:oMath>
              <m:sSub>
                <m:sSubPr>
                  <m:ctrlPr/>
                </m:sSubPr>
                <m:e>
                  <m:r>
                    <m:t xml:space="preserve">ν</m:t>
                  </m:r>
                </m:e>
                <m:sub>
                  <m:r>
                    <m:t xml:space="preserve">1</m:t>
                  </m:r>
                </m:sub>
              </m:sSub>
              <m:r>
                <m:t xml:space="preserve">,</m:t>
              </m:r>
              <m:sSub>
                <m:sSubPr>
                  <m:ctrlPr/>
                </m:sSubPr>
                <m:e>
                  <m:r>
                    <m:t xml:space="preserve">ν</m:t>
                  </m:r>
                </m:e>
                <m:sub>
                  <m:r>
                    <m:t xml:space="preserve">2</m:t>
                  </m:r>
                </m:sub>
              </m:sSub>
            </m:oMath>
            <w:r>
              <w:t xml:space="preserve"> on toy CID; prove observation distribution match</w:t>
            </w:r>
          </w:p>
        </w:tc>
        <w:tc>
          <w:p>
            <w:pPr>
              <w:jc w:val="left"/>
            </w:pPr>
            <w:r>
              <w:t xml:space="preserve">—</w:t>
            </w:r>
          </w:p>
        </w:tc>
      </w:tr>
      <w:tr>
        <w:tc>
          <w:p>
            <w:pPr>
              <w:jc w:val="left"/>
            </w:pPr>
            <w:r>
              <w:t xml:space="preserve">5-7</w:t>
            </w:r>
          </w:p>
        </w:tc>
        <w:tc>
          <w:p>
            <w:pPr>
              <w:jc w:val="left"/>
            </w:pPr>
            <w:r>
              <w:t xml:space="preserve">Information-theoretic lower bound; statistical distance argument</w:t>
            </w:r>
          </w:p>
        </w:tc>
        <w:tc>
          <w:p>
            <w:pPr>
              <w:jc w:val="left"/>
            </w:pPr>
            <w:r>
              <w:rPr>
                <w:b/>
                <w:bCs/>
              </w:rPr>
              <w:t xml:space="preserve">Gate 1 (Day 7):</w:t>
            </w:r>
            <w:r>
              <w:t xml:space="preserve"> Is indistinguishable construction valid?</w:t>
            </w:r>
          </w:p>
        </w:tc>
      </w:tr>
      <w:tr>
        <w:tc>
          <w:p>
            <w:pPr>
              <w:jc w:val="left"/>
            </w:pPr>
            <w:r>
              <w:t xml:space="preserve">8-9</w:t>
            </w:r>
          </w:p>
        </w:tc>
        <w:tc>
          <w:p>
            <w:pPr>
              <w:jc w:val="left"/>
            </w:pPr>
            <w:r>
              <w:t xml:space="preserve">Cryptographic argument: signature unforgeability </w:t>
            </w:r>
            <m:oMath>
              <m:r>
                <m:t xml:space="preserve">⇒</m:t>
              </m:r>
            </m:oMath>
            <w:r>
              <w:t xml:space="preserve"> distinguishability</w:t>
            </w:r>
          </w:p>
        </w:tc>
        <w:tc>
          <w:p>
            <w:pPr>
              <w:jc w:val="left"/>
            </w:pPr>
            <w:r>
              <w:t xml:space="preserve">—</w:t>
            </w:r>
          </w:p>
        </w:tc>
      </w:tr>
      <w:tr>
        <w:tc>
          <w:p>
            <w:pPr>
              <w:jc w:val="left"/>
            </w:pPr>
            <w:r>
              <w:t xml:space="preserve">10-11</w:t>
            </w:r>
          </w:p>
        </w:tc>
        <w:tc>
          <w:p>
            <w:pPr>
              <w:jc w:val="left"/>
            </w:pPr>
            <w:r>
              <w:t xml:space="preserve">Full LaTeX proof writing</w:t>
            </w:r>
          </w:p>
        </w:tc>
        <w:tc>
          <w:p>
            <w:pPr>
              <w:jc w:val="left"/>
            </w:pPr>
            <w:r>
              <w:t xml:space="preserve">—</w:t>
            </w:r>
          </w:p>
        </w:tc>
      </w:tr>
      <w:tr>
        <w:tc>
          <w:p>
            <w:pPr>
              <w:jc w:val="left"/>
            </w:pPr>
            <w:r>
              <w:t xml:space="preserve">12-14</w:t>
            </w:r>
          </w:p>
        </w:tc>
        <w:tc>
          <w:p>
            <w:pPr>
              <w:jc w:val="left"/>
            </w:pPr>
            <w:r>
              <w:t xml:space="preserve">Internal verification by a math-strong colleague</w:t>
            </w:r>
          </w:p>
        </w:tc>
        <w:tc>
          <w:p>
            <w:pPr>
              <w:jc w:val="left"/>
            </w:pPr>
            <w:r>
              <w:rPr>
                <w:b/>
                <w:bCs/>
              </w:rPr>
              <w:t xml:space="preserve">Gate 2 (Day 14):</w:t>
            </w:r>
            <w:r>
              <w:t xml:space="preserve"> Is proof airtight?</w:t>
            </w:r>
          </w:p>
        </w:tc>
      </w:tr>
    </w:tbl>
    <w:p>
      <w:pPr>
        <w:spacing w:before="240"/>
      </w:pPr>
      <w:r>
        <w:t xml:space="preserve"> </w:t>
      </w:r>
    </w:p>
    <w:p>
      <w:pPr>
        <w:pStyle w:val="Heading3"/>
        <w:spacing w:after="200"/>
        <w:jc w:val="left"/>
      </w:pPr>
      <w:r>
        <w:t xml:space="preserve">7.4 Decision-Gate Outcomes</w:t>
      </w:r>
    </w:p>
    <w:p>
      <w:pPr>
        <w:pStyle w:val="ListParagraph"/>
        <w:numPr>
          <w:ilvl w:val="0"/>
          <w:numId w:val="2"/>
        </w:numPr>
        <w:spacing w:after="100"/>
        <w:ind w:start="240"/>
        <w:jc w:val="left"/>
      </w:pPr>
      <w:r>
        <w:rPr>
          <w:b/>
          <w:bCs/>
        </w:rPr>
        <w:t xml:space="preserve">Gate 1 pass + Gate 2 pass → Plan A</w:t>
      </w:r>
      <w:r>
        <w:t xml:space="preserve"> (AAAI oral / spotlight candidate)</w:t>
      </w:r>
    </w:p>
    <w:p>
      <w:pPr>
        <w:pStyle w:val="ListParagraph"/>
        <w:numPr>
          <w:ilvl w:val="0"/>
          <w:numId w:val="2"/>
        </w:numPr>
        <w:spacing w:after="100"/>
        <w:ind w:start="240"/>
        <w:jc w:val="left"/>
      </w:pPr>
      <w:r>
        <w:rPr>
          <w:b/>
          <w:bCs/>
        </w:rPr>
        <w:t xml:space="preserve">Gate 1 pass + Gate 2 fail (fixable) → Extend by 1 week</w:t>
      </w:r>
    </w:p>
    <w:p>
      <w:pPr>
        <w:pStyle w:val="ListParagraph"/>
        <w:numPr>
          <w:ilvl w:val="0"/>
          <w:numId w:val="2"/>
        </w:numPr>
        <w:spacing w:after="100"/>
        <w:ind w:start="240"/>
        <w:jc w:val="left"/>
      </w:pPr>
      <w:r>
        <w:rPr>
          <w:b/>
          <w:bCs/>
        </w:rPr>
        <w:t xml:space="preserve">Gate 1 fail → Plan B</w:t>
      </w:r>
      <w:r>
        <w:t xml:space="preserve"> (Theorem 1 + 3 corollaries only; no impossibility result)</w:t>
      </w:r>
    </w:p>
    <w:p>
      <w:pPr>
        <w:spacing w:after="200"/>
      </w:pPr>
      <w:r>
        <w:t xml:space="preserve"> </w:t>
      </w:r>
    </w:p>
    <w:p>
      <w:pPr>
        <w:pStyle w:val="Heading3"/>
        <w:spacing w:after="200"/>
        <w:jc w:val="left"/>
      </w:pPr>
      <w:r>
        <w:t xml:space="preserve">7.5 Suggested Pre-Reads (if intuition needs reinforcement)</w:t>
      </w:r>
    </w:p>
    <w:p>
      <w:pPr>
        <w:pStyle w:val="ListParagraph"/>
        <w:numPr>
          <w:ilvl w:val="0"/>
          <w:numId w:val="2"/>
        </w:numPr>
        <w:spacing w:after="100"/>
        <w:ind w:start="240"/>
        <w:jc w:val="left"/>
      </w:pPr>
      <w:r>
        <w:t xml:space="preserve">Madry et al. (2018), </w:t>
      </w:r>
      <w:r>
        <w:rPr>
          <w:i/>
          <w:iCs/>
        </w:rPr>
        <w:t xml:space="preserve">Towards Deep Learning Models Resistant to Adversarial Attacks</w:t>
      </w:r>
      <w:r>
        <w:t xml:space="preserve"> (PGD; adversarial budget formalization)</w:t>
      </w:r>
    </w:p>
    <w:p>
      <w:pPr>
        <w:pStyle w:val="ListParagraph"/>
        <w:numPr>
          <w:ilvl w:val="0"/>
          <w:numId w:val="2"/>
        </w:numPr>
        <w:spacing w:after="100"/>
        <w:ind w:start="240"/>
        <w:jc w:val="left"/>
      </w:pPr>
      <w:r>
        <w:t xml:space="preserve">Bhagoji et al. (2018), </w:t>
      </w:r>
      <w:r>
        <w:rPr>
          <w:i/>
          <w:iCs/>
        </w:rPr>
        <w:t xml:space="preserve">Lower Bounds on Adversarial Robustness from Optimal Transport</w:t>
      </w:r>
    </w:p>
    <w:p>
      <w:pPr>
        <w:pStyle w:val="ListParagraph"/>
        <w:numPr>
          <w:ilvl w:val="0"/>
          <w:numId w:val="2"/>
        </w:numPr>
        <w:spacing w:after="100"/>
        <w:ind w:start="240"/>
        <w:jc w:val="left"/>
      </w:pPr>
      <w:r>
        <w:t xml:space="preserve">Cohen, Rosenfeld &amp; Kolter (2019), </w:t>
      </w:r>
      <w:r>
        <w:rPr>
          <w:i/>
          <w:iCs/>
        </w:rPr>
        <w:t xml:space="preserve">Certified Adversarial Robustness via Randomized Smoothing</w:t>
      </w:r>
      <w:r>
        <w:t xml:space="preserve"> (certification structure)</w:t>
      </w:r>
    </w:p>
    <w:p>
      <w:pPr>
        <w:pStyle w:val="ListParagraph"/>
        <w:numPr>
          <w:ilvl w:val="0"/>
          <w:numId w:val="2"/>
        </w:numPr>
        <w:spacing w:after="100"/>
        <w:ind w:start="240"/>
        <w:jc w:val="left"/>
      </w:pPr>
      <w:r>
        <w:t xml:space="preserve">Tsipras et al. (2019), </w:t>
      </w:r>
      <w:r>
        <w:rPr>
          <w:i/>
          <w:iCs/>
        </w:rPr>
        <w:t xml:space="preserve">Robustness May Be at Odds with Accuracy</w:t>
      </w:r>
      <w:r>
        <w:t xml:space="preserve"> (impossibility-style argument)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AAAI 2027 Execution Timeline (8-9 Weeks)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1"/>
        <w:gridCol w:w="3825"/>
        <w:gridCol w:w="1711"/>
        <w:gridCol w:w="2113"/>
      </w:tblGrid>
      <w:tr>
        <w:trPr>
          <w:tblHeader/>
        </w:trPr>
        <w:tc>
          <w:p>
            <w:pPr>
              <w:jc w:val="left"/>
            </w:pPr>
            <w:r>
              <w:rPr>
                <w:b/>
                <w:bCs/>
              </w:rPr>
              <w:t xml:space="preserve">Week</w:t>
            </w:r>
          </w:p>
        </w:tc>
        <w:tc>
          <w:p>
            <w:pPr>
              <w:jc w:val="left"/>
            </w:pPr>
            <w:r>
              <w:rPr>
                <w:b/>
                <w:bCs/>
              </w:rPr>
              <w:t xml:space="preserve">Task</w:t>
            </w:r>
          </w:p>
        </w:tc>
        <w:tc>
          <w:p>
            <w:pPr>
              <w:jc w:val="left"/>
            </w:pPr>
            <w:r>
              <w:rPr>
                <w:b/>
                <w:bCs/>
              </w:rPr>
              <w:t xml:space="preserve">Output</w:t>
            </w:r>
          </w:p>
        </w:tc>
        <w:tc>
          <w:p>
            <w:pPr>
              <w:jc w:val="left"/>
            </w:pPr>
            <w:r>
              <w:rPr>
                <w:b/>
                <w:bCs/>
              </w:rPr>
              <w:t xml:space="preserve">Gate</w:t>
            </w:r>
          </w:p>
        </w:tc>
      </w:tr>
      <w:tr>
        <w:tc>
          <w:p>
            <w:pPr>
              <w:jc w:val="left"/>
            </w:pPr>
            <w:r>
              <w:t xml:space="preserve">1-2 (now-mid Jul)</w:t>
            </w:r>
          </w:p>
        </w:tc>
        <w:tc>
          <w:p>
            <w:pPr>
              <w:jc w:val="left"/>
            </w:pPr>
            <w:r>
              <w:t xml:space="preserve">Theorem 2 proof + Step 2.5 elevator pitch (parallel)</w:t>
            </w:r>
          </w:p>
        </w:tc>
        <w:tc>
          <w:p>
            <w:pPr>
              <w:jc w:val="left"/>
            </w:pPr>
            <w:r>
              <w:t xml:space="preserve">Theorem 2 verdict</w:t>
            </w:r>
          </w:p>
        </w:tc>
        <w:tc>
          <w:p>
            <w:pPr>
              <w:jc w:val="left"/>
            </w:pPr>
            <w:r>
              <w:rPr>
                <w:b/>
                <w:bCs/>
              </w:rPr>
              <w:t xml:space="preserve">Plan A / B / C decision</w:t>
            </w:r>
          </w:p>
        </w:tc>
      </w:tr>
      <w:tr>
        <w:tc>
          <w:p>
            <w:pPr>
              <w:jc w:val="left"/>
            </w:pPr>
            <w:r>
              <w:t xml:space="preserve">3 (mid Jul)</w:t>
            </w:r>
          </w:p>
        </w:tc>
        <w:tc>
          <w:p>
            <w:pPr>
              <w:jc w:val="left"/>
            </w:pPr>
            <w:r>
              <w:t xml:space="preserve">§3 Method (CID formalism, threat model, BDIC algorithm)</w:t>
            </w:r>
          </w:p>
        </w:tc>
        <w:tc>
          <w:p>
            <w:pPr>
              <w:jc w:val="left"/>
            </w:pPr>
            <w:r>
              <w:t xml:space="preserve">§3 draft</w:t>
            </w:r>
          </w:p>
        </w:tc>
        <w:tc>
          <w:p>
            <w:pPr>
              <w:jc w:val="left"/>
            </w:pPr>
            <w:r>
              <w:t xml:space="preserve">conceptual review</w:t>
            </w:r>
          </w:p>
        </w:tc>
      </w:tr>
      <w:tr>
        <w:tc>
          <w:p>
            <w:pPr>
              <w:jc w:val="left"/>
            </w:pPr>
            <w:r>
              <w:t xml:space="preserve">4-4.5 (late Jul)</w:t>
            </w:r>
          </w:p>
        </w:tc>
        <w:tc>
          <w:p>
            <w:pPr>
              <w:jc w:val="left"/>
            </w:pPr>
            <w:r>
              <w:t xml:space="preserve">Theorem 1 rewrite in do-calculus + 3 corollaries</w:t>
            </w:r>
          </w:p>
        </w:tc>
        <w:tc>
          <w:p>
            <w:pPr>
              <w:jc w:val="left"/>
            </w:pPr>
            <w:r>
              <w:t xml:space="preserve">§4 draft</w:t>
            </w:r>
          </w:p>
        </w:tc>
        <w:tc>
          <w:p>
            <w:pPr>
              <w:jc w:val="left"/>
            </w:pPr>
            <w:r>
              <w:t xml:space="preserve">math review</w:t>
            </w:r>
          </w:p>
        </w:tc>
      </w:tr>
      <w:tr>
        <w:tc>
          <w:p>
            <w:pPr>
              <w:jc w:val="left"/>
            </w:pPr>
            <w:r>
              <w:t xml:space="preserve">5-6 (early Aug)</w:t>
            </w:r>
          </w:p>
        </w:tc>
        <w:tc>
          <w:p>
            <w:pPr>
              <w:jc w:val="left"/>
            </w:pPr>
            <w:r>
              <w:t xml:space="preserve">New experiments: Theorem-1 tightness; adaptive intervention; causal-vs-spurious ablation</w:t>
            </w:r>
          </w:p>
        </w:tc>
        <w:tc>
          <w:p>
            <w:pPr>
              <w:jc w:val="left"/>
            </w:pPr>
            <w:r>
              <w:t xml:space="preserve">§6 evidence</w:t>
            </w:r>
          </w:p>
        </w:tc>
        <w:tc>
          <w:p>
            <w:pPr>
              <w:jc w:val="left"/>
            </w:pPr>
            <w:r>
              <w:t xml:space="preserve">results review</w:t>
            </w:r>
          </w:p>
        </w:tc>
      </w:tr>
      <w:tr>
        <w:tc>
          <w:p>
            <w:pPr>
              <w:jc w:val="left"/>
            </w:pPr>
            <w:r>
              <w:t xml:space="preserve">7 (mid Aug)</w:t>
            </w:r>
          </w:p>
        </w:tc>
        <w:tc>
          <w:p>
            <w:pPr>
              <w:jc w:val="left"/>
            </w:pPr>
            <w:r>
              <w:t xml:space="preserve">First full draft + model figure (TikZ)</w:t>
            </w:r>
          </w:p>
        </w:tc>
        <w:tc>
          <w:p>
            <w:pPr>
              <w:jc w:val="left"/>
            </w:pPr>
            <w:r>
              <w:t xml:space="preserve">full PDF v1</w:t>
            </w:r>
          </w:p>
        </w:tc>
        <w:tc>
          <w:p>
            <w:pPr>
              <w:jc w:val="left"/>
            </w:pPr>
            <w:r>
              <w:t xml:space="preserve">internal review</w:t>
            </w:r>
          </w:p>
        </w:tc>
      </w:tr>
      <w:tr>
        <w:tc>
          <w:p>
            <w:pPr>
              <w:jc w:val="left"/>
            </w:pPr>
            <w:r>
              <w:t xml:space="preserve">8-9 (late Aug)</w:t>
            </w:r>
          </w:p>
        </w:tc>
        <w:tc>
          <w:p>
            <w:pPr>
              <w:jc w:val="left"/>
            </w:pPr>
            <w:r>
              <w:t xml:space="preserve">Internal red-team review + revisions + submission</w:t>
            </w:r>
          </w:p>
        </w:tc>
        <w:tc>
          <w:p>
            <w:pPr>
              <w:jc w:val="left"/>
            </w:pPr>
            <w:r>
              <w:t xml:space="preserve">AAAI submission</w:t>
            </w:r>
          </w:p>
        </w:tc>
        <w:tc>
          <w:p>
            <w:pPr>
              <w:jc w:val="left"/>
            </w:pPr>
            <w:r>
              <w:t xml:space="preserve">submitted</w:t>
            </w:r>
          </w:p>
        </w:tc>
      </w:tr>
    </w:tbl>
    <w:p>
      <w:pPr>
        <w:spacing w:before="240"/>
      </w:pPr>
      <w:r>
        <w:t xml:space="preserve"> </w:t>
      </w:r>
    </w:p>
    <w:p>
      <w:pPr>
        <w:spacing w:after="120"/>
        <w:jc w:val="left"/>
      </w:pPr>
      <w:r>
        <w:rPr>
          <w:b/>
          <w:bCs/>
        </w:rPr>
        <w:t xml:space="preserve">Total: 8-9 weeks</w:t>
      </w:r>
      <w:r>
        <w:t xml:space="preserve"> — within AAAI 2027 submission window.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Risk Register and Mitigation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53"/>
        <w:gridCol w:w="1379"/>
        <w:gridCol w:w="1182"/>
        <w:gridCol w:w="3646"/>
      </w:tblGrid>
      <w:tr>
        <w:trPr>
          <w:tblHeader/>
        </w:trPr>
        <w:tc>
          <w:p>
            <w:pPr>
              <w:jc w:val="left"/>
            </w:pPr>
            <w:r>
              <w:rPr>
                <w:b/>
                <w:bCs/>
              </w:rPr>
              <w:t xml:space="preserve">Risk</w:t>
            </w:r>
          </w:p>
        </w:tc>
        <w:tc>
          <w:p>
            <w:pPr>
              <w:jc w:val="left"/>
            </w:pPr>
            <w:r>
              <w:rPr>
                <w:b/>
                <w:bCs/>
              </w:rPr>
              <w:t xml:space="preserve">Probability</w:t>
            </w:r>
          </w:p>
        </w:tc>
        <w:tc>
          <w:p>
            <w:pPr>
              <w:jc w:val="left"/>
            </w:pPr>
            <w:r>
              <w:rPr>
                <w:b/>
                <w:bCs/>
              </w:rPr>
              <w:t xml:space="preserve">Severity</w:t>
            </w:r>
          </w:p>
        </w:tc>
        <w:tc>
          <w:p>
            <w:pPr>
              <w:jc w:val="left"/>
            </w:pPr>
            <w:r>
              <w:rPr>
                <w:b/>
                <w:bCs/>
              </w:rPr>
              <w:t xml:space="preserve">Mitigation</w:t>
            </w:r>
          </w:p>
        </w:tc>
      </w:tr>
      <w:tr>
        <w:tc>
          <w:p>
            <w:pPr>
              <w:jc w:val="left"/>
            </w:pPr>
            <w:r>
              <w:t xml:space="preserve">Theorem 2 fails to prove</w:t>
            </w:r>
          </w:p>
        </w:tc>
        <w:tc>
          <w:p>
            <w:pPr>
              <w:jc w:val="left"/>
            </w:pPr>
            <w:r>
              <w:t xml:space="preserve">30-40%</w:t>
            </w:r>
          </w:p>
        </w:tc>
        <w:tc>
          <w:p>
            <w:pPr>
              <w:jc w:val="left"/>
            </w:pPr>
            <w:r>
              <w:t xml:space="preserve">High</w:t>
            </w:r>
          </w:p>
        </w:tc>
        <w:tc>
          <w:p>
            <w:pPr>
              <w:jc w:val="left"/>
            </w:pPr>
            <w:r>
              <w:t xml:space="preserve">Decision gates at Day 7 and Day 14; pivot to Plan B with clean fallback</w:t>
            </w:r>
          </w:p>
        </w:tc>
      </w:tr>
      <w:tr>
        <w:tc>
          <w:p>
            <w:pPr>
              <w:jc w:val="left"/>
            </w:pPr>
            <w:r>
              <w:t xml:space="preserve">Theorem 1 do-calculus rewrite reveals statistical-only structure</w:t>
            </w:r>
          </w:p>
        </w:tc>
        <w:tc>
          <w:p>
            <w:pPr>
              <w:jc w:val="left"/>
            </w:pPr>
            <w:r>
              <w:t xml:space="preserve">20%</w:t>
            </w:r>
          </w:p>
        </w:tc>
        <w:tc>
          <w:p>
            <w:pPr>
              <w:jc w:val="left"/>
            </w:pPr>
            <w:r>
              <w:t xml:space="preserve">High</w:t>
            </w:r>
          </w:p>
        </w:tc>
        <w:tc>
          <w:p>
            <w:pPr>
              <w:jc w:val="left"/>
            </w:pPr>
            <w:r>
              <w:t xml:space="preserve">Bring in causal inference colleague; verify do-operator correspondence</w:t>
            </w:r>
          </w:p>
        </w:tc>
      </w:tr>
      <w:tr>
        <w:tc>
          <w:p>
            <w:pPr>
              <w:jc w:val="left"/>
            </w:pPr>
            <w:r>
              <w:t xml:space="preserve">New arXiv paper in Jul-Aug 2026 preempts contribution</w:t>
            </w:r>
          </w:p>
        </w:tc>
        <w:tc>
          <w:p>
            <w:pPr>
              <w:jc w:val="left"/>
            </w:pPr>
            <w:r>
              <w:t xml:space="preserve">30%</w:t>
            </w:r>
          </w:p>
        </w:tc>
        <w:tc>
          <w:p>
            <w:pPr>
              <w:jc w:val="left"/>
            </w:pPr>
            <w:r>
              <w:t xml:space="preserve">Medium</w:t>
            </w:r>
          </w:p>
        </w:tc>
        <w:tc>
          <w:p>
            <w:pPr>
              <w:jc w:val="left"/>
            </w:pPr>
            <w:r>
              <w:t xml:space="preserve">Weekly arXiv scan; add citation in §2 if relevant</w:t>
            </w:r>
          </w:p>
        </w:tc>
      </w:tr>
      <w:tr>
        <w:tc>
          <w:p>
            <w:pPr>
              <w:jc w:val="left"/>
            </w:pPr>
            <w:r>
              <w:t xml:space="preserve">CIP authors reviewing</w:t>
            </w:r>
          </w:p>
        </w:tc>
        <w:tc>
          <w:p>
            <w:pPr>
              <w:jc w:val="left"/>
            </w:pPr>
            <w:r>
              <w:t xml:space="preserve">20%</w:t>
            </w:r>
          </w:p>
        </w:tc>
        <w:tc>
          <w:p>
            <w:pPr>
              <w:jc w:val="left"/>
            </w:pPr>
            <w:r>
              <w:t xml:space="preserve">Medium</w:t>
            </w:r>
          </w:p>
        </w:tc>
        <w:tc>
          <w:p>
            <w:pPr>
              <w:jc w:val="left"/>
            </w:pPr>
            <w:r>
              <w:t xml:space="preserve">Section 2.4 phrased as "extending lineage" rather than adversarial</w:t>
            </w:r>
          </w:p>
        </w:tc>
      </w:tr>
      <w:tr>
        <w:tc>
          <w:p>
            <w:pPr>
              <w:jc w:val="left"/>
            </w:pPr>
            <w:r>
              <w:t xml:space="preserve">OOD limitation drawing reviewer fire</w:t>
            </w:r>
          </w:p>
        </w:tc>
        <w:tc>
          <w:p>
            <w:pPr>
              <w:jc w:val="left"/>
            </w:pPr>
            <w:r>
              <w:t xml:space="preserve">High</w:t>
            </w:r>
          </w:p>
        </w:tc>
        <w:tc>
          <w:p>
            <w:pPr>
              <w:jc w:val="left"/>
            </w:pPr>
            <w:r>
              <w:t xml:space="preserve">Medium</w:t>
            </w:r>
          </w:p>
        </w:tc>
        <w:tc>
          <w:p>
            <w:pPr>
              <w:jc w:val="left"/>
            </w:pPr>
            <w:r>
              <w:t xml:space="preserve">Explicitly defer to Paper 4 in §7 roadmap</w:t>
            </w:r>
          </w:p>
        </w:tc>
      </w:tr>
      <w:tr>
        <w:tc>
          <w:p>
            <w:pPr>
              <w:jc w:val="left"/>
            </w:pPr>
            <w:r>
              <w:t xml:space="preserve">7-attack benchmark seen as PrecedentGuard-v2 recycling</w:t>
            </w:r>
          </w:p>
        </w:tc>
        <w:tc>
          <w:p>
            <w:pPr>
              <w:jc w:val="left"/>
            </w:pPr>
            <w:r>
              <w:t xml:space="preserve">Medium</w:t>
            </w:r>
          </w:p>
        </w:tc>
        <w:tc>
          <w:p>
            <w:pPr>
              <w:jc w:val="left"/>
            </w:pPr>
            <w:r>
              <w:t xml:space="preserve">Medium</w:t>
            </w:r>
          </w:p>
        </w:tc>
        <w:tc>
          <w:p>
            <w:pPr>
              <w:jc w:val="left"/>
            </w:pPr>
            <w:r>
              <w:t xml:space="preserve">Add 5+ new attacks (e.g., adaptive do-intervention attacker who knows </w:t>
            </w:r>
            <m:oMath>
              <m:r>
                <m:t xml:space="preserve">ε</m:t>
              </m:r>
            </m:oMath>
            <w:r>
              <w:t xml:space="preserve">)</w:t>
            </w:r>
          </w:p>
        </w:tc>
      </w:tr>
      <w:tr>
        <w:tc>
          <w:p>
            <w:pPr>
              <w:jc w:val="left"/>
            </w:pPr>
            <w:r>
              <w:t xml:space="preserve">Theorem proofs cluttering main text</w:t>
            </w:r>
          </w:p>
        </w:tc>
        <w:tc>
          <w:p>
            <w:pPr>
              <w:jc w:val="left"/>
            </w:pPr>
            <w:r>
              <w:t xml:space="preserve">Medium</w:t>
            </w:r>
          </w:p>
        </w:tc>
        <w:tc>
          <w:p>
            <w:pPr>
              <w:jc w:val="left"/>
            </w:pPr>
            <w:r>
              <w:t xml:space="preserve">Low</w:t>
            </w:r>
          </w:p>
        </w:tc>
        <w:tc>
          <w:p>
            <w:pPr>
              <w:jc w:val="left"/>
            </w:pPr>
            <w:r>
              <w:t xml:space="preserve">Move full proofs to appendix; keep proof sketches in main</w:t>
            </w:r>
          </w:p>
        </w:tc>
      </w:tr>
      <w:tr>
        <w:tc>
          <w:p>
            <w:pPr>
              <w:jc w:val="left"/>
            </w:pPr>
            <w:r>
              <w:t xml:space="preserve">Reproducibility checklist failures</w:t>
            </w:r>
          </w:p>
        </w:tc>
        <w:tc>
          <w:p>
            <w:pPr>
              <w:jc w:val="left"/>
            </w:pPr>
            <w:r>
              <w:t xml:space="preserve">Medium</w:t>
            </w:r>
          </w:p>
        </w:tc>
        <w:tc>
          <w:p>
            <w:pPr>
              <w:jc w:val="left"/>
            </w:pPr>
            <w:r>
              <w:t xml:space="preserve">Medium</w:t>
            </w:r>
          </w:p>
        </w:tc>
        <w:tc>
          <w:p>
            <w:pPr>
              <w:jc w:val="left"/>
            </w:pPr>
            <w:r>
              <w:t xml:space="preserve">Hydra configs + Zenodo dumps + single-command eval prepared in week 7</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SOTA Comparison Targets</w:t>
      </w:r>
    </w:p>
    <w:p>
      <w:pPr>
        <w:pStyle w:val="Heading3"/>
        <w:spacing w:after="200"/>
        <w:jc w:val="left"/>
      </w:pPr>
      <w:r>
        <w:t xml:space="preserve">10.1 In-Domain (AgentHarm)</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43"/>
        <w:gridCol w:w="3343"/>
        <w:gridCol w:w="2674"/>
      </w:tblGrid>
      <w:tr>
        <w:trPr>
          <w:tblHeader/>
        </w:trPr>
        <w:tc>
          <w:p>
            <w:pPr>
              <w:jc w:val="left"/>
            </w:pPr>
            <w:r>
              <w:rPr>
                <w:b/>
                <w:bCs/>
              </w:rPr>
              <w:t xml:space="preserve">System</w:t>
            </w:r>
          </w:p>
        </w:tc>
        <w:tc>
          <w:p>
            <w:pPr>
              <w:jc w:val="left"/>
            </w:pPr>
            <w:r>
              <w:rPr>
                <w:b/>
                <w:bCs/>
              </w:rPr>
              <w:t xml:space="preserve">Target metric</w:t>
            </w:r>
          </w:p>
        </w:tc>
        <w:tc>
          <w:p>
            <w:pPr>
              <w:jc w:val="left"/>
            </w:pPr>
            <w:r>
              <w:rPr>
                <w:b/>
                <w:bCs/>
              </w:rPr>
              <w:t xml:space="preserve">Required outcome</w:t>
            </w:r>
          </w:p>
        </w:tc>
      </w:tr>
      <w:tr>
        <w:tc>
          <w:p>
            <w:pPr>
              <w:jc w:val="left"/>
            </w:pPr>
            <w:r>
              <w:t xml:space="preserve">LLaMA-Guard 4</w:t>
            </w:r>
          </w:p>
        </w:tc>
        <w:tc>
          <w:p>
            <w:pPr>
              <w:jc w:val="left"/>
            </w:pPr>
            <w:r>
              <w:t xml:space="preserve">F1</w:t>
            </w:r>
          </w:p>
        </w:tc>
        <w:tc>
          <w:p>
            <w:pPr>
              <w:jc w:val="left"/>
            </w:pPr>
            <w:r>
              <w:t xml:space="preserve">Beat 0.912</w:t>
            </w:r>
          </w:p>
        </w:tc>
      </w:tr>
      <w:tr>
        <w:tc>
          <w:p>
            <w:pPr>
              <w:jc w:val="left"/>
            </w:pPr>
            <w:r>
              <w:t xml:space="preserve">ShieldGemma 2</w:t>
            </w:r>
          </w:p>
        </w:tc>
        <w:tc>
          <w:p>
            <w:pPr>
              <w:jc w:val="left"/>
            </w:pPr>
            <w:r>
              <w:t xml:space="preserve">F1</w:t>
            </w:r>
          </w:p>
        </w:tc>
        <w:tc>
          <w:p>
            <w:pPr>
              <w:jc w:val="left"/>
            </w:pPr>
            <w:r>
              <w:t xml:space="preserve">Beat 0.856</w:t>
            </w:r>
          </w:p>
        </w:tc>
      </w:tr>
      <w:tr>
        <w:tc>
          <w:p>
            <w:pPr>
              <w:jc w:val="left"/>
            </w:pPr>
            <w:r>
              <w:t xml:space="preserve">GuardAgent</w:t>
            </w:r>
          </w:p>
        </w:tc>
        <w:tc>
          <w:p>
            <w:pPr>
              <w:jc w:val="left"/>
            </w:pPr>
            <w:r>
              <w:t xml:space="preserve">F1</w:t>
            </w:r>
          </w:p>
        </w:tc>
        <w:tc>
          <w:p>
            <w:pPr>
              <w:jc w:val="left"/>
            </w:pPr>
            <w:r>
              <w:t xml:space="preserve">Beat 0.535</w:t>
            </w:r>
          </w:p>
        </w:tc>
      </w:tr>
      <w:tr>
        <w:tc>
          <w:p>
            <w:pPr>
              <w:jc w:val="left"/>
            </w:pPr>
            <w:r>
              <w:rPr>
                <w:b/>
                <w:bCs/>
              </w:rPr>
              <w:t xml:space="preserve">PrecedentGuard target</w:t>
            </w:r>
          </w:p>
        </w:tc>
        <w:tc>
          <w:p>
            <w:pPr>
              <w:jc w:val="left"/>
            </w:pPr>
            <w:r>
              <w:t xml:space="preserve">F1 ≥ 0.95, FPR ≤ 0.07</w:t>
            </w:r>
          </w:p>
        </w:tc>
        <w:tc>
          <w:p>
            <w:pPr>
              <w:jc w:val="left"/>
            </w:pPr>
            <w:r>
              <w:rPr>
                <w:b/>
                <w:bCs/>
              </w:rPr>
              <w:t xml:space="preserve">SOTA</w:t>
            </w:r>
          </w:p>
        </w:tc>
      </w:tr>
    </w:tbl>
    <w:p>
      <w:pPr>
        <w:spacing w:before="240"/>
      </w:pPr>
      <w:r>
        <w:t xml:space="preserve"> </w:t>
      </w:r>
    </w:p>
    <w:p>
      <w:pPr>
        <w:pStyle w:val="Heading3"/>
        <w:spacing w:after="200"/>
        <w:jc w:val="left"/>
      </w:pPr>
      <w:r>
        <w:t xml:space="preserve">10.2 Memory Poisoning (7 attacks × 5 rates)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6"/>
        <w:gridCol w:w="4794"/>
      </w:tblGrid>
      <w:tr>
        <w:trPr>
          <w:tblHeader/>
        </w:trPr>
        <w:tc>
          <w:p>
            <w:pPr>
              <w:jc w:val="left"/>
            </w:pPr>
            <w:r>
              <w:rPr>
                <w:b/>
                <w:bCs/>
              </w:rPr>
              <w:t xml:space="preserve">System</w:t>
            </w:r>
          </w:p>
        </w:tc>
        <w:tc>
          <w:p>
            <w:pPr>
              <w:jc w:val="left"/>
            </w:pPr>
            <w:r>
              <w:rPr>
                <w:b/>
                <w:bCs/>
              </w:rPr>
              <w:t xml:space="preserve">FNR @ p=30%</w:t>
            </w:r>
          </w:p>
        </w:tc>
      </w:tr>
      <w:tr>
        <w:tc>
          <w:p>
            <w:pPr>
              <w:jc w:val="left"/>
            </w:pPr>
            <w:r>
              <w:t xml:space="preserve">Vanilla RAG</w:t>
            </w:r>
          </w:p>
        </w:tc>
        <w:tc>
          <w:p>
            <w:pPr>
              <w:jc w:val="left"/>
            </w:pPr>
            <w:r>
              <w:t xml:space="preserve">0.348</w:t>
            </w:r>
          </w:p>
        </w:tc>
      </w:tr>
      <w:tr>
        <w:tc>
          <w:p>
            <w:pPr>
              <w:jc w:val="left"/>
            </w:pPr>
            <w:r>
              <w:t xml:space="preserve">PathRAG</w:t>
            </w:r>
          </w:p>
        </w:tc>
        <w:tc>
          <w:p>
            <w:pPr>
              <w:jc w:val="left"/>
            </w:pPr>
            <w:r>
              <w:t xml:space="preserve">~0.31</w:t>
            </w:r>
          </w:p>
        </w:tc>
      </w:tr>
      <w:tr>
        <w:tc>
          <w:p>
            <w:pPr>
              <w:jc w:val="left"/>
            </w:pPr>
            <w:r>
              <w:t xml:space="preserve">ShieldRAG</w:t>
            </w:r>
          </w:p>
        </w:tc>
        <w:tc>
          <w:p>
            <w:pPr>
              <w:jc w:val="left"/>
            </w:pPr>
            <w:r>
              <w:t xml:space="preserve">~0.20 (estimated)</w:t>
            </w:r>
          </w:p>
        </w:tc>
      </w:tr>
      <w:tr>
        <w:tc>
          <w:p>
            <w:pPr>
              <w:jc w:val="left"/>
            </w:pPr>
            <w:r>
              <w:t xml:space="preserve">SMSR</w:t>
            </w:r>
          </w:p>
        </w:tc>
        <w:tc>
          <w:p>
            <w:pPr>
              <w:jc w:val="left"/>
            </w:pPr>
            <w:r>
              <w:t xml:space="preserve">unknown FPR (single-sided)</w:t>
            </w:r>
          </w:p>
        </w:tc>
      </w:tr>
      <w:tr>
        <w:tc>
          <w:p>
            <w:pPr>
              <w:jc w:val="left"/>
            </w:pPr>
            <w:r>
              <w:rPr>
                <w:b/>
                <w:bCs/>
              </w:rPr>
              <w:t xml:space="preserve">PrecedentGuard target</w:t>
            </w:r>
          </w:p>
        </w:tc>
        <w:tc>
          <w:p>
            <w:pPr>
              <w:jc w:val="left"/>
            </w:pPr>
            <w:r>
              <w:t xml:space="preserve">FNR ≤ 0.08, FPR ≤ 0.10</w:t>
            </w:r>
          </w:p>
        </w:tc>
      </w:tr>
    </w:tbl>
    <w:p>
      <w:pPr>
        <w:spacing w:before="240"/>
      </w:pPr>
      <w:r>
        <w:t xml:space="preserve"> </w:t>
      </w:r>
    </w:p>
    <w:p>
      <w:pPr>
        <w:pStyle w:val="Heading3"/>
        <w:spacing w:after="200"/>
        <w:jc w:val="left"/>
      </w:pPr>
      <w:r>
        <w:t xml:space="preserve">10.3 Causal-Specific (CIP comparison)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34"/>
        <w:gridCol w:w="2259"/>
        <w:gridCol w:w="3067"/>
      </w:tblGrid>
      <w:tr>
        <w:trPr>
          <w:tblHeader/>
        </w:trPr>
        <w:tc>
          <w:p>
            <w:pPr>
              <w:jc w:val="left"/>
            </w:pPr>
            <w:r>
              <w:rPr>
                <w:b/>
                <w:bCs/>
              </w:rPr>
              <w:t xml:space="preserve">Benchmark</w:t>
            </w:r>
          </w:p>
        </w:tc>
        <w:tc>
          <w:p>
            <w:pPr>
              <w:jc w:val="left"/>
            </w:pPr>
            <w:r>
              <w:rPr>
                <w:b/>
                <w:bCs/>
              </w:rPr>
              <w:t xml:space="preserve">CIP baseline</w:t>
            </w:r>
          </w:p>
        </w:tc>
        <w:tc>
          <w:p>
            <w:pPr>
              <w:jc w:val="left"/>
            </w:pPr>
            <w:r>
              <w:rPr>
                <w:b/>
                <w:bCs/>
              </w:rPr>
              <w:t xml:space="preserve">PrecedentGuard target</w:t>
            </w:r>
          </w:p>
        </w:tc>
      </w:tr>
      <w:tr>
        <w:tc>
          <w:p>
            <w:pPr>
              <w:jc w:val="left"/>
            </w:pPr>
            <w:r>
              <w:t xml:space="preserve">CIP-reported benchmark</w:t>
            </w:r>
          </w:p>
        </w:tc>
        <w:tc>
          <w:p>
            <w:pPr>
              <w:jc w:val="left"/>
            </w:pPr>
            <w:r>
              <w:t xml:space="preserve">published</w:t>
            </w:r>
          </w:p>
        </w:tc>
        <w:tc>
          <w:p>
            <w:pPr>
              <w:jc w:val="left"/>
            </w:pPr>
            <w:r>
              <w:t xml:space="preserve">beat by ≥ 10% F1</w:t>
            </w:r>
          </w:p>
        </w:tc>
      </w:tr>
      <w:tr>
        <w:tc>
          <w:p>
            <w:pPr>
              <w:jc w:val="left"/>
            </w:pPr>
            <w:r>
              <w:t xml:space="preserve">AgentHarm + intervention augmentation</w:t>
            </w:r>
          </w:p>
        </w:tc>
        <w:tc>
          <w:p>
            <w:pPr>
              <w:jc w:val="left"/>
            </w:pPr>
            <w:r>
              <w:t xml:space="preserve">—</w:t>
            </w:r>
          </w:p>
        </w:tc>
        <w:tc>
          <w:p>
            <w:pPr>
              <w:jc w:val="left"/>
            </w:pPr>
            <w:r>
              <w:t xml:space="preserve">Δ F1 ≥ 0.10</w:t>
            </w:r>
          </w:p>
        </w:tc>
      </w:tr>
    </w:tbl>
    <w:p>
      <w:pPr>
        <w:spacing w:before="240"/>
      </w:pPr>
      <w:r>
        <w:t xml:space="preserve"> </w:t>
      </w:r>
    </w:p>
    <w:p>
      <w:pPr>
        <w:pStyle w:val="Heading3"/>
        <w:spacing w:after="200"/>
        <w:jc w:val="left"/>
      </w:pPr>
      <w:r>
        <w:t xml:space="preserve">10.4 Three New Experiments Required</w:t>
      </w:r>
    </w:p>
    <w:p>
      <w:pPr>
        <w:spacing w:after="100"/>
        <w:ind w:start="20"/>
        <w:jc w:val="left"/>
      </w:pPr>
      <w:r>
        <w:t xml:space="preserve">1. </w:t>
      </w:r>
      <w:r>
        <w:rPr>
          <w:b/>
          <w:bCs/>
        </w:rPr>
        <w:t xml:space="preserve">Theorem-1 Tightness Experiment:</w:t>
      </w:r>
      <w:r>
        <w:t xml:space="preserve"> measured $p^</w:t>
      </w:r>
      <m:oMath>
        <m:r>
          <m:t xml:space="preserve">vspredicted</m:t>
        </m:r>
      </m:oMath>
      <w:r>
        <w:rPr>
          <w:i/>
          <w:iCs/>
        </w:rPr>
        <w:t xml:space="preserve">p^</w:t>
      </w:r>
      <w:r>
        <w:t xml:space="preserve"> = \varepsilon/(K \cdot D)</w:t>
      </w:r>
      <m:oMath>
        <m:r>
          <m:t xml:space="preserve">across</m:t>
        </m:r>
      </m:oMath>
      <w:r>
        <w:t xml:space="preserve">\varepsilon \in </w:t>
      </w:r>
      <w:r>
        <w:t xml:space="preserve">{</w:t>
      </w:r>
      <w:r>
        <w:t xml:space="preserve">0.5, 1.0, 2.0, 5.0</w:t>
      </w:r>
      <w:r>
        <w:t xml:space="preserve">}</w:t>
      </w:r>
      <w:r>
        <w:t xml:space="preserve">$</w:t>
      </w:r>
    </w:p>
    <w:p>
      <w:pPr>
        <w:spacing w:after="100"/>
        <w:ind w:start="20"/>
        <w:jc w:val="left"/>
      </w:pPr>
      <w:r>
        <w:t xml:space="preserve">2. </w:t>
      </w:r>
      <w:r>
        <w:rPr>
          <w:b/>
          <w:bCs/>
        </w:rPr>
        <w:t xml:space="preserve">Adaptive Do-Intervention Attack:</w:t>
      </w:r>
      <w:r>
        <w:t xml:space="preserve"> attacker knows </w:t>
      </w:r>
      <m:oMath>
        <m:r>
          <m:t xml:space="preserve">ε</m:t>
        </m:r>
      </m:oMath>
      <w:r>
        <w:t xml:space="preserve"> and </w:t>
      </w:r>
      <m:oMath>
        <m:sSub>
          <m:sSubPr>
            <m:ctrlPr/>
          </m:sSubPr>
          <m:e>
            <m:r>
              <m:t xml:space="preserve">L</m:t>
            </m:r>
          </m:e>
          <m:sub>
            <m:r>
              <m:t xml:space="preserve">i</m:t>
            </m:r>
          </m:sub>
        </m:sSub>
      </m:oMath>
      <w:r>
        <w:t xml:space="preserve"> protocol; measure FNR/FPR</w:t>
      </w:r>
    </w:p>
    <w:p>
      <w:pPr>
        <w:spacing w:after="100"/>
        <w:ind w:start="20"/>
        <w:jc w:val="left"/>
      </w:pPr>
      <w:r>
        <w:t xml:space="preserve">3. </w:t>
      </w:r>
      <w:r>
        <w:rPr>
          <w:b/>
          <w:bCs/>
        </w:rPr>
        <w:t xml:space="preserve">Causal-vs-Spurious Poisoning Ablation:</w:t>
      </w:r>
      <w:r>
        <w:t xml:space="preserve"> partition poisoning into causal-parent vs non-causal corruptions; show PrecedentGuard especially strong on former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Model Figure Specification</w:t>
      </w:r>
    </w:p>
    <w:p>
      <w:pPr>
        <w:pStyle w:val="Heading3"/>
        <w:spacing w:after="200"/>
        <w:jc w:val="left"/>
      </w:pPr>
      <w:r>
        <w:t xml:space="preserve">11.1 Figure 1 (main system figure, three panels)</w:t>
      </w:r>
    </w:p>
    <w:p>
      <w:pPr>
        <w:spacing w:after="120"/>
        <w:jc w:val="left"/>
      </w:pPr>
      <w:r>
        <w:rPr>
          <w:b/>
          <w:bCs/>
        </w:rPr>
        <w:t xml:space="preserve">Panel A — Agent Trajectory as CID</w:t>
      </w:r>
    </w:p>
    <w:p>
      <w:pPr>
        <w:pStyle w:val="ListParagraph"/>
        <w:numPr>
          <w:ilvl w:val="0"/>
          <w:numId w:val="2"/>
        </w:numPr>
        <w:spacing w:after="100"/>
        <w:ind w:start="240"/>
        <w:jc w:val="left"/>
      </w:pPr>
      <w:r>
        <w:t xml:space="preserve">Nodes: </w:t>
      </w:r>
      <w:r>
        <w:rPr>
          <w:rFonts w:ascii="Courier New" w:cs="Courier New" w:eastAsia="Courier New" w:hAnsi="Courier New"/>
          <w:shd w:fill="F1F5F9" w:color="auto" w:val="clear"/>
        </w:rPr>
        <w:t xml:space="preserve">Intent</w:t>
      </w:r>
      <w:r>
        <w:t xml:space="preserve"> (chance), </w:t>
      </w:r>
      <w:r>
        <w:rPr>
          <w:rFonts w:ascii="Courier New" w:cs="Courier New" w:eastAsia="Courier New" w:hAnsi="Courier New"/>
          <w:shd w:fill="F1F5F9" w:color="auto" w:val="clear"/>
        </w:rPr>
        <w:t xml:space="preserve">Memory M</w:t>
      </w:r>
      <w:r>
        <w:t xml:space="preserve"> (chance), </w:t>
      </w:r>
      <w:r>
        <w:rPr>
          <w:rFonts w:ascii="Courier New" w:cs="Courier New" w:eastAsia="Courier New" w:hAnsi="Courier New"/>
          <w:shd w:fill="F1F5F9" w:color="auto" w:val="clear"/>
        </w:rPr>
        <w:t xml:space="preserve">Tool T</w:t>
      </w:r>
      <w:r>
        <w:t xml:space="preserve"> (decision), </w:t>
      </w:r>
      <w:r>
        <w:rPr>
          <w:rFonts w:ascii="Courier New" w:cs="Courier New" w:eastAsia="Courier New" w:hAnsi="Courier New"/>
          <w:shd w:fill="F1F5F9" w:color="auto" w:val="clear"/>
        </w:rPr>
        <w:t xml:space="preserve">Obs O_1, O_2</w:t>
      </w:r>
      <w:r>
        <w:t xml:space="preserve"> (chance), </w:t>
      </w:r>
      <w:r>
        <w:rPr>
          <w:rFonts w:ascii="Courier New" w:cs="Courier New" w:eastAsia="Courier New" w:hAnsi="Courier New"/>
          <w:shd w:fill="F1F5F9" w:color="auto" w:val="clear"/>
        </w:rPr>
        <w:t xml:space="preserve">Decision D</w:t>
      </w:r>
      <w:r>
        <w:t xml:space="preserve"> (decision), </w:t>
      </w:r>
      <w:r>
        <w:rPr>
          <w:rFonts w:ascii="Courier New" w:cs="Courier New" w:eastAsia="Courier New" w:hAnsi="Courier New"/>
          <w:shd w:fill="F1F5F9" w:color="auto" w:val="clear"/>
        </w:rPr>
        <w:t xml:space="preserve">Utility U</w:t>
      </w:r>
      <w:r>
        <w:t xml:space="preserve"> (utility)</w:t>
      </w:r>
    </w:p>
    <w:p>
      <w:pPr>
        <w:pStyle w:val="ListParagraph"/>
        <w:numPr>
          <w:ilvl w:val="0"/>
          <w:numId w:val="2"/>
        </w:numPr>
        <w:spacing w:after="100"/>
        <w:ind w:start="240"/>
        <w:jc w:val="left"/>
      </w:pPr>
      <w:r>
        <w:t xml:space="preserve">Edges showing causal dependencies</w:t>
      </w:r>
    </w:p>
    <w:p>
      <w:pPr>
        <w:pStyle w:val="ListParagraph"/>
        <w:numPr>
          <w:ilvl w:val="0"/>
          <w:numId w:val="2"/>
        </w:numPr>
        <w:spacing w:after="100"/>
        <w:ind w:start="240"/>
        <w:jc w:val="left"/>
      </w:pPr>
      <w:r>
        <w:t xml:space="preserve">Legend: rectangles = decisions, ellipses = chance, diamonds = utility</w:t>
      </w:r>
    </w:p>
    <w:p>
      <w:pPr>
        <w:spacing w:after="200"/>
      </w:pPr>
      <w:r>
        <w:t xml:space="preserve"> </w:t>
      </w:r>
    </w:p>
    <w:p>
      <w:pPr>
        <w:spacing w:after="120"/>
        <w:jc w:val="left"/>
      </w:pPr>
      <w:r>
        <w:rPr>
          <w:b/>
          <w:bCs/>
        </w:rPr>
        <w:t xml:space="preserve">Panel B — Adversarial do-Intervention</w:t>
      </w:r>
    </w:p>
    <w:p>
      <w:pPr>
        <w:pStyle w:val="ListParagraph"/>
        <w:numPr>
          <w:ilvl w:val="0"/>
          <w:numId w:val="2"/>
        </w:numPr>
        <w:spacing w:after="100"/>
        <w:ind w:start="240"/>
        <w:jc w:val="left"/>
      </w:pPr>
      <w:r>
        <w:t xml:space="preserve">Red dashed arrow: </w:t>
      </w:r>
      <w:r>
        <w:rPr>
          <w:rFonts w:ascii="Courier New" w:cs="Courier New" w:eastAsia="Courier New" w:hAnsi="Courier New"/>
          <w:shd w:fill="F1F5F9" w:color="auto" w:val="clear"/>
        </w:rPr>
        <w:t xml:space="preserve">do(M ← M*)</w:t>
      </w:r>
      <w:r>
        <w:t xml:space="preserve"> — poisoned memory</w:t>
      </w:r>
    </w:p>
    <w:p>
      <w:pPr>
        <w:pStyle w:val="ListParagraph"/>
        <w:numPr>
          <w:ilvl w:val="0"/>
          <w:numId w:val="2"/>
        </w:numPr>
        <w:spacing w:after="100"/>
        <w:ind w:start="240"/>
        <w:jc w:val="left"/>
      </w:pPr>
      <w:r>
        <w:t xml:space="preserve">Downstream shift on </w:t>
      </w:r>
      <w:r>
        <w:rPr>
          <w:rFonts w:ascii="Courier New" w:cs="Courier New" w:eastAsia="Courier New" w:hAnsi="Courier New"/>
          <w:shd w:fill="F1F5F9" w:color="auto" w:val="clear"/>
        </w:rPr>
        <w:t xml:space="preserve">D</w:t>
      </w:r>
      <w:r>
        <w:t xml:space="preserve"> propagates</w:t>
      </w:r>
    </w:p>
    <w:p>
      <w:pPr>
        <w:pStyle w:val="ListParagraph"/>
        <w:numPr>
          <w:ilvl w:val="0"/>
          <w:numId w:val="2"/>
        </w:numPr>
        <w:spacing w:after="100"/>
        <w:ind w:start="240"/>
        <w:jc w:val="left"/>
      </w:pPr>
      <w:r>
        <w:t xml:space="preserve">Annotation: "intervention on causal parent"</w:t>
      </w:r>
    </w:p>
    <w:p>
      <w:pPr>
        <w:spacing w:after="200"/>
      </w:pPr>
      <w:r>
        <w:t xml:space="preserve"> </w:t>
      </w:r>
    </w:p>
    <w:p>
      <w:pPr>
        <w:spacing w:after="120"/>
        <w:jc w:val="left"/>
      </w:pPr>
      <w:r>
        <w:rPr>
          <w:b/>
          <w:bCs/>
        </w:rPr>
        <w:t xml:space="preserve">Panel C — BDIC Pipeline</w:t>
      </w:r>
    </w:p>
    <w:p>
      <w:pPr>
        <w:pStyle w:val="ListParagraph"/>
        <w:numPr>
          <w:ilvl w:val="0"/>
          <w:numId w:val="2"/>
        </w:numPr>
        <w:spacing w:after="100"/>
        <w:ind w:start="240"/>
        <w:jc w:val="left"/>
      </w:pPr>
      <w:r>
        <w:t xml:space="preserve">Left → right: trajectory </w:t>
      </w:r>
      <m:oMath>
        <m:sSub>
          <m:sSubPr>
            <m:ctrlPr/>
          </m:sSubPr>
          <m:e>
            <m:r>
              <m:t xml:space="preserve">x</m:t>
            </m:r>
          </m:e>
          <m:sub>
            <m:r>
              <m:t xml:space="preserve">t</m:t>
            </m:r>
          </m:sub>
        </m:sSub>
      </m:oMath>
      <w:r>
        <w:t xml:space="preserve"> → CID extraction → precedent retrieval → influence score </w:t>
      </w:r>
      <m:oMath>
        <m:sSub>
          <m:sSubPr>
            <m:ctrlPr/>
          </m:sSubPr>
          <m:e>
            <m:r>
              <m:t xml:space="preserve">s</m:t>
            </m:r>
          </m:e>
          <m:sub>
            <m:r>
              <m:t xml:space="preserve">i</m:t>
            </m:r>
          </m:sub>
        </m:sSub>
      </m:oMath>
      <w:r>
        <w:t xml:space="preserve"> → </w:t>
      </w:r>
      <m:oMath>
        <m:r>
          <m:t xml:space="preserve">ε</m:t>
        </m:r>
      </m:oMath>
      <w:r>
        <w:t xml:space="preserve">-bounded clipping with </w:t>
      </w:r>
      <m:oMath>
        <m:sSub>
          <m:sSubPr>
            <m:ctrlPr/>
          </m:sSubPr>
          <m:e>
            <m:r>
              <m:t xml:space="preserve">L</m:t>
            </m:r>
          </m:e>
          <m:sub>
            <m:r>
              <m:t xml:space="preserve">i</m:t>
            </m:r>
          </m:sub>
        </m:sSub>
      </m:oMath>
      <w:r>
        <w:t xml:space="preserve"> monotone constraint → frozen guard → ALLOW/BLOCK</w:t>
      </w:r>
    </w:p>
    <w:p>
      <w:pPr>
        <w:pStyle w:val="ListParagraph"/>
        <w:numPr>
          <w:ilvl w:val="0"/>
          <w:numId w:val="2"/>
        </w:numPr>
        <w:spacing w:after="100"/>
        <w:ind w:start="240"/>
        <w:jc w:val="left"/>
      </w:pPr>
      <w:r>
        <w:t xml:space="preserve">Theorem 1 annotation: </w:t>
      </w:r>
      <m:oMath>
        <m:r>
          <w:rPr/>
          <m:rPr>
            <m:nor/>
            <m:sty m:val="undefined"/>
          </m:rPr>
          <m:t xml:space="preserve">∣Δ</m:t>
        </m:r>
        <m:r>
          <m:t xml:space="preserve">z−</m:t>
        </m:r>
        <m:r>
          <w:rPr/>
          <m:rPr>
            <m:nor/>
            <m:sty m:val="undefined"/>
          </m:rPr>
          <m:t xml:space="preserve">Δ</m:t>
        </m:r>
        <m:sSup>
          <m:sSupPr>
            <m:ctrlPr/>
          </m:sSupPr>
          <m:e>
            <m:r>
              <m:t xml:space="preserve">z</m:t>
            </m:r>
          </m:e>
          <m:sup>
            <m:r>
              <m:t xml:space="preserve">∗</m:t>
            </m:r>
          </m:sup>
        </m:sSup>
        <m:r>
          <w:rPr/>
          <m:rPr>
            <m:nor/>
            <m:sty m:val="undefined"/>
          </m:rPr>
          <m:t xml:space="preserve">∣</m:t>
        </m:r>
        <m:r>
          <m:t xml:space="preserve">≤εKD</m:t>
        </m:r>
      </m:oMath>
    </w:p>
    <w:p>
      <w:pPr>
        <w:pStyle w:val="ListParagraph"/>
        <w:numPr>
          <w:ilvl w:val="0"/>
          <w:numId w:val="2"/>
        </w:numPr>
        <w:spacing w:after="100"/>
        <w:ind w:start="240"/>
        <w:jc w:val="left"/>
      </w:pPr>
      <w:r>
        <w:t xml:space="preserve">Theorem 2 annotation: </w:t>
      </w:r>
      <m:oMath>
        <m:r>
          <w:rPr/>
          <m:rPr>
            <m:nor/>
            <m:sty m:val="undefined"/>
          </m:rPr>
          <m:t xml:space="preserve">∄Π</m:t>
        </m:r>
      </m:oMath>
      <w:r>
        <w:t xml:space="preserve"> without </w:t>
      </w:r>
      <m:oMath>
        <m:sSub>
          <m:sSubPr>
            <m:ctrlPr/>
          </m:sSubPr>
          <m:e>
            <m:r>
              <m:t xml:space="preserve">L</m:t>
            </m:r>
          </m:e>
          <m:sub>
            <m:r>
              <m:t xml:space="preserve">i</m:t>
            </m:r>
          </m:sub>
        </m:sSub>
      </m:oMath>
    </w:p>
    <w:p>
      <w:pPr>
        <w:spacing w:after="200"/>
      </w:pPr>
      <w:r>
        <w:t xml:space="preserve"> </w:t>
      </w:r>
    </w:p>
    <w:p>
      <w:pPr>
        <w:pStyle w:val="Heading3"/>
        <w:spacing w:after="200"/>
        <w:jc w:val="left"/>
      </w:pPr>
      <w:r>
        <w:t xml:space="preserve">11.2 Figure 2 (Theorem 1 tightness)</w:t>
      </w:r>
    </w:p>
    <w:p>
      <w:pPr>
        <w:spacing w:after="120"/>
        <w:jc w:val="left"/>
      </w:pPr>
      <w:r>
        <w:t xml:space="preserve">X-axis: poisoning rate </w:t>
      </w:r>
      <m:oMath>
        <m:r>
          <m:t xml:space="preserve">p</m:t>
        </m:r>
      </m:oMath>
      <w:r>
        <w:br/>
      </w:r>
      <w:r>
        <w:t xml:space="preserve">Y-axis: FNR / FPR</w:t>
      </w:r>
      <w:r>
        <w:br/>
      </w:r>
      <w:r>
        <w:t xml:space="preserve">Curves:</w:t>
      </w:r>
    </w:p>
    <w:p>
      <w:pPr>
        <w:pStyle w:val="ListParagraph"/>
        <w:numPr>
          <w:ilvl w:val="0"/>
          <w:numId w:val="2"/>
        </w:numPr>
        <w:spacing w:after="100"/>
        <w:ind w:start="240"/>
        <w:jc w:val="left"/>
      </w:pPr>
      <w:r>
        <w:t xml:space="preserve">Vanilla RAG (no bound) — sharp rise after </w:t>
      </w:r>
      <m:oMath>
        <m:sSup>
          <m:sSupPr>
            <m:ctrlPr/>
          </m:sSupPr>
          <m:e>
            <m:r>
              <m:t xml:space="preserve">p</m:t>
            </m:r>
          </m:e>
          <m:sup>
            <m:r>
              <m:t xml:space="preserve">∗</m:t>
            </m:r>
          </m:sup>
        </m:sSup>
        <m:r>
          <m:t xml:space="preserve">=0</m:t>
        </m:r>
      </m:oMath>
    </w:p>
    <w:p>
      <w:pPr>
        <w:pStyle w:val="ListParagraph"/>
        <w:numPr>
          <w:ilvl w:val="0"/>
          <w:numId w:val="2"/>
        </w:numPr>
        <w:spacing w:after="100"/>
        <w:ind w:start="240"/>
        <w:jc w:val="left"/>
      </w:pPr>
      <w:r>
        <w:t xml:space="preserve">BDIC (Theorem 1) — flat plateau until </w:t>
      </w:r>
      <m:oMath>
        <m:sSup>
          <m:sSupPr>
            <m:ctrlPr/>
          </m:sSupPr>
          <m:e>
            <m:r>
              <m:t xml:space="preserve">p</m:t>
            </m:r>
          </m:e>
          <m:sup>
            <m:r>
              <m:t xml:space="preserve">∗</m:t>
            </m:r>
          </m:sup>
        </m:sSup>
      </m:oMath>
      <w:r>
        <w:t xml:space="preserve">, then graceful degradation</w:t>
      </w:r>
    </w:p>
    <w:p>
      <w:pPr>
        <w:pStyle w:val="ListParagraph"/>
        <w:numPr>
          <w:ilvl w:val="0"/>
          <w:numId w:val="2"/>
        </w:numPr>
        <w:spacing w:after="100"/>
        <w:ind w:start="240"/>
        <w:jc w:val="left"/>
      </w:pPr>
      <w:r>
        <w:t xml:space="preserve">Annotation: predicted </w:t>
      </w:r>
      <m:oMath>
        <m:sSup>
          <m:sSupPr>
            <m:ctrlPr/>
          </m:sSupPr>
          <m:e>
            <m:r>
              <m:t xml:space="preserve">p</m:t>
            </m:r>
          </m:e>
          <m:sup>
            <m:r>
              <m:t xml:space="preserve">∗</m:t>
            </m:r>
          </m:sup>
        </m:sSup>
        <m:r>
          <m:t xml:space="preserve">=ε</m:t>
        </m:r>
        <m:r>
          <w:rPr/>
          <m:rPr>
            <m:nor/>
            <m:sty m:val="undefined"/>
          </m:rPr>
          <m:t xml:space="preserve">/</m:t>
        </m:r>
        <m:r>
          <m:t xml:space="preserve">(K⋅D)</m:t>
        </m:r>
      </m:oMath>
    </w:p>
    <w:p>
      <w:pPr>
        <w:spacing w:after="200"/>
      </w:pPr>
      <w:r>
        <w:t xml:space="preserve"> </w:t>
      </w:r>
    </w:p>
    <w:p>
      <w:pPr>
        <w:pStyle w:val="Heading3"/>
        <w:spacing w:after="200"/>
        <w:jc w:val="left"/>
      </w:pPr>
      <w:r>
        <w:t xml:space="preserve">11.3 Tooling</w:t>
      </w:r>
    </w:p>
    <w:p>
      <w:pPr>
        <w:pStyle w:val="ListParagraph"/>
        <w:numPr>
          <w:ilvl w:val="0"/>
          <w:numId w:val="2"/>
        </w:numPr>
        <w:spacing w:after="100"/>
        <w:ind w:start="240"/>
        <w:jc w:val="left"/>
      </w:pPr>
      <w:r>
        <w:rPr>
          <w:b/>
          <w:bCs/>
        </w:rPr>
        <w:t xml:space="preserve">TikZ + amsmath + algorithm2e</w:t>
      </w:r>
      <w:r>
        <w:t xml:space="preserve"> (LaTeX-native)</w:t>
      </w:r>
    </w:p>
    <w:p>
      <w:pPr>
        <w:pStyle w:val="ListParagraph"/>
        <w:numPr>
          <w:ilvl w:val="0"/>
          <w:numId w:val="2"/>
        </w:numPr>
        <w:spacing w:after="100"/>
        <w:ind w:start="240"/>
        <w:jc w:val="left"/>
      </w:pPr>
      <w:r>
        <w:rPr>
          <w:b/>
          <w:bCs/>
        </w:rPr>
        <w:t xml:space="preserve">causal-graph.sty</w:t>
      </w:r>
      <w:r>
        <w:t xml:space="preserve"> or custom TikZ styles for CID node types</w:t>
      </w:r>
    </w:p>
    <w:p>
      <w:pPr>
        <w:pStyle w:val="ListParagraph"/>
        <w:numPr>
          <w:ilvl w:val="0"/>
          <w:numId w:val="2"/>
        </w:numPr>
        <w:spacing w:after="100"/>
        <w:ind w:start="240"/>
        <w:jc w:val="left"/>
      </w:pPr>
      <w:r>
        <w:rPr>
          <w:b/>
          <w:bCs/>
        </w:rPr>
        <w:t xml:space="preserve">matplotlib + IEEEtran palette</w:t>
      </w:r>
      <w:r>
        <w:t xml:space="preserve"> for Theorem-1 curve</w:t>
      </w:r>
    </w:p>
    <w:p>
      <w:pPr>
        <w:pStyle w:val="ListParagraph"/>
        <w:numPr>
          <w:ilvl w:val="0"/>
          <w:numId w:val="2"/>
        </w:numPr>
        <w:spacing w:after="100"/>
        <w:ind w:start="240"/>
        <w:jc w:val="left"/>
      </w:pPr>
      <w:r>
        <w:rPr>
          <w:b/>
          <w:bCs/>
        </w:rPr>
        <w:t xml:space="preserve">No PowerPoint screenshots</w:t>
      </w:r>
      <w:r>
        <w:t xml:space="preserve"> under any circumstances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12. Next Steps</w:t>
      </w:r>
    </w:p>
    <w:p>
      <w:pPr>
        <w:pStyle w:val="Heading3"/>
        <w:spacing w:after="200"/>
        <w:jc w:val="left"/>
      </w:pPr>
      <w:r>
        <w:t xml:space="preserve">12.1 Immediate (next 24-48 hours)</w:t>
      </w:r>
    </w:p>
    <w:p>
      <w:pPr>
        <w:spacing w:after="100"/>
        <w:ind w:start="20"/>
        <w:jc w:val="left"/>
      </w:pPr>
      <w:r>
        <w:t xml:space="preserve">1. </w:t>
      </w:r>
      <w:r>
        <w:t xml:space="preserve">Choose between (a) / (b) / (c) for kicking off the Theorem 2 attempt</w:t>
      </w:r>
    </w:p>
    <w:p>
      <w:pPr>
        <w:spacing w:after="100"/>
        <w:ind w:start="20"/>
        <w:jc w:val="left"/>
      </w:pPr>
      <w:r>
        <w:t xml:space="preserve">2. </w:t>
      </w:r>
      <w:r>
        <w:t xml:space="preserve">Begin Day 1-2 of the Theorem 2 timeline (threat model formalization)</w:t>
      </w:r>
    </w:p>
    <w:p>
      <w:pPr>
        <w:spacing w:after="100"/>
        <w:ind w:start="20"/>
        <w:jc w:val="left"/>
      </w:pPr>
      <w:r>
        <w:t xml:space="preserve">3. </w:t>
      </w:r>
      <w:r>
        <w:t xml:space="preserve">Write Step 2.5 elevator pitch (≤ 150 words, in own words)</w:t>
      </w:r>
    </w:p>
    <w:p>
      <w:pPr>
        <w:spacing w:after="200"/>
      </w:pPr>
      <w:r>
        <w:t xml:space="preserve"> </w:t>
      </w:r>
    </w:p>
    <w:p>
      <w:pPr>
        <w:pStyle w:val="Heading3"/>
        <w:spacing w:after="200"/>
        <w:jc w:val="left"/>
      </w:pPr>
      <w:r>
        <w:t xml:space="preserve">12.2 Week 1 Outputs</w:t>
      </w:r>
    </w:p>
    <w:p>
      <w:pPr>
        <w:pStyle w:val="ListParagraph"/>
        <w:numPr>
          <w:ilvl w:val="0"/>
          <w:numId w:val="2"/>
        </w:numPr>
        <w:spacing w:after="100"/>
        <w:ind w:start="240"/>
        <w:jc w:val="left"/>
      </w:pPr>
      <w:r>
        <w:t xml:space="preserve">Threat model formalization document</w:t>
      </w:r>
    </w:p>
    <w:p>
      <w:pPr>
        <w:pStyle w:val="ListParagraph"/>
        <w:numPr>
          <w:ilvl w:val="0"/>
          <w:numId w:val="2"/>
        </w:numPr>
        <w:spacing w:after="100"/>
        <w:ind w:start="240"/>
        <w:jc w:val="left"/>
      </w:pPr>
      <w:r>
        <w:t xml:space="preserve">Initial </w:t>
      </w:r>
      <m:oMath>
        <m:sSub>
          <m:sSubPr>
            <m:ctrlPr/>
          </m:sSubPr>
          <m:e>
            <m:r>
              <m:t xml:space="preserve">ν</m:t>
            </m:r>
          </m:e>
          <m:sub>
            <m:r>
              <m:t xml:space="preserve">1</m:t>
            </m:r>
          </m:sub>
        </m:sSub>
        <m:r>
          <m:t xml:space="preserve">,</m:t>
        </m:r>
        <m:sSub>
          <m:sSubPr>
            <m:ctrlPr/>
          </m:sSubPr>
          <m:e>
            <m:r>
              <m:t xml:space="preserve">ν</m:t>
            </m:r>
          </m:e>
          <m:sub>
            <m:r>
              <m:t xml:space="preserve">2</m:t>
            </m:r>
          </m:sub>
        </m:sSub>
      </m:oMath>
      <w:r>
        <w:t xml:space="preserve"> construction</w:t>
      </w:r>
    </w:p>
    <w:p>
      <w:pPr>
        <w:pStyle w:val="ListParagraph"/>
        <w:numPr>
          <w:ilvl w:val="0"/>
          <w:numId w:val="2"/>
        </w:numPr>
        <w:spacing w:after="100"/>
        <w:ind w:start="240"/>
        <w:jc w:val="left"/>
      </w:pPr>
      <w:r>
        <w:t xml:space="preserve">Decision Gate 1 (Day 7)</w:t>
      </w:r>
    </w:p>
    <w:p>
      <w:pPr>
        <w:spacing w:after="200"/>
      </w:pPr>
      <w:r>
        <w:t xml:space="preserve"> </w:t>
      </w:r>
    </w:p>
    <w:p>
      <w:pPr>
        <w:pStyle w:val="Heading3"/>
        <w:spacing w:after="200"/>
        <w:jc w:val="left"/>
      </w:pPr>
      <w:r>
        <w:t xml:space="preserve">12.3 Week 2 Outputs</w:t>
      </w:r>
    </w:p>
    <w:p>
      <w:pPr>
        <w:pStyle w:val="ListParagraph"/>
        <w:numPr>
          <w:ilvl w:val="0"/>
          <w:numId w:val="2"/>
        </w:numPr>
        <w:spacing w:after="100"/>
        <w:ind w:start="240"/>
        <w:jc w:val="left"/>
      </w:pPr>
      <w:r>
        <w:t xml:space="preserve">Full Theorem 2 LaTeX proof OR pivot to Plan B</w:t>
      </w:r>
    </w:p>
    <w:p>
      <w:pPr>
        <w:pStyle w:val="ListParagraph"/>
        <w:numPr>
          <w:ilvl w:val="0"/>
          <w:numId w:val="2"/>
        </w:numPr>
        <w:spacing w:after="100"/>
        <w:ind w:start="240"/>
        <w:jc w:val="left"/>
      </w:pPr>
      <w:r>
        <w:t xml:space="preserve">Decision Gate 2 (Day 14)</w:t>
      </w:r>
    </w:p>
    <w:p>
      <w:pPr>
        <w:spacing w:after="200"/>
      </w:pPr>
      <w:r>
        <w:t xml:space="preserve"> </w:t>
      </w:r>
    </w:p>
    <w:p>
      <w:pPr>
        <w:pStyle w:val="Heading3"/>
        <w:spacing w:after="200"/>
        <w:jc w:val="left"/>
      </w:pPr>
      <w:r>
        <w:t xml:space="preserve">12.4 Open Questions (to revisit)</w:t>
      </w:r>
    </w:p>
    <w:p>
      <w:pPr>
        <w:pStyle w:val="ListParagraph"/>
        <w:numPr>
          <w:ilvl w:val="0"/>
          <w:numId w:val="2"/>
        </w:numPr>
        <w:spacing w:after="100"/>
        <w:ind w:start="240"/>
        <w:jc w:val="left"/>
      </w:pPr>
      <w:r>
        <w:t xml:space="preserve">Does PathRAG's structure invalidate any part of G2?</w:t>
      </w:r>
    </w:p>
    <w:p>
      <w:pPr>
        <w:pStyle w:val="ListParagraph"/>
        <w:numPr>
          <w:ilvl w:val="0"/>
          <w:numId w:val="2"/>
        </w:numPr>
        <w:spacing w:before="240" w:after="100"/>
        <w:ind w:start="240"/>
        <w:jc w:val="left"/>
      </w:pPr>
      <w:r>
        <w:t xml:space="preserve">Should the impossibility apply only to </w:t>
      </w:r>
      <w:r>
        <w:drawing>
          <wp:inline distT="0" distB="0" distL="0" distR="0">
            <wp:extent cx="638175" cy="190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8175" cy="190500"/>
                    </a:xfrm>
                    <a:prstGeom prst="rect">
                      <a:avLst/>
                    </a:prstGeom>
                  </pic:spPr>
                </pic:pic>
              </a:graphicData>
            </a:graphic>
          </wp:inline>
        </w:drawing>
      </w:r>
      <w:r>
        <w:t xml:space="preserve"> or to weaker </w:t>
      </w:r>
      <m:oMath>
        <m:r>
          <m:t xml:space="preserve">δ</m:t>
        </m:r>
      </m:oMath>
      <w:r>
        <w:t xml:space="preserve">?</w:t>
      </w:r>
    </w:p>
    <w:p>
      <w:pPr>
        <w:pStyle w:val="ListParagraph"/>
        <w:numPr>
          <w:ilvl w:val="0"/>
          <w:numId w:val="2"/>
        </w:numPr>
        <w:spacing w:after="100"/>
        <w:ind w:start="240"/>
        <w:jc w:val="left"/>
      </w:pPr>
      <w:r>
        <w:t xml:space="preserve">Is the adversarial construction in §7.2 reproducible on the existing PrecedentGuard codebase?</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13. References (Full Bibliography)</w:t>
      </w:r>
    </w:p>
    <w:p>
      <w:pPr>
        <w:pStyle w:val="Heading3"/>
        <w:spacing w:after="200"/>
        <w:jc w:val="left"/>
      </w:pPr>
      <w:r>
        <w:t xml:space="preserve">13.1 Causal Reasoning for Agents (L5 — Theoretical Lineage)</w:t>
      </w:r>
    </w:p>
    <w:p>
      <w:pPr>
        <w:spacing w:after="120"/>
        <w:jc w:val="left"/>
      </w:pPr>
      <w:r>
        <w:t xml:space="preserve">[1] Everitt, T.; Hutter, M.; Kumar, R.; and Krakovna, V. 2021. Reward Tampering Problems and Solutions in Reinforcement Learning: A Causal Influence Diagram Perspective. </w:t>
      </w:r>
      <w:r>
        <w:rPr>
          <w:i/>
          <w:iCs/>
        </w:rPr>
        <w:t xml:space="preserve">Synthese</w:t>
      </w:r>
      <w:r>
        <w:t xml:space="preserve">, 198(Suppl 27): 6435-6467.</w:t>
      </w:r>
    </w:p>
    <w:p>
      <w:pPr>
        <w:spacing w:after="200"/>
      </w:pPr>
      <w:r>
        <w:t xml:space="preserve"> </w:t>
      </w:r>
    </w:p>
    <w:p>
      <w:pPr>
        <w:spacing w:after="120"/>
        <w:jc w:val="left"/>
      </w:pPr>
      <w:r>
        <w:t xml:space="preserve">[2] Richens, J.; and Everitt, T. 2024. Robust Agents Learn Causal World Models. In </w:t>
      </w:r>
      <w:r>
        <w:rPr>
          <w:i/>
          <w:iCs/>
        </w:rPr>
        <w:t xml:space="preserve">International Conference on Learning Representations (ICLR 2024)</w:t>
      </w:r>
      <w:r>
        <w:t xml:space="preserve">.</w:t>
      </w:r>
    </w:p>
    <w:p>
      <w:pPr>
        <w:spacing w:after="200"/>
      </w:pPr>
      <w:r>
        <w:t xml:space="preserve"> </w:t>
      </w:r>
    </w:p>
    <w:p>
      <w:pPr>
        <w:spacing w:after="120"/>
        <w:jc w:val="left"/>
      </w:pPr>
      <w:r>
        <w:t xml:space="preserve">[3] Pearl, J. 2009. </w:t>
      </w:r>
      <w:r>
        <w:rPr>
          <w:i/>
          <w:iCs/>
        </w:rPr>
        <w:t xml:space="preserve">Causality: Models, Reasoning and Inference</w:t>
      </w:r>
      <w:r>
        <w:t xml:space="preserve">. 2nd ed. Cambridge University Press.</w:t>
      </w:r>
    </w:p>
    <w:p>
      <w:pPr>
        <w:spacing w:after="200"/>
      </w:pPr>
      <w:r>
        <w:t xml:space="preserve"> </w:t>
      </w:r>
    </w:p>
    <w:p>
      <w:pPr>
        <w:spacing w:after="120"/>
        <w:jc w:val="left"/>
      </w:pPr>
      <w:r>
        <w:t xml:space="preserve">[4] Pearl, J.; and Mackenzie, D. 2018. </w:t>
      </w:r>
      <w:r>
        <w:rPr>
          <w:i/>
          <w:iCs/>
        </w:rPr>
        <w:t xml:space="preserve">The Book of Why: The New Science of Cause and Effect</w:t>
      </w:r>
      <w:r>
        <w:t xml:space="preserve">. Basic Books.</w:t>
      </w:r>
    </w:p>
    <w:p>
      <w:pPr>
        <w:spacing w:after="200"/>
      </w:pPr>
      <w:r>
        <w:t xml:space="preserve"> </w:t>
      </w:r>
    </w:p>
    <w:p>
      <w:pPr>
        <w:spacing w:after="120"/>
        <w:jc w:val="left"/>
      </w:pPr>
      <w:r>
        <w:t xml:space="preserve">[5] Peters, J.; Janzing, D.; and Schölkopf, B. 2017. </w:t>
      </w:r>
      <w:r>
        <w:rPr>
          <w:i/>
          <w:iCs/>
        </w:rPr>
        <w:t xml:space="preserve">Elements of Causal Inference: Foundations and Learning Algorithms</w:t>
      </w:r>
      <w:r>
        <w:t xml:space="preserve">. MIT Press.</w:t>
      </w:r>
    </w:p>
    <w:p>
      <w:pPr>
        <w:spacing w:after="200"/>
      </w:pPr>
      <w:r>
        <w:t xml:space="preserve"> </w:t>
      </w:r>
    </w:p>
    <w:p>
      <w:pPr>
        <w:spacing w:after="120"/>
        <w:jc w:val="left"/>
      </w:pPr>
      <w:r>
        <w:t xml:space="preserve">[6] </w:t>
      </w:r>
      <w:r>
        <w:rPr>
          <w:b/>
          <w:bCs/>
        </w:rPr>
        <w:t xml:space="preserve">Causal Influence Prompting (CIP).</w:t>
      </w:r>
      <w:r>
        <w:t xml:space="preserve"> 2025. </w:t>
      </w:r>
      <w:r>
        <w:rPr>
          <w:i/>
          <w:iCs/>
        </w:rPr>
        <w:t xml:space="preserve">Enhancing LLM Agent Safety via Causal Influence Prompting</w:t>
      </w:r>
      <w:r>
        <w:t xml:space="preserve">. arXiv:2507.00979. [Direct prior; head-on critique target]</w:t>
      </w:r>
    </w:p>
    <w:p>
      <w:pPr>
        <w:spacing w:after="200"/>
      </w:pPr>
      <w:r>
        <w:t xml:space="preserve"> </w:t>
      </w:r>
    </w:p>
    <w:p>
      <w:pPr>
        <w:pStyle w:val="Heading3"/>
        <w:spacing w:after="200"/>
        <w:jc w:val="left"/>
      </w:pPr>
      <w:r>
        <w:t xml:space="preserve">13.2 Static Guard Backbones (L1 — Background)</w:t>
      </w:r>
    </w:p>
    <w:p>
      <w:pPr>
        <w:spacing w:after="120"/>
        <w:jc w:val="left"/>
      </w:pPr>
      <w:r>
        <w:t xml:space="preserve">[7] Inan, H.; Upasani, K.; Chi, J.; et al. 2024. Llama Guard: LLM-Based Input-Output Safeguard for Human-AI Conversations. Meta technical report. arXiv:2312.06674. </w:t>
      </w:r>
      <w:r>
        <w:rPr>
          <w:i/>
          <w:iCs/>
        </w:rPr>
        <w:t xml:space="preserve">(Also LLaMA-Guard 3/4 series.)</w:t>
      </w:r>
    </w:p>
    <w:p>
      <w:pPr>
        <w:spacing w:after="200"/>
      </w:pPr>
      <w:r>
        <w:t xml:space="preserve"> </w:t>
      </w:r>
    </w:p>
    <w:p>
      <w:pPr>
        <w:spacing w:after="120"/>
        <w:jc w:val="left"/>
      </w:pPr>
      <w:r>
        <w:t xml:space="preserve">[8] Zeng, W.; Liu, Y.; Mullins, R.; et al. 2024. ShieldGemma: Generative AI Content Moderation Based on Gemma. Google DeepMind Technical Report. arXiv:2407.21772.</w:t>
      </w:r>
    </w:p>
    <w:p>
      <w:pPr>
        <w:spacing w:after="200"/>
      </w:pPr>
      <w:r>
        <w:t xml:space="preserve"> </w:t>
      </w:r>
    </w:p>
    <w:p>
      <w:pPr>
        <w:spacing w:after="120"/>
        <w:jc w:val="left"/>
      </w:pPr>
      <w:r>
        <w:t xml:space="preserve">[9] Padhi, I.; Nagireddy, M.; Cornacchia, G.; et al. 2024. Granite Guardian. IBM Research Technical Report. arXiv:2412.07724.</w:t>
      </w:r>
    </w:p>
    <w:p>
      <w:pPr>
        <w:spacing w:after="200"/>
      </w:pPr>
      <w:r>
        <w:t xml:space="preserve"> </w:t>
      </w:r>
    </w:p>
    <w:p>
      <w:pPr>
        <w:spacing w:after="120"/>
        <w:jc w:val="left"/>
      </w:pPr>
      <w:r>
        <w:t xml:space="preserve">[10] Han, S.; Rao, K.; Ettinger, A.; et al. 2024. WildGuard: Open One-Stop Moderation Tools for Safety Risks, Jailbreaks, and Refusals of LLMs. In </w:t>
      </w:r>
      <w:r>
        <w:rPr>
          <w:i/>
          <w:iCs/>
        </w:rPr>
        <w:t xml:space="preserve">NeurIPS 2024 Datasets and Benchmarks Track</w:t>
      </w:r>
      <w:r>
        <w:t xml:space="preserve">. arXiv:2406.18495.</w:t>
      </w:r>
    </w:p>
    <w:p>
      <w:pPr>
        <w:spacing w:after="200"/>
      </w:pPr>
      <w:r>
        <w:t xml:space="preserve"> </w:t>
      </w:r>
    </w:p>
    <w:p>
      <w:pPr>
        <w:spacing w:after="120"/>
        <w:jc w:val="left"/>
      </w:pPr>
      <w:r>
        <w:t xml:space="preserve">[11] Liu, Y.; Jia, Y.; Jia, J.; and Gong, N. 2025. DataSentinel: A Game-Theoretic Detection of Prompt Injection Attacks. In </w:t>
      </w:r>
      <w:r>
        <w:rPr>
          <w:i/>
          <w:iCs/>
        </w:rPr>
        <w:t xml:space="preserve">IEEE Symposium on Security and Privacy</w:t>
      </w:r>
      <w:r>
        <w:t xml:space="preserve">. arXiv:2504.11358.</w:t>
      </w:r>
    </w:p>
    <w:p>
      <w:pPr>
        <w:spacing w:after="200"/>
      </w:pPr>
      <w:r>
        <w:t xml:space="preserve"> </w:t>
      </w:r>
    </w:p>
    <w:p>
      <w:pPr>
        <w:pStyle w:val="Heading3"/>
        <w:spacing w:after="200"/>
        <w:jc w:val="left"/>
      </w:pPr>
      <w:r>
        <w:t xml:space="preserve">13.3 Trajectory-Aware Guards (L2 — Primary Competitors)</w:t>
      </w:r>
    </w:p>
    <w:p>
      <w:pPr>
        <w:spacing w:after="120"/>
        <w:jc w:val="left"/>
      </w:pPr>
      <w:r>
        <w:t xml:space="preserve">[12] </w:t>
      </w:r>
      <w:r>
        <w:rPr>
          <w:b/>
          <w:bCs/>
        </w:rPr>
        <w:t xml:space="preserve">TRACES.</w:t>
      </w:r>
      <w:r>
        <w:t xml:space="preserve"> 2026. </w:t>
      </w:r>
      <w:r>
        <w:rPr>
          <w:i/>
          <w:iCs/>
        </w:rPr>
        <w:t xml:space="preserve">Proactive Safety Auditing for Multi-Turn LLM Agents via Trajectory-State Modeling</w:t>
      </w:r>
      <w:r>
        <w:t xml:space="preserve">. </w:t>
      </w:r>
      <w:r>
        <w:rPr>
          <w:i/>
          <w:iCs/>
        </w:rPr>
        <w:t xml:space="preserve">(Reference in PrecedentGuard_reference directory.)</w:t>
      </w:r>
    </w:p>
    <w:p>
      <w:pPr>
        <w:spacing w:after="200"/>
      </w:pPr>
      <w:r>
        <w:t xml:space="preserve"> </w:t>
      </w:r>
    </w:p>
    <w:p>
      <w:pPr>
        <w:spacing w:after="120"/>
        <w:jc w:val="left"/>
      </w:pPr>
      <w:r>
        <w:t xml:space="preserve">[13] </w:t>
      </w:r>
      <w:r>
        <w:rPr>
          <w:b/>
          <w:bCs/>
        </w:rPr>
        <w:t xml:space="preserve">Tracesafe.</w:t>
      </w:r>
      <w:r>
        <w:t xml:space="preserve"> 2026. </w:t>
      </w:r>
      <w:r>
        <w:rPr>
          <w:i/>
          <w:iCs/>
        </w:rPr>
        <w:t xml:space="preserve">A Systematic Assessment of LLM Guardrails on Multi-Step Tool-Calling Trajectories</w:t>
      </w:r>
      <w:r>
        <w:t xml:space="preserve">. </w:t>
      </w:r>
      <w:r>
        <w:rPr>
          <w:i/>
          <w:iCs/>
        </w:rPr>
        <w:t xml:space="preserve">(Reference in PrecedentGuard_reference directory.)</w:t>
      </w:r>
    </w:p>
    <w:p>
      <w:pPr>
        <w:spacing w:after="200"/>
      </w:pPr>
      <w:r>
        <w:t xml:space="preserve"> </w:t>
      </w:r>
    </w:p>
    <w:p>
      <w:pPr>
        <w:spacing w:after="120"/>
        <w:jc w:val="left"/>
      </w:pPr>
      <w:r>
        <w:t xml:space="preserve">[14] Advani, et al. 2026. Trajectory Guard — A Lightweight, Sequence-Aware Model for Real-Time Anomaly Detection in Agentic AI. arXiv:2601.00516.</w:t>
      </w:r>
    </w:p>
    <w:p>
      <w:pPr>
        <w:spacing w:after="200"/>
      </w:pPr>
      <w:r>
        <w:t xml:space="preserve"> </w:t>
      </w:r>
    </w:p>
    <w:p>
      <w:pPr>
        <w:spacing w:after="120"/>
        <w:jc w:val="left"/>
      </w:pPr>
      <w:r>
        <w:t xml:space="preserve">[15] Xiang, C.; Wu, T.; Zhong, Z.; Wagner, D.; Chen, D.; and Mittal, P. 2025. GuardAgent: Safeguard LLM Agents by a Guard Agent via Knowledge-Enabled Reasoning. In </w:t>
      </w:r>
      <w:r>
        <w:rPr>
          <w:i/>
          <w:iCs/>
        </w:rPr>
        <w:t xml:space="preserve">ACL 2025</w:t>
      </w:r>
      <w:r>
        <w:t xml:space="preserve">. arXiv:2406.09187.</w:t>
      </w:r>
    </w:p>
    <w:p>
      <w:pPr>
        <w:spacing w:after="200"/>
      </w:pPr>
      <w:r>
        <w:t xml:space="preserve"> </w:t>
      </w:r>
    </w:p>
    <w:p>
      <w:pPr>
        <w:spacing w:after="120"/>
        <w:jc w:val="left"/>
      </w:pPr>
      <w:r>
        <w:t xml:space="preserve">[16] AGrail Authors. 2025. AGrail: A Lifelong Agent Guardrail with Effective and Adaptive Safety Detection. arXiv:2502.11448.</w:t>
      </w:r>
    </w:p>
    <w:p>
      <w:pPr>
        <w:spacing w:after="200"/>
      </w:pPr>
      <w:r>
        <w:t xml:space="preserve"> </w:t>
      </w:r>
    </w:p>
    <w:p>
      <w:pPr>
        <w:spacing w:after="120"/>
        <w:jc w:val="left"/>
      </w:pPr>
      <w:r>
        <w:t xml:space="preserve">[17] Spider-Sense Authors. 2026. Spider-Sense: Intrinsic Risk Sensing for Efficient Agent Defense with Hierarchical Adaptive Screening. arXiv:2602.05386.</w:t>
      </w:r>
    </w:p>
    <w:p>
      <w:pPr>
        <w:spacing w:after="200"/>
      </w:pPr>
      <w:r>
        <w:t xml:space="preserve"> </w:t>
      </w:r>
    </w:p>
    <w:p>
      <w:pPr>
        <w:spacing w:after="120"/>
        <w:jc w:val="left"/>
      </w:pPr>
      <w:r>
        <w:t xml:space="preserve">[18] AgentDoG Authors. 2026. AgentDoG: A Diagnostic Guardrail Framework for AI Agent Safety and Security. arXiv:2601.18491.</w:t>
      </w:r>
    </w:p>
    <w:p>
      <w:pPr>
        <w:spacing w:after="200"/>
      </w:pPr>
      <w:r>
        <w:t xml:space="preserve"> </w:t>
      </w:r>
    </w:p>
    <w:p>
      <w:pPr>
        <w:spacing w:after="120"/>
        <w:jc w:val="left"/>
      </w:pPr>
      <w:r>
        <w:t xml:space="preserve">[19] </w:t>
      </w:r>
      <w:r>
        <w:rPr>
          <w:b/>
          <w:bCs/>
        </w:rPr>
        <w:t xml:space="preserve">SafeHarbor.</w:t>
      </w:r>
      <w:r>
        <w:t xml:space="preserve"> 2026. </w:t>
      </w:r>
      <w:r>
        <w:rPr>
          <w:i/>
          <w:iCs/>
        </w:rPr>
        <w:t xml:space="preserve">Hierarchical Memory-Augmented Guardrail for LLM Agent Safety</w:t>
      </w:r>
      <w:r>
        <w:t xml:space="preserve">. </w:t>
      </w:r>
      <w:r>
        <w:rPr>
          <w:i/>
          <w:iCs/>
        </w:rPr>
        <w:t xml:space="preserve">(Reference in PrecedentGuard_reference directory.)</w:t>
      </w:r>
    </w:p>
    <w:p>
      <w:pPr>
        <w:spacing w:after="200"/>
      </w:pPr>
      <w:r>
        <w:t xml:space="preserve"> </w:t>
      </w:r>
    </w:p>
    <w:p>
      <w:pPr>
        <w:spacing w:after="120"/>
        <w:jc w:val="left"/>
      </w:pPr>
      <w:r>
        <w:t xml:space="preserve">[20] An, B.; Wang, Y.; Lin, Z.; et al. 2025. IPIGuard: A Novel Tool Dependency Graph-Based Defense Against Indirect Prompt Injection in LLM Agents. In </w:t>
      </w:r>
      <w:r>
        <w:rPr>
          <w:i/>
          <w:iCs/>
        </w:rPr>
        <w:t xml:space="preserve">EMNLP 2025</w:t>
      </w:r>
      <w:r>
        <w:t xml:space="preserve">.</w:t>
      </w:r>
    </w:p>
    <w:p>
      <w:pPr>
        <w:spacing w:after="200"/>
      </w:pPr>
      <w:r>
        <w:t xml:space="preserve"> </w:t>
      </w:r>
    </w:p>
    <w:p>
      <w:pPr>
        <w:spacing w:after="120"/>
        <w:jc w:val="left"/>
      </w:pPr>
      <w:r>
        <w:t xml:space="preserve">[21] Hua, W.; Yang, X.; Jin, M.; et al. 2024. TrustAgent: Towards Safe and Trustworthy LLM-based Agents through Agent Constitution. arXiv:2402.01586.</w:t>
      </w:r>
    </w:p>
    <w:p>
      <w:pPr>
        <w:spacing w:after="200"/>
      </w:pPr>
      <w:r>
        <w:t xml:space="preserve"> </w:t>
      </w:r>
    </w:p>
    <w:p>
      <w:pPr>
        <w:pStyle w:val="Heading3"/>
        <w:spacing w:after="200"/>
        <w:jc w:val="left"/>
      </w:pPr>
      <w:r>
        <w:t xml:space="preserve">13.4 Memory Poisoning Attacks (L3 — Empirical Arena)</w:t>
      </w:r>
    </w:p>
    <w:p>
      <w:pPr>
        <w:spacing w:after="120"/>
        <w:jc w:val="left"/>
      </w:pPr>
      <w:r>
        <w:t xml:space="preserve">[22] Chen, Z.; Xiang, Z.; Xiao, C.; Song, D.; and Li, B. 2024. AgentPoison: Red-teaming LLM Agents via Poisoning Memory or Knowledge Bases. In </w:t>
      </w:r>
      <w:r>
        <w:rPr>
          <w:i/>
          <w:iCs/>
        </w:rPr>
        <w:t xml:space="preserve">NeurIPS 2024</w:t>
      </w:r>
      <w:r>
        <w:t xml:space="preserve">. arXiv:2407.12784.</w:t>
      </w:r>
    </w:p>
    <w:p>
      <w:pPr>
        <w:spacing w:after="200"/>
      </w:pPr>
      <w:r>
        <w:t xml:space="preserve"> </w:t>
      </w:r>
    </w:p>
    <w:p>
      <w:pPr>
        <w:spacing w:after="120"/>
        <w:jc w:val="left"/>
      </w:pPr>
      <w:r>
        <w:t xml:space="preserve">[23] Dong, S.; Xu, S.; He, P.; et al. 2025. A Practical Memory Injection Attack against LLM Agents (MINJA). In </w:t>
      </w:r>
      <w:r>
        <w:rPr>
          <w:i/>
          <w:iCs/>
        </w:rPr>
        <w:t xml:space="preserve">NeurIPS 2025</w:t>
      </w:r>
      <w:r>
        <w:t xml:space="preserve">. arXiv:2503.03704.</w:t>
      </w:r>
    </w:p>
    <w:p>
      <w:pPr>
        <w:spacing w:after="200"/>
      </w:pPr>
      <w:r>
        <w:t xml:space="preserve"> </w:t>
      </w:r>
    </w:p>
    <w:p>
      <w:pPr>
        <w:spacing w:after="120"/>
        <w:jc w:val="left"/>
      </w:pPr>
      <w:r>
        <w:t xml:space="preserve">[24] Zou, W.; Geng, R.; Wang, B.; and Jia, J. 2025. PoisonedRAG: Knowledge Corruption Attacks to Retrieval-Augmented Generation of Large Language Models. In </w:t>
      </w:r>
      <w:r>
        <w:rPr>
          <w:i/>
          <w:iCs/>
        </w:rPr>
        <w:t xml:space="preserve">USENIX Security 2025</w:t>
      </w:r>
      <w:r>
        <w:t xml:space="preserve">. arXiv:2402.07867.</w:t>
      </w:r>
    </w:p>
    <w:p>
      <w:pPr>
        <w:spacing w:after="200"/>
      </w:pPr>
      <w:r>
        <w:t xml:space="preserve"> </w:t>
      </w:r>
    </w:p>
    <w:p>
      <w:pPr>
        <w:spacing w:after="120"/>
        <w:jc w:val="left"/>
      </w:pPr>
      <w:r>
        <w:t xml:space="preserve">[25] Wang, Z.; Hu, Z.; et al. 2025. MemoryGraft: Persistent Compromise of LLM Agents via Poisoned Experience Retrieval. arXiv:2512.16962.</w:t>
      </w:r>
    </w:p>
    <w:p>
      <w:pPr>
        <w:spacing w:after="200"/>
      </w:pPr>
      <w:r>
        <w:t xml:space="preserve"> </w:t>
      </w:r>
    </w:p>
    <w:p>
      <w:pPr>
        <w:spacing w:after="120"/>
        <w:jc w:val="left"/>
      </w:pPr>
      <w:r>
        <w:t xml:space="preserve">[26] Greshake, K.; Abdelnabi, S.; Mishra, S.; et al. 2023. Not What You've Signed Up For: Compromising Real-World LLM-Integrated Applications with Indirect Prompt Injection. In </w:t>
      </w:r>
      <w:r>
        <w:rPr>
          <w:i/>
          <w:iCs/>
        </w:rPr>
        <w:t xml:space="preserve">AISec at CCS 2023</w:t>
      </w:r>
      <w:r>
        <w:t xml:space="preserve">. arXiv:2302.12173.</w:t>
      </w:r>
    </w:p>
    <w:p>
      <w:pPr>
        <w:spacing w:after="200"/>
      </w:pPr>
      <w:r>
        <w:t xml:space="preserve"> </w:t>
      </w:r>
    </w:p>
    <w:p>
      <w:pPr>
        <w:spacing w:after="120"/>
        <w:jc w:val="left"/>
      </w:pPr>
      <w:r>
        <w:t xml:space="preserve">[27] Liang, X.; Niu, S.; Li, Z.; et al. 2025. SafeRAG: Benchmarking Security in Retrieval-Augmented Generation of Large Language Model. In </w:t>
      </w:r>
      <w:r>
        <w:rPr>
          <w:i/>
          <w:iCs/>
        </w:rPr>
        <w:t xml:space="preserve">ACL 2025</w:t>
      </w:r>
      <w:r>
        <w:t xml:space="preserve">. arXiv:2501.18636.</w:t>
      </w:r>
    </w:p>
    <w:p>
      <w:pPr>
        <w:spacing w:after="200"/>
      </w:pPr>
      <w:r>
        <w:t xml:space="preserve"> </w:t>
      </w:r>
    </w:p>
    <w:p>
      <w:pPr>
        <w:pStyle w:val="Heading3"/>
        <w:spacing w:after="200"/>
        <w:jc w:val="left"/>
      </w:pPr>
      <w:r>
        <w:t xml:space="preserve">13.5 Memory / RAG Defenses (L3 — Defense)</w:t>
      </w:r>
    </w:p>
    <w:p>
      <w:pPr>
        <w:spacing w:after="120"/>
        <w:jc w:val="left"/>
      </w:pPr>
      <w:r>
        <w:t xml:space="preserve">[28] </w:t>
      </w:r>
      <w:r>
        <w:rPr>
          <w:b/>
          <w:bCs/>
        </w:rPr>
        <w:t xml:space="preserve">SMSR.</w:t>
      </w:r>
      <w:r>
        <w:t xml:space="preserve"> 2025. </w:t>
      </w:r>
      <w:r>
        <w:rPr>
          <w:i/>
          <w:iCs/>
        </w:rPr>
        <w:t xml:space="preserve">Certified Defence Against Runtime Memory Poisoning in Persistent LLM Agent Systems</w:t>
      </w:r>
      <w:r>
        <w:t xml:space="preserve">. </w:t>
      </w:r>
      <w:r>
        <w:rPr>
          <w:i/>
          <w:iCs/>
        </w:rPr>
        <w:t xml:space="preserve">(Reference in PrecedentGuard_reference directory.)</w:t>
      </w:r>
      <w:r>
        <w:t xml:space="preserve"> [Head-on critique target]</w:t>
      </w:r>
    </w:p>
    <w:p>
      <w:pPr>
        <w:spacing w:after="200"/>
      </w:pPr>
      <w:r>
        <w:t xml:space="preserve"> </w:t>
      </w:r>
    </w:p>
    <w:p>
      <w:pPr>
        <w:spacing w:after="120"/>
        <w:jc w:val="left"/>
      </w:pPr>
      <w:r>
        <w:t xml:space="preserve">[29] </w:t>
      </w:r>
      <w:r>
        <w:rPr>
          <w:b/>
          <w:bCs/>
        </w:rPr>
        <w:t xml:space="preserve">From Untrusted Input to Trusted Memory.</w:t>
      </w:r>
      <w:r>
        <w:t xml:space="preserve"> 2025. </w:t>
      </w:r>
      <w:r>
        <w:rPr>
          <w:i/>
          <w:iCs/>
        </w:rPr>
        <w:t xml:space="preserve">A Systematic Study of Memory Poisoning Attacks in LLM Agents</w:t>
      </w:r>
      <w:r>
        <w:t xml:space="preserve">. </w:t>
      </w:r>
      <w:r>
        <w:rPr>
          <w:i/>
          <w:iCs/>
        </w:rPr>
        <w:t xml:space="preserve">(Reference in PrecedentGuard_reference directory.)</w:t>
      </w:r>
    </w:p>
    <w:p>
      <w:pPr>
        <w:spacing w:after="200"/>
      </w:pPr>
      <w:r>
        <w:t xml:space="preserve"> </w:t>
      </w:r>
    </w:p>
    <w:p>
      <w:pPr>
        <w:spacing w:after="120"/>
        <w:jc w:val="left"/>
      </w:pPr>
      <w:r>
        <w:t xml:space="preserve">[30] Yang, P.; et al. 2026. ShieldRAG: Safeguarding Retrieval-Augmented Generation from Untrusted Knowledge Bases. In </w:t>
      </w:r>
      <w:r>
        <w:rPr>
          <w:i/>
          <w:iCs/>
        </w:rPr>
        <w:t xml:space="preserve">AAAI 2026</w:t>
      </w:r>
      <w:r>
        <w:t xml:space="preserve">. arXiv ID: 16187.</w:t>
      </w:r>
    </w:p>
    <w:p>
      <w:pPr>
        <w:spacing w:after="200"/>
      </w:pPr>
      <w:r>
        <w:t xml:space="preserve"> </w:t>
      </w:r>
    </w:p>
    <w:p>
      <w:pPr>
        <w:spacing w:after="120"/>
        <w:jc w:val="left"/>
      </w:pPr>
      <w:r>
        <w:t xml:space="preserve">[31] Edge, D.; Trinh, H.; Cheng, N.; et al. 2024. From Local to Global: A Graph RAG Approach to Query-Focused Summarization. In </w:t>
      </w:r>
      <w:r>
        <w:rPr>
          <w:i/>
          <w:iCs/>
        </w:rPr>
        <w:t xml:space="preserve">ACL 2025</w:t>
      </w:r>
      <w:r>
        <w:t xml:space="preserve">. arXiv:2404.16130.</w:t>
      </w:r>
    </w:p>
    <w:p>
      <w:pPr>
        <w:spacing w:after="200"/>
      </w:pPr>
      <w:r>
        <w:t xml:space="preserve"> </w:t>
      </w:r>
    </w:p>
    <w:p>
      <w:pPr>
        <w:spacing w:after="120"/>
        <w:jc w:val="left"/>
      </w:pPr>
      <w:r>
        <w:t xml:space="preserve">[32] Chen, B.; Guo, Z.; Yang, Z.; Chen, Y.; and Chen, J. 2025. PathRAG: Pruning Graph-based Retrieval Augmented Generation with Relational Paths. arXiv:2502.14902.</w:t>
      </w:r>
    </w:p>
    <w:p>
      <w:pPr>
        <w:spacing w:after="200"/>
      </w:pPr>
      <w:r>
        <w:t xml:space="preserve"> </w:t>
      </w:r>
    </w:p>
    <w:p>
      <w:pPr>
        <w:spacing w:after="120"/>
        <w:jc w:val="left"/>
      </w:pPr>
      <w:r>
        <w:t xml:space="preserve">[33] Xu, R.; Li, S.; Chen, Z.; et al. 2024. RevPRAG: Revealing Poisoning Attacks in Retrieval-Augmented Generation through LLM Activation Analysis. arXiv:2411.18948.</w:t>
      </w:r>
    </w:p>
    <w:p>
      <w:pPr>
        <w:spacing w:after="200"/>
      </w:pPr>
      <w:r>
        <w:t xml:space="preserve"> </w:t>
      </w:r>
    </w:p>
    <w:p>
      <w:pPr>
        <w:pStyle w:val="Heading3"/>
        <w:spacing w:after="200"/>
        <w:jc w:val="left"/>
      </w:pPr>
      <w:r>
        <w:t xml:space="preserve">13.6 Decoding-Time Intervention (L4 — Operational Paradigm)</w:t>
      </w:r>
    </w:p>
    <w:p>
      <w:pPr>
        <w:spacing w:after="120"/>
        <w:jc w:val="left"/>
      </w:pPr>
      <w:r>
        <w:t xml:space="preserve">[34] Huang, J.; Sehgal, R.; Choi, Y.; and Sap, M. 2024. DeAL: Decoding-time Alignment for Large Language Models. In </w:t>
      </w:r>
      <w:r>
        <w:rPr>
          <w:i/>
          <w:iCs/>
        </w:rPr>
        <w:t xml:space="preserve">ACL 2024</w:t>
      </w:r>
      <w:r>
        <w:t xml:space="preserve">. arXiv:2402.06147.</w:t>
      </w:r>
    </w:p>
    <w:p>
      <w:pPr>
        <w:spacing w:after="200"/>
      </w:pPr>
      <w:r>
        <w:t xml:space="preserve"> </w:t>
      </w:r>
    </w:p>
    <w:p>
      <w:pPr>
        <w:spacing w:after="120"/>
        <w:jc w:val="left"/>
      </w:pPr>
      <w:r>
        <w:t xml:space="preserve">[35] Hu, J.; Kang, Y.; and Yu, T. 2025. CARE: Decoding Time Safety Alignment via Rollback and Introspection Intervention. In </w:t>
      </w:r>
      <w:r>
        <w:rPr>
          <w:i/>
          <w:iCs/>
        </w:rPr>
        <w:t xml:space="preserve">EMNLP 2025</w:t>
      </w:r>
      <w:r>
        <w:t xml:space="preserve">. arXiv:2509.06982.</w:t>
      </w:r>
    </w:p>
    <w:p>
      <w:pPr>
        <w:spacing w:after="200"/>
      </w:pPr>
      <w:r>
        <w:t xml:space="preserve"> </w:t>
      </w:r>
    </w:p>
    <w:p>
      <w:pPr>
        <w:spacing w:after="120"/>
        <w:jc w:val="left"/>
      </w:pPr>
      <w:r>
        <w:t xml:space="preserve">[36] Liu, A.; Han, X.; Wang, Y.; et al. 2024. Tuning Language Models by Proxy. In </w:t>
      </w:r>
      <w:r>
        <w:rPr>
          <w:i/>
          <w:iCs/>
        </w:rPr>
        <w:t xml:space="preserve">COLM 2024</w:t>
      </w:r>
      <w:r>
        <w:t xml:space="preserve">. arXiv:2401.08565.</w:t>
      </w:r>
    </w:p>
    <w:p>
      <w:pPr>
        <w:spacing w:after="200"/>
      </w:pPr>
      <w:r>
        <w:t xml:space="preserve"> </w:t>
      </w:r>
    </w:p>
    <w:p>
      <w:pPr>
        <w:spacing w:after="120"/>
        <w:jc w:val="left"/>
      </w:pPr>
      <w:r>
        <w:t xml:space="preserve">[37] Khanov, M.; Burapacheep, J.; and Li, Y. 2024. ARGS: Alignment as Reward-Guided Search. In </w:t>
      </w:r>
      <w:r>
        <w:rPr>
          <w:i/>
          <w:iCs/>
        </w:rPr>
        <w:t xml:space="preserve">ICLR 2024</w:t>
      </w:r>
      <w:r>
        <w:t xml:space="preserve">. arXiv:2402.01694.</w:t>
      </w:r>
    </w:p>
    <w:p>
      <w:pPr>
        <w:spacing w:after="200"/>
      </w:pPr>
      <w:r>
        <w:t xml:space="preserve"> </w:t>
      </w:r>
    </w:p>
    <w:p>
      <w:pPr>
        <w:pStyle w:val="Heading3"/>
        <w:spacing w:after="200"/>
        <w:jc w:val="left"/>
      </w:pPr>
      <w:r>
        <w:t xml:space="preserve">13.7 Benchmarks (for §6 Experiments)</w:t>
      </w:r>
    </w:p>
    <w:p>
      <w:pPr>
        <w:spacing w:after="120"/>
        <w:jc w:val="left"/>
      </w:pPr>
      <w:r>
        <w:t xml:space="preserve">[38] Andriushchenko, M.; Souly, A.; Dziemian, M.; et al. 2024. AgentHarm: A Benchmark for Measuring Harmfulness of LLM Agents. In </w:t>
      </w:r>
      <w:r>
        <w:rPr>
          <w:i/>
          <w:iCs/>
        </w:rPr>
        <w:t xml:space="preserve">ICLR 2025</w:t>
      </w:r>
      <w:r>
        <w:t xml:space="preserve">. arXiv:2410.09024.</w:t>
      </w:r>
    </w:p>
    <w:p>
      <w:pPr>
        <w:spacing w:after="200"/>
      </w:pPr>
      <w:r>
        <w:t xml:space="preserve"> </w:t>
      </w:r>
    </w:p>
    <w:p>
      <w:pPr>
        <w:spacing w:after="120"/>
        <w:jc w:val="left"/>
      </w:pPr>
      <w:r>
        <w:t xml:space="preserve">[39] Zhang, Z.; Cui, S.; Lu, Y.; et al. 2024. Agent-SafetyBench: Evaluating the Safety of LLM Agents. In </w:t>
      </w:r>
      <w:r>
        <w:rPr>
          <w:i/>
          <w:iCs/>
        </w:rPr>
        <w:t xml:space="preserve">ACL 2025</w:t>
      </w:r>
      <w:r>
        <w:t xml:space="preserve">. arXiv:2412.14470.</w:t>
      </w:r>
    </w:p>
    <w:p>
      <w:pPr>
        <w:spacing w:after="200"/>
      </w:pPr>
      <w:r>
        <w:t xml:space="preserve"> </w:t>
      </w:r>
    </w:p>
    <w:p>
      <w:pPr>
        <w:spacing w:after="120"/>
        <w:jc w:val="left"/>
      </w:pPr>
      <w:r>
        <w:t xml:space="preserve">[40] Yuan, T.; He, Z.; Dong, L.; et al. 2024. R-Judge: Benchmarking Safety Risk Awareness for LLM Agents. In </w:t>
      </w:r>
      <w:r>
        <w:rPr>
          <w:i/>
          <w:iCs/>
        </w:rPr>
        <w:t xml:space="preserve">Findings of EMNLP 2024</w:t>
      </w:r>
      <w:r>
        <w:t xml:space="preserve">. arXiv:2401.10019.</w:t>
      </w:r>
    </w:p>
    <w:p>
      <w:pPr>
        <w:spacing w:after="200"/>
      </w:pPr>
      <w:r>
        <w:t xml:space="preserve"> </w:t>
      </w:r>
    </w:p>
    <w:p>
      <w:pPr>
        <w:spacing w:after="120"/>
        <w:jc w:val="left"/>
      </w:pPr>
      <w:r>
        <w:t xml:space="preserve">[41] Zhang, H.; Huang, K.; Geng, S.; et al. 2024. Agent Security Bench (ASB): Formalizing and Benchmarking Attacks and Defenses in LLM-based Agents. In </w:t>
      </w:r>
      <w:r>
        <w:rPr>
          <w:i/>
          <w:iCs/>
        </w:rPr>
        <w:t xml:space="preserve">ICLR 2025</w:t>
      </w:r>
      <w:r>
        <w:t xml:space="preserve">. arXiv:2410.02644.</w:t>
      </w:r>
    </w:p>
    <w:p>
      <w:pPr>
        <w:spacing w:after="200"/>
      </w:pPr>
      <w:r>
        <w:t xml:space="preserve"> </w:t>
      </w:r>
    </w:p>
    <w:p>
      <w:pPr>
        <w:spacing w:after="120"/>
        <w:jc w:val="left"/>
      </w:pPr>
      <w:r>
        <w:t xml:space="preserve">[42] Debenedetti, E.; Zhang, J.; Balunovic, M.; et al. 2024. AgentDojo: A Dynamic Environment to Evaluate Prompt Injection Attacks and Defenses for LLM Agents. In </w:t>
      </w:r>
      <w:r>
        <w:rPr>
          <w:i/>
          <w:iCs/>
        </w:rPr>
        <w:t xml:space="preserve">NeurIPS 2024 Datasets and Benchmarks Track</w:t>
      </w:r>
      <w:r>
        <w:t xml:space="preserve">. arXiv:2406.13352.</w:t>
      </w:r>
    </w:p>
    <w:p>
      <w:pPr>
        <w:spacing w:after="200"/>
      </w:pPr>
      <w:r>
        <w:t xml:space="preserve"> </w:t>
      </w:r>
    </w:p>
    <w:p>
      <w:pPr>
        <w:spacing w:after="120"/>
        <w:jc w:val="left"/>
      </w:pPr>
      <w:r>
        <w:t xml:space="preserve">[43] Zhan, Q.; Liang, Z.; Ying, Z.; and Kang, D. 2024. InjecAgent: Benchmarking Indirect Prompt Injections in Tool-Integrated Large Language Model Agents. In </w:t>
      </w:r>
      <w:r>
        <w:rPr>
          <w:i/>
          <w:iCs/>
        </w:rPr>
        <w:t xml:space="preserve">Findings of ACL 2024</w:t>
      </w:r>
      <w:r>
        <w:t xml:space="preserve">. arXiv:2403.02691.</w:t>
      </w:r>
    </w:p>
    <w:p>
      <w:pPr>
        <w:spacing w:after="200"/>
      </w:pPr>
      <w:r>
        <w:t xml:space="preserve"> </w:t>
      </w:r>
    </w:p>
    <w:p>
      <w:pPr>
        <w:spacing w:after="120"/>
        <w:jc w:val="left"/>
      </w:pPr>
      <w:r>
        <w:t xml:space="preserve">[44] Ruan, Y.; Dong, H.; Wang, A.; et al. 2024. Identifying the Risks of LM Agents with an LM-Emulated Sandbox. In </w:t>
      </w:r>
      <w:r>
        <w:rPr>
          <w:i/>
          <w:iCs/>
        </w:rPr>
        <w:t xml:space="preserve">ICLR 2024</w:t>
      </w:r>
      <w:r>
        <w:t xml:space="preserve">. arXiv:2309.15817.</w:t>
      </w:r>
    </w:p>
    <w:p>
      <w:pPr>
        <w:spacing w:after="200"/>
      </w:pPr>
      <w:r>
        <w:t xml:space="preserve"> </w:t>
      </w:r>
    </w:p>
    <w:p>
      <w:pPr>
        <w:spacing w:after="120"/>
        <w:jc w:val="left"/>
      </w:pPr>
      <w:r>
        <w:t xml:space="preserve">[45] Mazeika, M.; Phan, L.; Yin, X.; et al. 2024. HarmBench: A Standardized Evaluation Framework for Automated Red Teaming and Robust Refusal. In </w:t>
      </w:r>
      <w:r>
        <w:rPr>
          <w:i/>
          <w:iCs/>
        </w:rPr>
        <w:t xml:space="preserve">ICML 2024</w:t>
      </w:r>
      <w:r>
        <w:t xml:space="preserve">. arXiv:2402.04249.</w:t>
      </w:r>
    </w:p>
    <w:p>
      <w:pPr>
        <w:spacing w:after="200"/>
      </w:pPr>
      <w:r>
        <w:t xml:space="preserve"> </w:t>
      </w:r>
    </w:p>
    <w:p>
      <w:pPr>
        <w:spacing w:after="120"/>
        <w:jc w:val="left"/>
      </w:pPr>
      <w:r>
        <w:t xml:space="preserve">[46] Kuntz, T.; Mendoza, P.; Karamcheti, S.; et al. 2025. OS-Harm: A Benchmark for Measuring Safety of Computer Use Agents. arXiv:2506.14866.</w:t>
      </w:r>
    </w:p>
    <w:p>
      <w:pPr>
        <w:spacing w:after="200"/>
      </w:pPr>
      <w:r>
        <w:t xml:space="preserve"> </w:t>
      </w:r>
    </w:p>
    <w:p>
      <w:pPr>
        <w:spacing w:after="120"/>
        <w:jc w:val="left"/>
      </w:pPr>
      <w:r>
        <w:t xml:space="preserve">[47] Wei, J.; Sun, Z.; Papay, S.; et al. 2025. BrowseComp: A Simple Yet Challenging Benchmark for Browsing Agents. arXiv:2504.12516.</w:t>
      </w:r>
    </w:p>
    <w:p>
      <w:pPr>
        <w:spacing w:after="200"/>
      </w:pPr>
      <w:r>
        <w:t xml:space="preserve"> </w:t>
      </w:r>
    </w:p>
    <w:p>
      <w:pPr>
        <w:spacing w:after="120"/>
        <w:jc w:val="left"/>
      </w:pPr>
      <w:r>
        <w:t xml:space="preserve">[48] Yang, Y.; Wu, D.; and Chen, Y. 2025. MCPSecBench: A Systematic Security Benchmark and Playground for Testing Model Context Protocols. arXiv:2508.13220.</w:t>
      </w:r>
    </w:p>
    <w:p>
      <w:pPr>
        <w:spacing w:after="200"/>
      </w:pPr>
      <w:r>
        <w:t xml:space="preserve"> </w:t>
      </w:r>
    </w:p>
    <w:p>
      <w:pPr>
        <w:spacing w:after="120"/>
        <w:jc w:val="left"/>
      </w:pPr>
      <w:r>
        <w:t xml:space="preserve">[49] </w:t>
      </w:r>
      <w:r>
        <w:rPr>
          <w:b/>
          <w:bCs/>
        </w:rPr>
        <w:t xml:space="preserve">ATBench.</w:t>
      </w:r>
      <w:r>
        <w:t xml:space="preserve"> 2025/2026. </w:t>
      </w:r>
      <w:r>
        <w:rPr>
          <w:i/>
          <w:iCs/>
        </w:rPr>
        <w:t xml:space="preserve">A Diverse and Realistic Agent Trajectory Benchmark for Safety Evaluation and Diagnosis</w:t>
      </w:r>
      <w:r>
        <w:t xml:space="preserve">. </w:t>
      </w:r>
      <w:r>
        <w:rPr>
          <w:i/>
          <w:iCs/>
        </w:rPr>
        <w:t xml:space="preserve">(Reference in PrecedentGuard_reference directory.)</w:t>
      </w:r>
    </w:p>
    <w:p>
      <w:pPr>
        <w:spacing w:after="200"/>
      </w:pPr>
      <w:r>
        <w:t xml:space="preserve"> </w:t>
      </w:r>
    </w:p>
    <w:p>
      <w:pPr>
        <w:pStyle w:val="Heading3"/>
        <w:spacing w:after="200"/>
        <w:jc w:val="left"/>
      </w:pPr>
      <w:r>
        <w:t xml:space="preserve">13.8 Adversarial Robustness — Impossibility / Certification Foundations (for Theorem 2)</w:t>
      </w:r>
    </w:p>
    <w:p>
      <w:pPr>
        <w:spacing w:after="120"/>
        <w:jc w:val="left"/>
      </w:pPr>
      <w:r>
        <w:t xml:space="preserve">[50] Madry, A.; Makelov, A.; Schmidt, L.; Tsipras, D.; and Vladu, A. 2018. Towards Deep Learning Models Resistant to Adversarial Attacks. In </w:t>
      </w:r>
      <w:r>
        <w:rPr>
          <w:i/>
          <w:iCs/>
        </w:rPr>
        <w:t xml:space="preserve">ICLR 2018</w:t>
      </w:r>
      <w:r>
        <w:t xml:space="preserve">. arXiv:1706.06083. </w:t>
      </w:r>
      <w:r>
        <w:rPr>
          <w:i/>
          <w:iCs/>
        </w:rPr>
        <w:t xml:space="preserve">(Read §2 only — adversarial budget formalization.)</w:t>
      </w:r>
    </w:p>
    <w:p>
      <w:pPr>
        <w:spacing w:after="200"/>
      </w:pPr>
      <w:r>
        <w:t xml:space="preserve"> </w:t>
      </w:r>
    </w:p>
    <w:p>
      <w:pPr>
        <w:spacing w:after="120"/>
        <w:jc w:val="left"/>
      </w:pPr>
      <w:r>
        <w:t xml:space="preserve">[51] Cohen, J.; Rosenfeld, E.; and Kolter, J. Z. 2019. Certified Adversarial Robustness via Randomized Smoothing. In </w:t>
      </w:r>
      <w:r>
        <w:rPr>
          <w:i/>
          <w:iCs/>
        </w:rPr>
        <w:t xml:space="preserve">ICML 2019</w:t>
      </w:r>
      <w:r>
        <w:t xml:space="preserve">. arXiv:1902.02918. </w:t>
      </w:r>
      <w:r>
        <w:rPr>
          <w:i/>
          <w:iCs/>
        </w:rPr>
        <w:t xml:space="preserve">(Read §3 only — certification structure analogy.)</w:t>
      </w:r>
    </w:p>
    <w:p>
      <w:pPr>
        <w:spacing w:after="200"/>
      </w:pPr>
      <w:r>
        <w:t xml:space="preserve"> </w:t>
      </w:r>
    </w:p>
    <w:p>
      <w:pPr>
        <w:spacing w:after="120"/>
        <w:jc w:val="left"/>
      </w:pPr>
      <w:r>
        <w:t xml:space="preserve">[52] Tsipras, D.; Santurkar, S.; Engstrom, L.; Turner, A.; and Madry, A. 2019. Robustness May Be at Odds with Accuracy. In </w:t>
      </w:r>
      <w:r>
        <w:rPr>
          <w:i/>
          <w:iCs/>
        </w:rPr>
        <w:t xml:space="preserve">ICLR 2019</w:t>
      </w:r>
      <w:r>
        <w:t xml:space="preserve">. arXiv:1805.12152. </w:t>
      </w:r>
      <w:r>
        <w:rPr>
          <w:i/>
          <w:iCs/>
        </w:rPr>
        <w:t xml:space="preserve">(Read §3 only — impossibility-style Bayes-error argument.)</w:t>
      </w:r>
    </w:p>
    <w:p>
      <w:pPr>
        <w:spacing w:after="200"/>
      </w:pPr>
      <w:r>
        <w:t xml:space="preserve"> </w:t>
      </w:r>
    </w:p>
    <w:p>
      <w:pPr>
        <w:spacing w:after="120"/>
        <w:jc w:val="left"/>
      </w:pPr>
      <w:r>
        <w:t xml:space="preserve">[53] Bhagoji, A. N.; Cullina, D.; and Mittal, P. 2018. Lower Bounds on Adversarial Robustness from Optimal Transport. In </w:t>
      </w:r>
      <w:r>
        <w:rPr>
          <w:i/>
          <w:iCs/>
        </w:rPr>
        <w:t xml:space="preserve">NeurIPS 2019</w:t>
      </w:r>
      <w:r>
        <w:t xml:space="preserve">. arXiv:1909.12272. </w:t>
      </w:r>
      <w:r>
        <w:rPr>
          <w:i/>
          <w:iCs/>
        </w:rPr>
        <w:t xml:space="preserve">(Read §3.1 only — embedding-space construction technique.)</w:t>
      </w:r>
    </w:p>
    <w:p>
      <w:pPr>
        <w:spacing w:after="200"/>
      </w:pPr>
      <w:r>
        <w:t xml:space="preserve"> </w:t>
      </w:r>
    </w:p>
    <w:p>
      <w:pPr>
        <w:pStyle w:val="Heading3"/>
        <w:spacing w:after="200"/>
        <w:jc w:val="left"/>
      </w:pPr>
      <w:r>
        <w:t xml:space="preserve">13.9 Foundational Attacks (Background Citation)</w:t>
      </w:r>
    </w:p>
    <w:p>
      <w:pPr>
        <w:spacing w:after="120"/>
        <w:jc w:val="left"/>
      </w:pPr>
      <w:r>
        <w:t xml:space="preserve">[54] Wei, A.; Haghtalab, N.; and Steinhardt, J. 2023. Jailbroken: How Does LLM Safety Training Fail? In </w:t>
      </w:r>
      <w:r>
        <w:rPr>
          <w:i/>
          <w:iCs/>
        </w:rPr>
        <w:t xml:space="preserve">NeurIPS 2023</w:t>
      </w:r>
      <w:r>
        <w:t xml:space="preserve">. arXiv:2307.02483.</w:t>
      </w:r>
    </w:p>
    <w:p>
      <w:pPr>
        <w:spacing w:after="200"/>
      </w:pPr>
      <w:r>
        <w:t xml:space="preserve"> </w:t>
      </w:r>
    </w:p>
    <w:p>
      <w:pPr>
        <w:spacing w:after="120"/>
        <w:jc w:val="left"/>
      </w:pPr>
      <w:r>
        <w:t xml:space="preserve">[55] Zou, A.; Wang, Z.; Carlini, N.; Nasr, M.; Kolter, J. Z.; and Fredrikson, M. 2023. Universal and Transferable Adversarial Attacks on Aligned Language Models. arXiv:2307.15043.</w:t>
      </w:r>
    </w:p>
    <w:p>
      <w:pPr>
        <w:spacing w:after="200"/>
      </w:pPr>
      <w:r>
        <w:t xml:space="preserve"> </w:t>
      </w:r>
    </w:p>
    <w:p>
      <w:pPr>
        <w:pStyle w:val="Heading3"/>
        <w:spacing w:after="200"/>
        <w:jc w:val="left"/>
      </w:pPr>
      <w:r>
        <w:t xml:space="preserve">13.10 Cryptography (for Lemma 4 EUF-CMA Argument)</w:t>
      </w:r>
    </w:p>
    <w:p>
      <w:pPr>
        <w:spacing w:after="120"/>
        <w:jc w:val="left"/>
      </w:pPr>
      <w:r>
        <w:t xml:space="preserve">[56] Katz, J.; and Lindell, Y. 2020. </w:t>
      </w:r>
      <w:r>
        <w:rPr>
          <w:i/>
          <w:iCs/>
        </w:rPr>
        <w:t xml:space="preserve">Introduction to Modern Cryptography</w:t>
      </w:r>
      <w:r>
        <w:t xml:space="preserve">. 3rd ed. Chapman &amp; Hall/CRC. </w:t>
      </w:r>
      <w:r>
        <w:rPr>
          <w:i/>
          <w:iCs/>
        </w:rPr>
        <w:t xml:space="preserve">(Read §12 — EUF-CMA signature security.)</w:t>
      </w:r>
    </w:p>
    <w:p>
      <w:pPr>
        <w:spacing w:after="200"/>
      </w:pPr>
      <w:r>
        <w:t xml:space="preserve"> </w:t>
      </w:r>
    </w:p>
    <w:p>
      <w:pPr>
        <w:spacing w:after="120"/>
        <w:jc w:val="left"/>
      </w:pPr>
      <w:r>
        <w:t xml:space="preserve">[57] Bernstein, D. J.; Duif, N.; Lange, T.; Schwabe, P.; and Yang, B.-Y. 2012. High-Speed High-Security Signatures (Ed25519). </w:t>
      </w:r>
      <w:r>
        <w:rPr>
          <w:i/>
          <w:iCs/>
        </w:rPr>
        <w:t xml:space="preserve">Journal of Cryptographic Engineering</w:t>
      </w:r>
      <w:r>
        <w:t xml:space="preserve">, 2(2): 77-89.</w:t>
      </w:r>
    </w:p>
    <w:p>
      <w:pPr>
        <w:spacing w:after="200"/>
      </w:pPr>
      <w:r>
        <w:t xml:space="preserve"> </w:t>
      </w:r>
    </w:p>
    <w:p>
      <w:pPr>
        <w:pStyle w:val="Heading3"/>
        <w:spacing w:after="200"/>
        <w:jc w:val="left"/>
      </w:pPr>
      <w:r>
        <w:t xml:space="preserve">13.11 Supporting Technical References</w:t>
      </w:r>
    </w:p>
    <w:p>
      <w:pPr>
        <w:spacing w:after="120"/>
        <w:jc w:val="left"/>
      </w:pPr>
      <w:r>
        <w:t xml:space="preserve">[58] Hatalis, K.; Christou, D.; Myers, J.; et al. 2025. Review of Case-Based Reasoning for LLM Agents: Theoretical Foundations, Architectural Components, and Cognitive Integration. arXiv:2504.06943.</w:t>
      </w:r>
    </w:p>
    <w:p>
      <w:pPr>
        <w:spacing w:after="200"/>
      </w:pPr>
      <w:r>
        <w:t xml:space="preserve"> </w:t>
      </w:r>
    </w:p>
    <w:p>
      <w:pPr>
        <w:spacing w:after="120"/>
        <w:jc w:val="left"/>
      </w:pPr>
      <w:r>
        <w:t xml:space="preserve">[59] Guo, C.; Pleiss, G.; Sun, Y.; and Weinberger, K. Q. 2017. On Calibration of Modern Neural Networks. In </w:t>
      </w:r>
      <w:r>
        <w:rPr>
          <w:i/>
          <w:iCs/>
        </w:rPr>
        <w:t xml:space="preserve">ICML 2017</w:t>
      </w:r>
      <w:r>
        <w:t xml:space="preserve">. arXiv:1706.04599.</w:t>
      </w:r>
    </w:p>
    <w:p>
      <w:pPr>
        <w:spacing w:after="200"/>
      </w:pPr>
      <w:r>
        <w:t xml:space="preserve"> </w:t>
      </w:r>
    </w:p>
    <w:p>
      <w:pPr>
        <w:spacing w:after="120"/>
        <w:jc w:val="left"/>
      </w:pPr>
      <w:r>
        <w:t xml:space="preserve">[60] Johnson, J.; Douze, M.; and Jegou, H. 2019. Billion-scale Similarity Search with GPUs. </w:t>
      </w:r>
      <w:r>
        <w:rPr>
          <w:i/>
          <w:iCs/>
        </w:rPr>
        <w:t xml:space="preserve">IEEE Transactions on Big Data</w:t>
      </w:r>
      <w:r>
        <w:t xml:space="preserve">. arXiv:1702.08734.</w:t>
      </w:r>
    </w:p>
    <w:p>
      <w:pPr>
        <w:spacing w:after="200"/>
      </w:pPr>
      <w:r>
        <w:t xml:space="preserve"> </w:t>
      </w:r>
    </w:p>
    <w:p>
      <w:pPr>
        <w:spacing w:after="120"/>
        <w:jc w:val="left"/>
      </w:pPr>
      <w:r>
        <w:t xml:space="preserve">[61] Reimers, N.; and Gurevych, I. 2019. Sentence-BERT: Sentence Embeddings using Siamese BERT-Networks. In </w:t>
      </w:r>
      <w:r>
        <w:rPr>
          <w:i/>
          <w:iCs/>
        </w:rPr>
        <w:t xml:space="preserve">EMNLP 2019</w:t>
      </w:r>
      <w:r>
        <w:t xml:space="preserve">. arXiv:1908.10084.</w:t>
      </w:r>
    </w:p>
    <w:p>
      <w:pPr>
        <w:spacing w:after="200"/>
      </w:pPr>
      <w:r>
        <w:t xml:space="preserve"> </w:t>
      </w:r>
    </w:p>
    <w:p>
      <w:pPr>
        <w:spacing w:after="120"/>
        <w:jc w:val="left"/>
      </w:pPr>
      <w:r>
        <w:t xml:space="preserve">[62] He, P.; Liu, X.; Gao, J.; and Chen, W. 2023. DeBERTa-v3: Improving DeBERTa using ELECTRA-Style Pre-Training with Gradient-Disentangled Embedding Sharing. In </w:t>
      </w:r>
      <w:r>
        <w:rPr>
          <w:i/>
          <w:iCs/>
        </w:rPr>
        <w:t xml:space="preserve">ICLR 2023</w:t>
      </w:r>
      <w:r>
        <w:t xml:space="preserve">. arXiv:2111.09543.</w:t>
      </w:r>
    </w:p>
    <w:p>
      <w:pPr>
        <w:spacing w:after="200"/>
      </w:pPr>
      <w:r>
        <w:t xml:space="preserve"> </w:t>
      </w:r>
    </w:p>
    <w:p>
      <w:pPr>
        <w:pStyle w:val="Heading3"/>
        <w:spacing w:after="200"/>
        <w:jc w:val="left"/>
      </w:pPr>
      <w:r>
        <w:t xml:space="preserve">13.12 Surveys (Context Only — Do Not Cite as Primary Source)</w:t>
      </w:r>
    </w:p>
    <w:p>
      <w:pPr>
        <w:spacing w:after="120"/>
        <w:jc w:val="left"/>
      </w:pPr>
      <w:r>
        <w:t xml:space="preserve">[63] </w:t>
      </w:r>
      <w:r>
        <w:rPr>
          <w:i/>
          <w:iCs/>
        </w:rPr>
        <w:t xml:space="preserve">A Survey on Autonomy-Induced Security Risks in Large Model-Based Agents.</w:t>
      </w:r>
      <w:r>
        <w:t xml:space="preserve"> 2025/2026. </w:t>
      </w:r>
      <w:r>
        <w:rPr>
          <w:i/>
          <w:iCs/>
        </w:rPr>
        <w:t xml:space="preserve">(Reference in PrecedentGuard_reference directory.)</w:t>
      </w:r>
    </w:p>
    <w:p>
      <w:pPr>
        <w:spacing w:after="200"/>
      </w:pPr>
      <w:r>
        <w:t xml:space="preserve"> </w:t>
      </w:r>
    </w:p>
    <w:p>
      <w:pPr>
        <w:spacing w:after="120"/>
        <w:jc w:val="left"/>
      </w:pPr>
      <w:r>
        <w:t xml:space="preserve">[64] </w:t>
      </w:r>
      <w:r>
        <w:rPr>
          <w:i/>
          <w:iCs/>
        </w:rPr>
        <w:t xml:space="preserve">A Survey on Trustworthy LLM Agents: Threats and Countermeasures.</w:t>
      </w:r>
      <w:r>
        <w:t xml:space="preserve"> 2025/2026. </w:t>
      </w:r>
      <w:r>
        <w:rPr>
          <w:i/>
          <w:iCs/>
        </w:rPr>
        <w:t xml:space="preserve">(Reference in PrecedentGuard_reference directory.)</w:t>
      </w:r>
    </w:p>
    <w:p>
      <w:pPr>
        <w:spacing w:after="200"/>
      </w:pPr>
      <w:r>
        <w:t xml:space="preserve"> </w:t>
      </w:r>
    </w:p>
    <w:p>
      <w:pPr>
        <w:spacing w:after="120"/>
        <w:jc w:val="left"/>
      </w:pPr>
      <w:r>
        <w:t xml:space="preserve">[65] </w:t>
      </w:r>
      <w:r>
        <w:rPr>
          <w:i/>
          <w:iCs/>
        </w:rPr>
        <w:t xml:space="preserve">Safety at Scale: A Comprehensive Survey of Large Model and Agent Safety.</w:t>
      </w:r>
      <w:r>
        <w:t xml:space="preserve"> 2025/2026. </w:t>
      </w:r>
      <w:r>
        <w:rPr>
          <w:i/>
          <w:iCs/>
        </w:rPr>
        <w:t xml:space="preserve">(Reference in PrecedentGuard_reference directory.)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13.13 Citation Coverage Audit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41"/>
        <w:gridCol w:w="2753"/>
        <w:gridCol w:w="3166"/>
      </w:tblGrid>
      <w:tr>
        <w:trPr>
          <w:tblHeader/>
        </w:trPr>
        <w:tc>
          <w:p>
            <w:pPr>
              <w:jc w:val="left"/>
            </w:pPr>
            <w:r>
              <w:rPr>
                <w:b/>
                <w:bCs/>
              </w:rPr>
              <w:t xml:space="preserve">Narrative Line</w:t>
            </w:r>
          </w:p>
        </w:tc>
        <w:tc>
          <w:p>
            <w:pPr>
              <w:jc w:val="left"/>
            </w:pPr>
            <w:r>
              <w:rPr>
                <w:b/>
                <w:bCs/>
              </w:rPr>
              <w:t xml:space="preserve"># in Bibliography</w:t>
            </w:r>
          </w:p>
        </w:tc>
        <w:tc>
          <w:p>
            <w:pPr>
              <w:jc w:val="left"/>
            </w:pPr>
            <w:r>
              <w:rPr>
                <w:b/>
                <w:bCs/>
              </w:rPr>
              <w:t xml:space="preserve">Coverage Status</w:t>
            </w:r>
          </w:p>
        </w:tc>
      </w:tr>
      <w:tr>
        <w:tc>
          <w:p>
            <w:pPr>
              <w:jc w:val="left"/>
            </w:pPr>
            <w:r>
              <w:t xml:space="preserve">L1 Static Guards</w:t>
            </w:r>
          </w:p>
        </w:tc>
        <w:tc>
          <w:p>
            <w:pPr>
              <w:jc w:val="left"/>
            </w:pPr>
            <w:r>
              <w:t xml:space="preserve">[7-11] = 5 papers</w:t>
            </w:r>
          </w:p>
        </w:tc>
        <w:tc>
          <w:p>
            <w:pPr>
              <w:jc w:val="left"/>
            </w:pPr>
            <w:r>
              <w:t xml:space="preserve">✅ Complete</w:t>
            </w:r>
          </w:p>
        </w:tc>
      </w:tr>
      <w:tr>
        <w:tc>
          <w:p>
            <w:pPr>
              <w:jc w:val="left"/>
            </w:pPr>
            <w:r>
              <w:t xml:space="preserve">L2 Trajectory-Aware Guards</w:t>
            </w:r>
          </w:p>
        </w:tc>
        <w:tc>
          <w:p>
            <w:pPr>
              <w:jc w:val="left"/>
            </w:pPr>
            <w:r>
              <w:t xml:space="preserve">[12-21] = 10 papers</w:t>
            </w:r>
          </w:p>
        </w:tc>
        <w:tc>
          <w:p>
            <w:pPr>
              <w:jc w:val="left"/>
            </w:pPr>
            <w:r>
              <w:t xml:space="preserve">✅ Complete</w:t>
            </w:r>
          </w:p>
        </w:tc>
      </w:tr>
      <w:tr>
        <w:tc>
          <w:p>
            <w:pPr>
              <w:jc w:val="left"/>
            </w:pPr>
            <w:r>
              <w:t xml:space="preserve">L3 Memory Poisoning Attacks</w:t>
            </w:r>
          </w:p>
        </w:tc>
        <w:tc>
          <w:p>
            <w:pPr>
              <w:jc w:val="left"/>
            </w:pPr>
            <w:r>
              <w:t xml:space="preserve">[22-27] = 6 papers</w:t>
            </w:r>
          </w:p>
        </w:tc>
        <w:tc>
          <w:p>
            <w:pPr>
              <w:jc w:val="left"/>
            </w:pPr>
            <w:r>
              <w:t xml:space="preserve">✅ Complete</w:t>
            </w:r>
          </w:p>
        </w:tc>
      </w:tr>
      <w:tr>
        <w:tc>
          <w:p>
            <w:pPr>
              <w:jc w:val="left"/>
            </w:pPr>
            <w:r>
              <w:t xml:space="preserve">L3 Memory Poisoning Defenses</w:t>
            </w:r>
          </w:p>
        </w:tc>
        <w:tc>
          <w:p>
            <w:pPr>
              <w:jc w:val="left"/>
            </w:pPr>
            <w:r>
              <w:t xml:space="preserve">[28-33] = 6 papers</w:t>
            </w:r>
          </w:p>
        </w:tc>
        <w:tc>
          <w:p>
            <w:pPr>
              <w:jc w:val="left"/>
            </w:pPr>
            <w:r>
              <w:t xml:space="preserve">✅ Complete (incl. SMSR head-on)</w:t>
            </w:r>
          </w:p>
        </w:tc>
      </w:tr>
      <w:tr>
        <w:tc>
          <w:p>
            <w:pPr>
              <w:jc w:val="left"/>
            </w:pPr>
            <w:r>
              <w:t xml:space="preserve">L4 Decoding-Time Intervention</w:t>
            </w:r>
          </w:p>
        </w:tc>
        <w:tc>
          <w:p>
            <w:pPr>
              <w:jc w:val="left"/>
            </w:pPr>
            <w:r>
              <w:t xml:space="preserve">[34-37] = 4 papers</w:t>
            </w:r>
          </w:p>
        </w:tc>
        <w:tc>
          <w:p>
            <w:pPr>
              <w:jc w:val="left"/>
            </w:pPr>
            <w:r>
              <w:t xml:space="preserve">✅ Complete</w:t>
            </w:r>
          </w:p>
        </w:tc>
      </w:tr>
      <w:tr>
        <w:tc>
          <w:p>
            <w:pPr>
              <w:jc w:val="left"/>
            </w:pPr>
            <w:r>
              <w:t xml:space="preserve">L5 Causal Reasoning</w:t>
            </w:r>
          </w:p>
        </w:tc>
        <w:tc>
          <w:p>
            <w:pPr>
              <w:jc w:val="left"/>
            </w:pPr>
            <w:r>
              <w:t xml:space="preserve">[1-6] = 6 papers</w:t>
            </w:r>
          </w:p>
        </w:tc>
        <w:tc>
          <w:p>
            <w:pPr>
              <w:jc w:val="left"/>
            </w:pPr>
            <w:r>
              <w:t xml:space="preserve">✅ Complete (incl. CIP head-on)</w:t>
            </w:r>
          </w:p>
        </w:tc>
      </w:tr>
      <w:tr>
        <w:tc>
          <w:p>
            <w:pPr>
              <w:jc w:val="left"/>
            </w:pPr>
            <w:r>
              <w:t xml:space="preserve">Benchmarks</w:t>
            </w:r>
          </w:p>
        </w:tc>
        <w:tc>
          <w:p>
            <w:pPr>
              <w:jc w:val="left"/>
            </w:pPr>
            <w:r>
              <w:t xml:space="preserve">[38-49] = 12 papers</w:t>
            </w:r>
          </w:p>
        </w:tc>
        <w:tc>
          <w:p>
            <w:pPr>
              <w:jc w:val="left"/>
            </w:pPr>
            <w:r>
              <w:t xml:space="preserve">✅ Complete</w:t>
            </w:r>
          </w:p>
        </w:tc>
      </w:tr>
      <w:tr>
        <w:tc>
          <w:p>
            <w:pPr>
              <w:jc w:val="left"/>
            </w:pPr>
            <w:r>
              <w:t xml:space="preserve">Adversarial Impossibility (Theorem 2)</w:t>
            </w:r>
          </w:p>
        </w:tc>
        <w:tc>
          <w:p>
            <w:pPr>
              <w:jc w:val="left"/>
            </w:pPr>
            <w:r>
              <w:t xml:space="preserve">[50-53] = 4 papers</w:t>
            </w:r>
          </w:p>
        </w:tc>
        <w:tc>
          <w:p>
            <w:pPr>
              <w:jc w:val="left"/>
            </w:pPr>
            <w:r>
              <w:t xml:space="preserve">✅ Complete</w:t>
            </w:r>
          </w:p>
        </w:tc>
      </w:tr>
      <w:tr>
        <w:tc>
          <w:p>
            <w:pPr>
              <w:jc w:val="left"/>
            </w:pPr>
            <w:r>
              <w:t xml:space="preserve">Cryptography (Lemma 4)</w:t>
            </w:r>
          </w:p>
        </w:tc>
        <w:tc>
          <w:p>
            <w:pPr>
              <w:jc w:val="left"/>
            </w:pPr>
            <w:r>
              <w:t xml:space="preserve">[56-57] = 2 papers</w:t>
            </w:r>
          </w:p>
        </w:tc>
        <w:tc>
          <w:p>
            <w:pPr>
              <w:jc w:val="left"/>
            </w:pPr>
            <w:r>
              <w:t xml:space="preserve">✅ Complete</w:t>
            </w:r>
          </w:p>
        </w:tc>
      </w:tr>
      <w:tr>
        <w:tc>
          <w:p>
            <w:pPr>
              <w:jc w:val="left"/>
            </w:pPr>
            <w:r>
              <w:t xml:space="preserve">Foundational/Supporting</w:t>
            </w:r>
          </w:p>
        </w:tc>
        <w:tc>
          <w:p>
            <w:pPr>
              <w:jc w:val="left"/>
            </w:pPr>
            <w:r>
              <w:t xml:space="preserve">[54-55, 58-62] = 7 papers</w:t>
            </w:r>
          </w:p>
        </w:tc>
        <w:tc>
          <w:p>
            <w:pPr>
              <w:jc w:val="left"/>
            </w:pPr>
            <w:r>
              <w:t xml:space="preserve">✅ Complete</w:t>
            </w:r>
          </w:p>
        </w:tc>
      </w:tr>
      <w:tr>
        <w:tc>
          <w:p>
            <w:pPr>
              <w:jc w:val="left"/>
            </w:pPr>
            <w:r>
              <w:t xml:space="preserve">Surveys (context)</w:t>
            </w:r>
          </w:p>
        </w:tc>
        <w:tc>
          <w:p>
            <w:pPr>
              <w:jc w:val="left"/>
            </w:pPr>
            <w:r>
              <w:t xml:space="preserve">[63-65] = 3 papers</w:t>
            </w:r>
          </w:p>
        </w:tc>
        <w:tc>
          <w:p>
            <w:pPr>
              <w:jc w:val="left"/>
            </w:pPr>
            <w:r>
              <w:t xml:space="preserve">✅ Complete</w:t>
            </w:r>
          </w:p>
        </w:tc>
      </w:tr>
      <w:tr>
        <w:tc>
          <w:p>
            <w:pPr>
              <w:jc w:val="left"/>
            </w:pPr>
            <w:r>
              <w:rPr>
                <w:b/>
                <w:bCs/>
              </w:rPr>
              <w:t xml:space="preserve">TOTAL</w:t>
            </w:r>
          </w:p>
        </w:tc>
        <w:tc>
          <w:p>
            <w:pPr>
              <w:jc w:val="left"/>
            </w:pPr>
            <w:r>
              <w:rPr>
                <w:b/>
                <w:bCs/>
              </w:rPr>
              <w:t xml:space="preserve">65 entries</w:t>
            </w:r>
          </w:p>
        </w:tc>
        <w:tc>
          <w:p>
            <w:pPr>
              <w:jc w:val="left"/>
            </w:pPr>
            <w:r>
              <w:t xml:space="preserve">Compliant with AAAI 25-65 range</w:t>
            </w:r>
          </w:p>
        </w:tc>
      </w:tr>
    </w:tbl>
    <w:p>
      <w:pPr>
        <w:spacing w:before="240"/>
      </w:pPr>
      <w:r>
        <w:t xml:space="preserve"> </w:t>
      </w:r>
    </w:p>
    <w:p>
      <w:pPr>
        <w:pStyle w:val="Heading3"/>
        <w:spacing w:after="200"/>
        <w:jc w:val="left"/>
      </w:pPr>
      <w:r>
        <w:t xml:space="preserve">13.14 Pre-Submission Reference Maintenance Tasks</w:t>
      </w:r>
    </w:p>
    <w:p>
      <w:pPr>
        <w:pStyle w:val="ListParagraph"/>
        <w:numPr>
          <w:ilvl w:val="0"/>
          <w:numId w:val="2"/>
        </w:numPr>
        <w:spacing w:after="100"/>
        <w:ind w:start="240"/>
        <w:jc w:val="left"/>
      </w:pPr>
      <w:r>
        <w:rPr>
          <w:b/>
          <w:bCs/>
        </w:rPr>
        <w:t xml:space="preserve">Weekly arXiv scan</w:t>
      </w:r>
      <w:r>
        <w:t xml:space="preserve"> until submission (search: "agent safety", "trajectory guard", "causal influence", "memory poisoning")</w:t>
      </w:r>
    </w:p>
    <w:p>
      <w:pPr>
        <w:pStyle w:val="ListParagraph"/>
        <w:numPr>
          <w:ilvl w:val="0"/>
          <w:numId w:val="2"/>
        </w:numPr>
        <w:spacing w:after="100"/>
        <w:ind w:start="240"/>
        <w:jc w:val="left"/>
      </w:pPr>
      <w:r>
        <w:rPr>
          <w:b/>
          <w:bCs/>
        </w:rPr>
        <w:t xml:space="preserve">Verify all DOIs / arXiv IDs</w:t>
      </w:r>
      <w:r>
        <w:t xml:space="preserve"> before final submission</w:t>
      </w:r>
    </w:p>
    <w:p>
      <w:pPr>
        <w:pStyle w:val="ListParagraph"/>
        <w:numPr>
          <w:ilvl w:val="0"/>
          <w:numId w:val="2"/>
        </w:numPr>
        <w:spacing w:after="100"/>
        <w:ind w:start="240"/>
        <w:jc w:val="left"/>
      </w:pPr>
      <w:r>
        <w:rPr>
          <w:b/>
          <w:bCs/>
        </w:rPr>
        <w:t xml:space="preserve">Resolve placeholder entries</w:t>
      </w:r>
      <w:r>
        <w:t xml:space="preserve">: [12, 13, 19, 28, 29, 49, 63-65] need exact bibliographic details from PrecedentGuard_reference directory</w:t>
      </w:r>
    </w:p>
    <w:p>
      <w:pPr>
        <w:pStyle w:val="ListParagraph"/>
        <w:numPr>
          <w:ilvl w:val="0"/>
          <w:numId w:val="2"/>
        </w:numPr>
        <w:spacing w:after="100"/>
        <w:ind w:start="240"/>
        <w:jc w:val="left"/>
      </w:pPr>
      <w:r>
        <w:rPr>
          <w:b/>
          <w:bCs/>
        </w:rPr>
        <w:t xml:space="preserve">BibTeX file generation</w:t>
      </w:r>
      <w:r>
        <w:t xml:space="preserve">: convert this list to </w:t>
      </w:r>
      <w:r>
        <w:rPr>
          <w:rFonts w:ascii="Courier New" w:cs="Courier New" w:eastAsia="Courier New" w:hAnsi="Courier New"/>
          <w:shd w:fill="F1F5F9" w:color="auto" w:val="clear"/>
        </w:rPr>
        <w:t xml:space="preserve">references.bib</w:t>
      </w:r>
      <w:r>
        <w:t xml:space="preserve"> after Theorem 2 Gate 2 passes</w:t>
      </w:r>
    </w:p>
    <w:p>
      <w:pPr>
        <w:pStyle w:val="ListParagraph"/>
        <w:numPr>
          <w:ilvl w:val="0"/>
          <w:numId w:val="2"/>
        </w:numPr>
        <w:spacing w:after="100"/>
        <w:ind w:start="240"/>
        <w:jc w:val="left"/>
      </w:pPr>
      <w:r>
        <w:rPr>
          <w:b/>
          <w:bCs/>
        </w:rPr>
        <w:t xml:space="preserve">Citation density check</w:t>
      </w:r>
      <w:r>
        <w:t xml:space="preserve">: ensure no narrative line is over-cited (&gt;15 papers) or under-cited (&lt;3 papers)</w:t>
      </w:r>
    </w:p>
    <w:p>
      <w:pPr>
        <w:pStyle w:val="ListParagraph"/>
        <w:numPr>
          <w:ilvl w:val="0"/>
          <w:numId w:val="2"/>
        </w:numPr>
        <w:spacing w:after="100"/>
        <w:ind w:start="240"/>
        <w:jc w:val="left"/>
      </w:pPr>
      <w:r>
        <w:rPr>
          <w:b/>
          <w:bCs/>
        </w:rPr>
        <w:t xml:space="preserve">Self-citation audit</w:t>
      </w:r>
      <w:r>
        <w:t xml:space="preserve">: keep self-citation ratio below 15% (PrecedentGuard v2 advisor review is not yet public — count only published priors)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Document status:</w:t>
      </w:r>
      <w:r>
        <w:t xml:space="preserve"> v1.1-frozen (2026-06-30 evening) — SUPERSEDED by v0.2 EIG framework</w:t>
      </w:r>
      <w:r>
        <w:br/>
      </w:r>
      <w:r>
        <w:rPr>
          <w:b/>
          <w:bCs/>
        </w:rPr>
        <w:t xml:space="preserve">Last update:</w:t>
      </w:r>
      <w:r>
        <w:t xml:space="preserve"> 2026-06-30</w:t>
      </w:r>
      <w:r>
        <w:br/>
      </w:r>
      <w:r>
        <w:rPr>
          <w:b/>
          <w:bCs/>
        </w:rPr>
        <w:t xml:space="preserve">Total citations:</w:t>
      </w:r>
      <w:r>
        <w:t xml:space="preserve"> 65 entries across 12 categories (still authoritative reference list)</w:t>
      </w:r>
      <w:r>
        <w:br/>
      </w:r>
      <w:r>
        <w:rPr>
          <w:b/>
          <w:bCs/>
        </w:rPr>
        <w:t xml:space="preserve">Next milestone:</w:t>
      </w:r>
      <w:r>
        <w:t xml:space="preserve"> SEE </w:t>
      </w:r>
      <w:r>
        <w:rPr>
          <w:rFonts w:ascii="Courier New" w:cs="Courier New" w:eastAsia="Courier New" w:hAnsi="Courier New"/>
          <w:shd w:fill="F1F5F9" w:color="auto" w:val="clear"/>
        </w:rPr>
        <w:t xml:space="preserve">Sprint_Dashboard_4Week_AAAI27.md</w:t>
      </w:r>
      <w:r>
        <w:t xml:space="preserve"> for active timeline (Gate α: July 4 EOD)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66980cf33861f94ed000510e740dad7840eb18c.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2026-06-30T23:34:38.866Z</dcterms:created>
  <dcterms:modified xsi:type="dcterms:W3CDTF">2026-06-30T23:34:38.866Z</dcterms:modified>
</cp:coreProperties>
</file>

<file path=docProps/custom.xml><?xml version="1.0" encoding="utf-8"?>
<Properties xmlns="http://schemas.openxmlformats.org/officeDocument/2006/custom-properties" xmlns:vt="http://schemas.openxmlformats.org/officeDocument/2006/docPropsVTypes"/>
</file>