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53" w:rsidRPr="0052116C" w:rsidRDefault="0052116C" w:rsidP="0052116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116C">
        <w:rPr>
          <w:rFonts w:ascii="Arial" w:hAnsi="Arial" w:cs="Arial"/>
          <w:b/>
          <w:sz w:val="24"/>
          <w:szCs w:val="24"/>
        </w:rPr>
        <w:t xml:space="preserve">Tiani </w:t>
      </w:r>
      <w:proofErr w:type="spellStart"/>
      <w:r w:rsidRPr="0052116C">
        <w:rPr>
          <w:rFonts w:ascii="Arial" w:hAnsi="Arial" w:cs="Arial"/>
          <w:b/>
          <w:sz w:val="24"/>
          <w:szCs w:val="24"/>
        </w:rPr>
        <w:t>Khusnul</w:t>
      </w:r>
      <w:proofErr w:type="spellEnd"/>
      <w:r w:rsidRPr="0052116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2116C">
        <w:rPr>
          <w:rFonts w:ascii="Arial" w:hAnsi="Arial" w:cs="Arial"/>
          <w:b/>
          <w:sz w:val="24"/>
          <w:szCs w:val="24"/>
        </w:rPr>
        <w:t>Rahmawati</w:t>
      </w:r>
      <w:proofErr w:type="spellEnd"/>
    </w:p>
    <w:p w:rsidR="0052116C" w:rsidRPr="0052116C" w:rsidRDefault="0052116C" w:rsidP="0052116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116C">
        <w:rPr>
          <w:rFonts w:ascii="Arial" w:hAnsi="Arial" w:cs="Arial"/>
          <w:b/>
          <w:sz w:val="24"/>
          <w:szCs w:val="24"/>
        </w:rPr>
        <w:t>Intern Data Analyst</w:t>
      </w:r>
    </w:p>
    <w:p w:rsidR="0052116C" w:rsidRPr="0052116C" w:rsidRDefault="0052116C" w:rsidP="005211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2116C" w:rsidRDefault="0052116C" w:rsidP="005211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eastAsia="ArialMT" w:hAnsi="Arial" w:cs="Arial"/>
          <w:color w:val="000000"/>
          <w:sz w:val="24"/>
          <w:szCs w:val="24"/>
        </w:rPr>
      </w:pP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Secara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sederhana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inflasi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diartikan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sebagai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kenaikan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harga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secara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umum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dan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terus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menerus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dalam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jangka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waktu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tertentu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.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Kenaikan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harga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dari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satu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atau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dua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barang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saja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tidak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dapat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disebut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inflasi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kecuali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bila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kenaikan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itu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meluas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(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atau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mengakibatkan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kenaikan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harga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)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pada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barang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lainnya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.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Kebalikan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dari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inflasi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disebut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deflasi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>.</w:t>
      </w:r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Menggunakan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r w:rsidRPr="0052116C">
        <w:rPr>
          <w:rFonts w:ascii="Arial" w:eastAsia="ArialMT" w:hAnsi="Arial" w:cs="Arial"/>
          <w:color w:val="1155CD"/>
          <w:sz w:val="24"/>
          <w:szCs w:val="24"/>
        </w:rPr>
        <w:t xml:space="preserve">data </w:t>
      </w:r>
      <w:proofErr w:type="spellStart"/>
      <w:r w:rsidRPr="0052116C">
        <w:rPr>
          <w:rFonts w:ascii="Arial" w:eastAsia="ArialMT" w:hAnsi="Arial" w:cs="Arial"/>
          <w:color w:val="1155CD"/>
          <w:sz w:val="24"/>
          <w:szCs w:val="24"/>
        </w:rPr>
        <w:t>inflasi</w:t>
      </w:r>
      <w:proofErr w:type="spellEnd"/>
      <w:r w:rsidRPr="0052116C">
        <w:rPr>
          <w:rFonts w:ascii="Arial" w:eastAsia="ArialMT" w:hAnsi="Arial" w:cs="Arial"/>
          <w:color w:val="1155CD"/>
          <w:sz w:val="24"/>
          <w:szCs w:val="24"/>
        </w:rPr>
        <w:t xml:space="preserve"> Indonesia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lakukan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analisis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mengenai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data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tersebut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r w:rsidRPr="0052116C">
        <w:rPr>
          <w:rFonts w:ascii="Arial" w:eastAsia="ArialMT" w:hAnsi="Arial" w:cs="Arial"/>
          <w:color w:val="000000"/>
          <w:sz w:val="24"/>
          <w:szCs w:val="24"/>
        </w:rPr>
        <w:t>(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menggunakan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Python).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Hasil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analisis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bisa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mencakup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analisis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deskriptif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atau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analisis</w:t>
      </w:r>
      <w:proofErr w:type="spellEnd"/>
    </w:p>
    <w:p w:rsidR="007757A3" w:rsidRDefault="007757A3" w:rsidP="004414D6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eastAsia="ArialMT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5777"/>
        <w:gridCol w:w="3786"/>
      </w:tblGrid>
      <w:tr w:rsidR="00133DD7" w:rsidTr="00133DD7">
        <w:tc>
          <w:tcPr>
            <w:tcW w:w="5777" w:type="dxa"/>
          </w:tcPr>
          <w:p w:rsidR="00133DD7" w:rsidRDefault="00133DD7" w:rsidP="00133DD7">
            <w:pPr>
              <w:autoSpaceDE w:val="0"/>
              <w:autoSpaceDN w:val="0"/>
              <w:adjustRightInd w:val="0"/>
              <w:jc w:val="center"/>
              <w:rPr>
                <w:rFonts w:ascii="Arial" w:eastAsia="ArialMT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E955C6" wp14:editId="658C7933">
                  <wp:extent cx="3531348" cy="2771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222" cy="2810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6" w:type="dxa"/>
          </w:tcPr>
          <w:p w:rsidR="00133DD7" w:rsidRDefault="00133DD7" w:rsidP="00133DD7">
            <w:pPr>
              <w:autoSpaceDE w:val="0"/>
              <w:autoSpaceDN w:val="0"/>
              <w:adjustRightInd w:val="0"/>
              <w:jc w:val="both"/>
              <w:rPr>
                <w:rFonts w:ascii="Arial" w:eastAsia="ArialMT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Analisis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deskriptif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:</w:t>
            </w:r>
          </w:p>
          <w:p w:rsidR="00133DD7" w:rsidRDefault="00133DD7" w:rsidP="00133DD7">
            <w:pPr>
              <w:autoSpaceDE w:val="0"/>
              <w:autoSpaceDN w:val="0"/>
              <w:adjustRightInd w:val="0"/>
              <w:jc w:val="both"/>
              <w:rPr>
                <w:rFonts w:ascii="Arial" w:eastAsia="ArialMT" w:hAnsi="Arial" w:cs="Arial"/>
                <w:color w:val="000000"/>
                <w:sz w:val="24"/>
                <w:szCs w:val="24"/>
              </w:rPr>
            </w:pPr>
          </w:p>
          <w:p w:rsidR="00133DD7" w:rsidRDefault="00133DD7" w:rsidP="002F1A48">
            <w:pPr>
              <w:autoSpaceDE w:val="0"/>
              <w:autoSpaceDN w:val="0"/>
              <w:adjustRightInd w:val="0"/>
              <w:jc w:val="both"/>
              <w:rPr>
                <w:noProof/>
              </w:rPr>
            </w:pPr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Dari data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inflasi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tiap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bulan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disediakan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diambil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rata-rata per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inflasi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seperti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gambar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F1A48">
              <w:rPr>
                <w:rFonts w:ascii="Arial" w:eastAsia="ArialMT" w:hAnsi="Arial" w:cs="Arial"/>
                <w:color w:val="000000"/>
                <w:sz w:val="24"/>
                <w:szCs w:val="24"/>
              </w:rPr>
              <w:t>disamping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rata-rate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inflasi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tertinggi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2005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yaitu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10.40%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terendah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2018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yaitu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3.20%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mengeluarkan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2019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karena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masih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berjalan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bulan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2002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karena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hanya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berisi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bulan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7757A3" w:rsidRPr="007757A3" w:rsidRDefault="007757A3" w:rsidP="007757A3">
      <w:pPr>
        <w:autoSpaceDE w:val="0"/>
        <w:autoSpaceDN w:val="0"/>
        <w:adjustRightInd w:val="0"/>
        <w:spacing w:after="0" w:line="240" w:lineRule="auto"/>
        <w:ind w:left="66"/>
        <w:jc w:val="both"/>
        <w:rPr>
          <w:rFonts w:ascii="Arial" w:eastAsia="ArialMT" w:hAnsi="Arial" w:cs="Arial"/>
          <w:color w:val="000000"/>
          <w:sz w:val="24"/>
          <w:szCs w:val="24"/>
        </w:rPr>
      </w:pPr>
    </w:p>
    <w:p w:rsidR="0069122F" w:rsidRDefault="0069122F" w:rsidP="007F30AC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eastAsia="ArialMT" w:hAnsi="Arial" w:cs="Arial"/>
          <w:color w:val="000000"/>
          <w:sz w:val="24"/>
          <w:szCs w:val="24"/>
        </w:rPr>
      </w:pPr>
    </w:p>
    <w:p w:rsidR="0052116C" w:rsidRPr="0052116C" w:rsidRDefault="0052116C" w:rsidP="005211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eastAsia="ArialMT" w:hAnsi="Arial" w:cs="Arial"/>
          <w:color w:val="000000"/>
          <w:sz w:val="24"/>
          <w:szCs w:val="24"/>
        </w:rPr>
      </w:pPr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Data </w:t>
      </w:r>
      <w:proofErr w:type="spellStart"/>
      <w:r w:rsidRPr="0052116C">
        <w:rPr>
          <w:rFonts w:ascii="Arial" w:eastAsia="ArialMT" w:hAnsi="Arial" w:cs="Arial"/>
          <w:i/>
          <w:iCs/>
          <w:color w:val="000000"/>
          <w:sz w:val="24"/>
          <w:szCs w:val="24"/>
          <w:lang w:bidi="he-IL"/>
        </w:rPr>
        <w:t>mtcars</w:t>
      </w:r>
      <w:proofErr w:type="spellEnd"/>
      <w:r w:rsidRPr="0052116C">
        <w:rPr>
          <w:rFonts w:ascii="Arial" w:eastAsia="ArialMT" w:hAnsi="Arial" w:cs="Arial"/>
          <w:i/>
          <w:iCs/>
          <w:color w:val="000000"/>
          <w:sz w:val="24"/>
          <w:szCs w:val="24"/>
          <w:lang w:bidi="he-IL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merupakan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data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majalah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trend motor US.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Menggunakan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data </w:t>
      </w:r>
      <w:proofErr w:type="spellStart"/>
      <w:r w:rsidRPr="0052116C">
        <w:rPr>
          <w:rFonts w:ascii="Arial" w:eastAsia="ArialMT" w:hAnsi="Arial" w:cs="Arial"/>
          <w:color w:val="1155CD"/>
          <w:sz w:val="24"/>
          <w:szCs w:val="24"/>
        </w:rPr>
        <w:t>mtcars</w:t>
      </w:r>
      <w:proofErr w:type="spellEnd"/>
      <w:r>
        <w:rPr>
          <w:rFonts w:ascii="Arial" w:eastAsia="ArialMT" w:hAnsi="Arial" w:cs="Arial"/>
          <w:color w:val="1155CD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lakukan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proses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berikut</w:t>
      </w:r>
      <w:proofErr w:type="spellEnd"/>
    </w:p>
    <w:p w:rsidR="0052116C" w:rsidRPr="0052116C" w:rsidRDefault="0052116C" w:rsidP="0052116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eastAsia="ArialMT" w:hAnsi="Arial" w:cs="Arial"/>
          <w:color w:val="000000"/>
          <w:sz w:val="24"/>
          <w:szCs w:val="24"/>
        </w:rPr>
      </w:pPr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● Import data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mtcars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ke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Python</w:t>
      </w:r>
    </w:p>
    <w:p w:rsidR="0052116C" w:rsidRPr="0052116C" w:rsidRDefault="0052116C" w:rsidP="0052116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eastAsia="ArialMT" w:hAnsi="Arial" w:cs="Arial"/>
          <w:color w:val="000000"/>
          <w:sz w:val="24"/>
          <w:szCs w:val="24"/>
        </w:rPr>
      </w:pPr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●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Buat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kolom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baru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di python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bernama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mpg_level</w:t>
      </w:r>
      <w:proofErr w:type="spellEnd"/>
    </w:p>
    <w:p w:rsidR="0052116C" w:rsidRPr="0052116C" w:rsidRDefault="0052116C" w:rsidP="0052116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eastAsia="ArialMT" w:hAnsi="Arial" w:cs="Arial"/>
          <w:color w:val="000000"/>
          <w:sz w:val="24"/>
          <w:szCs w:val="24"/>
        </w:rPr>
      </w:pPr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● Isi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kolom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mpg_level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tersebut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berdasarkan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variabel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mpg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dengan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ketentuan</w:t>
      </w:r>
      <w:proofErr w:type="spellEnd"/>
      <w:r w:rsidR="003B0BE7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sebagai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52116C">
        <w:rPr>
          <w:rFonts w:ascii="Arial" w:eastAsia="ArialMT" w:hAnsi="Arial" w:cs="Arial"/>
          <w:color w:val="000000"/>
          <w:sz w:val="24"/>
          <w:szCs w:val="24"/>
        </w:rPr>
        <w:t>berikut</w:t>
      </w:r>
      <w:proofErr w:type="spellEnd"/>
      <w:r w:rsidR="003B0BE7">
        <w:rPr>
          <w:rFonts w:ascii="Arial" w:eastAsia="ArialMT" w:hAnsi="Arial" w:cs="Arial"/>
          <w:color w:val="000000"/>
          <w:sz w:val="24"/>
          <w:szCs w:val="24"/>
        </w:rPr>
        <w:t xml:space="preserve"> :</w:t>
      </w:r>
      <w:proofErr w:type="gramEnd"/>
    </w:p>
    <w:p w:rsidR="0052116C" w:rsidRPr="0052116C" w:rsidRDefault="0052116C" w:rsidP="003B0BE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eastAsia="ArialMT" w:hAnsi="Arial" w:cs="Arial"/>
          <w:color w:val="000000"/>
          <w:sz w:val="24"/>
          <w:szCs w:val="24"/>
        </w:rPr>
      </w:pP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Jika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mpg &lt; 20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maka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mpg_level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= low</w:t>
      </w:r>
    </w:p>
    <w:p w:rsidR="0052116C" w:rsidRPr="0052116C" w:rsidRDefault="0052116C" w:rsidP="003B0BE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eastAsia="ArialMT" w:hAnsi="Arial" w:cs="Arial"/>
          <w:color w:val="000000"/>
          <w:sz w:val="24"/>
          <w:szCs w:val="24"/>
        </w:rPr>
      </w:pP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Jika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mpg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berkisar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20-30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maka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mpg_level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= medium</w:t>
      </w:r>
    </w:p>
    <w:p w:rsidR="0052116C" w:rsidRPr="0052116C" w:rsidRDefault="0052116C" w:rsidP="003B0BE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eastAsia="ArialMT" w:hAnsi="Arial" w:cs="Arial"/>
          <w:color w:val="000000"/>
          <w:sz w:val="24"/>
          <w:szCs w:val="24"/>
        </w:rPr>
      </w:pP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Jika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mpg &gt; 30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maka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mpg_level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= hard</w:t>
      </w:r>
    </w:p>
    <w:p w:rsidR="0052116C" w:rsidRPr="0052116C" w:rsidRDefault="0052116C" w:rsidP="0052116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eastAsia="ArialMT" w:hAnsi="Arial" w:cs="Arial"/>
          <w:color w:val="000000"/>
          <w:sz w:val="24"/>
          <w:szCs w:val="24"/>
        </w:rPr>
      </w:pPr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●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Lakukan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Explorasi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data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seluas-luasnya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(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contoh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proofErr w:type="spellStart"/>
      <w:r w:rsidRPr="0052116C">
        <w:rPr>
          <w:rFonts w:ascii="Arial" w:eastAsia="ArialMT" w:hAnsi="Arial" w:cs="Arial"/>
          <w:color w:val="000000"/>
          <w:sz w:val="24"/>
          <w:szCs w:val="24"/>
        </w:rPr>
        <w:t>menggunakan</w:t>
      </w:r>
      <w:proofErr w:type="spellEnd"/>
      <w:r w:rsidRPr="0052116C">
        <w:rPr>
          <w:rFonts w:ascii="Arial" w:eastAsia="ArialMT" w:hAnsi="Arial" w:cs="Arial"/>
          <w:color w:val="000000"/>
          <w:sz w:val="24"/>
          <w:szCs w:val="24"/>
        </w:rPr>
        <w:t xml:space="preserve"> scatterplot,</w:t>
      </w:r>
    </w:p>
    <w:p w:rsidR="0052116C" w:rsidRDefault="0052116C" w:rsidP="0052116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eastAsia="ArialMT" w:hAnsi="Arial" w:cs="Arial"/>
          <w:color w:val="000000"/>
          <w:sz w:val="24"/>
          <w:szCs w:val="24"/>
        </w:rPr>
      </w:pPr>
      <w:proofErr w:type="spellStart"/>
      <w:proofErr w:type="gramStart"/>
      <w:r w:rsidRPr="0052116C">
        <w:rPr>
          <w:rFonts w:ascii="Arial" w:eastAsia="ArialMT" w:hAnsi="Arial" w:cs="Arial"/>
          <w:color w:val="000000"/>
          <w:sz w:val="24"/>
          <w:szCs w:val="24"/>
        </w:rPr>
        <w:t>barchart</w:t>
      </w:r>
      <w:proofErr w:type="spellEnd"/>
      <w:proofErr w:type="gramEnd"/>
      <w:r w:rsidRPr="0052116C">
        <w:rPr>
          <w:rFonts w:ascii="Arial" w:eastAsia="ArialMT" w:hAnsi="Arial" w:cs="Arial"/>
          <w:color w:val="000000"/>
          <w:sz w:val="24"/>
          <w:szCs w:val="24"/>
        </w:rPr>
        <w:t>, cross tab)</w:t>
      </w:r>
    </w:p>
    <w:p w:rsidR="00A304E1" w:rsidRDefault="00A304E1" w:rsidP="00A304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6"/>
        <w:gridCol w:w="3593"/>
      </w:tblGrid>
      <w:tr w:rsidR="00133DD7" w:rsidTr="00133DD7">
        <w:tc>
          <w:tcPr>
            <w:tcW w:w="4815" w:type="dxa"/>
          </w:tcPr>
          <w:p w:rsidR="00133DD7" w:rsidRDefault="00133DD7" w:rsidP="00A304E1">
            <w:pPr>
              <w:autoSpaceDE w:val="0"/>
              <w:autoSpaceDN w:val="0"/>
              <w:adjustRightInd w:val="0"/>
              <w:jc w:val="both"/>
              <w:rPr>
                <w:rFonts w:ascii="Arial" w:eastAsia="ArialMT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CBDCD1" wp14:editId="302A8AD7">
                  <wp:extent cx="3695700" cy="6305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630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9A18B8" w:rsidRDefault="009A18B8" w:rsidP="00A304E1">
            <w:pPr>
              <w:autoSpaceDE w:val="0"/>
              <w:autoSpaceDN w:val="0"/>
              <w:adjustRightInd w:val="0"/>
              <w:jc w:val="both"/>
              <w:rPr>
                <w:rFonts w:ascii="Arial" w:eastAsia="ArialMT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Keterangan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:</w:t>
            </w:r>
          </w:p>
          <w:p w:rsidR="009A18B8" w:rsidRDefault="009A18B8" w:rsidP="00A304E1">
            <w:pPr>
              <w:autoSpaceDE w:val="0"/>
              <w:autoSpaceDN w:val="0"/>
              <w:adjustRightInd w:val="0"/>
              <w:jc w:val="both"/>
              <w:rPr>
                <w:rFonts w:ascii="Arial" w:eastAsia="ArialMT" w:hAnsi="Arial" w:cs="Arial"/>
                <w:color w:val="000000"/>
                <w:sz w:val="24"/>
                <w:szCs w:val="24"/>
              </w:rPr>
            </w:pPr>
          </w:p>
          <w:p w:rsidR="009A18B8" w:rsidRDefault="009A18B8" w:rsidP="009A18B8">
            <w:pPr>
              <w:autoSpaceDE w:val="0"/>
              <w:autoSpaceDN w:val="0"/>
              <w:adjustRightInd w:val="0"/>
              <w:jc w:val="both"/>
              <w:rPr>
                <w:rFonts w:ascii="Arial" w:eastAsia="ArialMT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disamping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merupakan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column ‘Cars’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‘mpg’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penambahan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satu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column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yaitu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mpg_level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’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isi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yaitu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level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tiap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mobil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berdasarkan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Arial" w:eastAsia="ArialMT" w:hAnsi="Arial" w:cs="Arial"/>
                <w:color w:val="000000"/>
                <w:sz w:val="24"/>
                <w:szCs w:val="24"/>
              </w:rPr>
              <w:t xml:space="preserve"> mpg.</w:t>
            </w:r>
            <w:bookmarkStart w:id="0" w:name="_GoBack"/>
            <w:bookmarkEnd w:id="0"/>
          </w:p>
        </w:tc>
      </w:tr>
    </w:tbl>
    <w:p w:rsidR="00A304E1" w:rsidRPr="0052116C" w:rsidRDefault="00A304E1" w:rsidP="00A304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  <w:sz w:val="24"/>
          <w:szCs w:val="24"/>
        </w:rPr>
      </w:pPr>
    </w:p>
    <w:sectPr w:rsidR="00A304E1" w:rsidRPr="0052116C" w:rsidSect="0052116C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40B11"/>
    <w:multiLevelType w:val="hybridMultilevel"/>
    <w:tmpl w:val="267E3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B389F"/>
    <w:multiLevelType w:val="hybridMultilevel"/>
    <w:tmpl w:val="267E3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96396"/>
    <w:multiLevelType w:val="hybridMultilevel"/>
    <w:tmpl w:val="ECEE2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9D"/>
    <w:rsid w:val="00133DD7"/>
    <w:rsid w:val="00256190"/>
    <w:rsid w:val="002F1A48"/>
    <w:rsid w:val="003B0BE7"/>
    <w:rsid w:val="004414D6"/>
    <w:rsid w:val="00505520"/>
    <w:rsid w:val="0052116C"/>
    <w:rsid w:val="005843FC"/>
    <w:rsid w:val="00663720"/>
    <w:rsid w:val="0069122F"/>
    <w:rsid w:val="007757A3"/>
    <w:rsid w:val="007F30AC"/>
    <w:rsid w:val="008362F9"/>
    <w:rsid w:val="0085269D"/>
    <w:rsid w:val="00964BE2"/>
    <w:rsid w:val="009A18B8"/>
    <w:rsid w:val="00A304E1"/>
    <w:rsid w:val="00B20B04"/>
    <w:rsid w:val="00D7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2BBD5-9DB5-4379-99C7-A55304AE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16C"/>
    <w:pPr>
      <w:ind w:left="720"/>
      <w:contextualSpacing/>
    </w:pPr>
  </w:style>
  <w:style w:type="table" w:styleId="TableGrid">
    <w:name w:val="Table Grid"/>
    <w:basedOn w:val="TableNormal"/>
    <w:uiPriority w:val="39"/>
    <w:rsid w:val="00775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Tiani KR</dc:creator>
  <cp:keywords/>
  <dc:description/>
  <cp:lastModifiedBy>Tiani KR</cp:lastModifiedBy>
  <cp:revision>13</cp:revision>
  <dcterms:created xsi:type="dcterms:W3CDTF">2019-11-07T14:28:00Z</dcterms:created>
  <dcterms:modified xsi:type="dcterms:W3CDTF">2019-11-07T15:06:00Z</dcterms:modified>
</cp:coreProperties>
</file>