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PingFang SC" w:hAnsi="PingFang SC"/>
          <w:i w:val="0"/>
          <w:color w:val="2563EB"/>
          <w:sz w:val="18"/>
        </w:rPr>
        <w:t>DATASET REFERENCE · 2026-09</w:t>
      </w:r>
    </w:p>
    <w:p>
      <w:pPr>
        <w:pStyle w:val="Heading1"/>
        <w:spacing w:line="312" w:lineRule="auto" w:before="1920" w:after="288"/>
        <w:jc w:val="center"/>
      </w:pPr>
      <w:r>
        <w:rPr>
          <w:rFonts w:ascii="微软雅黑" w:hAnsi="微软雅黑" w:eastAsia="微软雅黑" w:cs="微软雅黑" w:hint="eastAsia"/>
          <w:b w:val="0"/>
          <w:i w:val="0"/>
          <w:color w:val="111827"/>
          <w:sz w:val="48"/>
          <w:lang w:eastAsia="zh-CN"/>
        </w:rPr>
        <w:t>智能家居公开数据集整理</w:t>
      </w:r>
    </w:p>
    <w:p>
      <w:pPr>
        <w:spacing w:after="780"/>
        <w:jc w:val="center"/>
      </w:pPr>
      <w:r>
        <w:rPr>
          <w:b w:val="0"/>
          <w:i w:val="0"/>
          <w:color w:val="000000"/>
          <w:sz w:val="26"/>
        </w:rPr>
        <w:t xml:space="preserve">40+ </w:t>
      </w:r>
      <w:r>
        <w:rPr>
          <w:rFonts w:ascii="微软雅黑" w:eastAsia="微软雅黑" w:hAnsi="微软雅黑" w:cs="微软雅黑" w:hint="eastAsia"/>
          <w:b w:val="0"/>
          <w:i w:val="0"/>
          <w:color w:val="000000"/>
          <w:sz w:val="26"/>
          <w:lang w:eastAsia="zh-CN"/>
        </w:rPr>
        <w:t>个公开数据集</w:t>
      </w:r>
      <w:r>
        <w:rPr>
          <w:b w:val="0"/>
          <w:i w:val="0"/>
          <w:color w:val="00000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b w:val="0"/>
          <w:i w:val="0"/>
          <w:color w:val="000000"/>
          <w:sz w:val="26"/>
          <w:lang w:eastAsia="zh-CN"/>
        </w:rPr>
        <w:t>五大分类</w:t>
      </w:r>
      <w:r>
        <w:rPr>
          <w:b w:val="0"/>
          <w:i w:val="0"/>
          <w:color w:val="00000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b w:val="0"/>
          <w:i w:val="0"/>
          <w:color w:val="000000"/>
          <w:sz w:val="26"/>
          <w:lang w:eastAsia="zh-CN"/>
        </w:rPr>
        <w:t>含原始链接与选用建议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7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color w:val="6B7280"/>
                <w:sz w:val="22"/>
              </w:rPr>
              <w:t>整理时间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i w:val="0"/>
                <w:color w:val="000000"/>
                <w:sz w:val="22"/>
              </w:rPr>
              <w:t xml:space="preserve">2026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9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月</w:t>
            </w:r>
          </w:p>
        </w:tc>
      </w:tr>
      <w:tr>
        <w:tc>
          <w:tcPr>
            <w:tcW w:type="dxa" w:w="7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color w:val="6B7280"/>
                <w:sz w:val="22"/>
              </w:rPr>
              <w:t>适用对象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i w:val="0"/>
                <w:color w:val="000000"/>
                <w:sz w:val="22"/>
              </w:rPr>
              <w:t>参赛队员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/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需要快速选定数据集的工程师</w:t>
            </w:r>
          </w:p>
        </w:tc>
      </w:tr>
      <w:tr>
        <w:tc>
          <w:tcPr>
            <w:tcW w:type="dxa" w:w="7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color w:val="6B7280"/>
                <w:sz w:val="22"/>
              </w:rPr>
              <w:t>收录范围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i w:val="0"/>
                <w:color w:val="000000"/>
                <w:sz w:val="22"/>
              </w:rPr>
              <w:t>活动识别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能耗监测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网络安全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环境与合成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语音指令</w:t>
            </w:r>
          </w:p>
        </w:tc>
      </w:tr>
    </w:tbl>
    <w:p>
      <w:pPr>
        <w:spacing w:before="720"/>
        <w:jc w:val="center"/>
      </w:pP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所有链接以官方主页、</w:t>
      </w:r>
      <w:r>
        <w:rPr>
          <w:i w:val="0"/>
          <w:color w:val="000000"/>
          <w:sz w:val="18"/>
        </w:rPr>
        <w:t>DOI</w:t>
      </w: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、机构数据页为准</w:t>
      </w:r>
      <w:r/>
    </w:p>
    <w:p>
      <w:pPr>
        <w:spacing w:after="120"/>
      </w:pPr>
      <w:r>
        <w:rPr>
          <w:rFonts w:ascii="微软雅黑" w:hAnsi="微软雅黑" w:eastAsia="微软雅黑" w:cs="微软雅黑" w:hint="eastAsia"/>
          <w:b w:val="0"/>
          <w:i w:val="0"/>
          <w:color w:val="000000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after="96"/>
      </w:pPr>
      <w:hyperlink w:anchor="section-1">
        <w:r>
          <w:rPr>
            <w:color w:val="0000EE"/>
            <w:u w:val="single"/>
          </w:rPr>
          <w:t>一、活动识别（ADL / HAR）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2">
        <w:r>
          <w:rPr>
            <w:color w:val="0000EE"/>
            <w:u w:val="single"/>
          </w:rPr>
          <w:t>二、能耗与非侵入式负载监测（NILM）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3">
        <w:r>
          <w:rPr>
            <w:color w:val="0000EE"/>
            <w:u w:val="single"/>
          </w:rPr>
          <w:t>三、网络流量与安全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4">
        <w:r>
          <w:rPr>
            <w:color w:val="0000EE"/>
            <w:u w:val="single"/>
          </w:rPr>
          <w:t>四、环境质量、占用与合成数据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5">
        <w:r>
          <w:rPr>
            <w:color w:val="0000EE"/>
            <w:u w:val="single"/>
          </w:rPr>
          <w:t>五、语音指令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6">
        <w:r>
          <w:rPr>
            <w:color w:val="0000EE"/>
            <w:u w:val="single"/>
          </w:rPr>
          <w:t>六、聚合入口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7">
        <w:r>
          <w:rPr>
            <w:color w:val="0000EE"/>
            <w:u w:val="single"/>
          </w:rPr>
          <w:t>七、面向比赛的选用建议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pPr>
              <w:spacing w:before="120" w:after="120"/>
              <w:pBdr>
                <w:left w:val="single" w:sz="24" w:space="0" w:color="01579B"/>
              </w:pBdr>
            </w:pPr>
            <w:r>
              <w:rPr>
                <w:b/>
                <w:color w:val="000000"/>
              </w:rPr>
              <w:t>访问提示</w:t>
            </w:r>
            <w:r>
              <w:rPr>
                <w:color w:val="000000"/>
              </w:rPr>
              <w:t>：本文大部分原始站点（</w:t>
            </w:r>
            <w:r>
              <w:rPr>
                <w:color w:val="000000"/>
              </w:rPr>
              <w:t>Zenodo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UCI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IEEE DataPort</w:t>
            </w:r>
            <w:r>
              <w:rPr>
                <w:color w:val="000000"/>
              </w:rPr>
              <w:t>、各大学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机构官网）均为国际源。在国内网络受限环境（如本届黑客松云节点，已实测国际出网不可用）下，推荐两条获取路径：</w:t>
            </w:r>
          </w:p>
          <w:p>
            <w:pPr>
              <w:spacing w:after="120" w:before="120"/>
              <w:pBdr>
                <w:left w:val="single" w:sz="24" w:space="0" w:color="01579B"/>
              </w:pBdr>
            </w:pPr>
            <w:r>
              <w:rPr>
                <w:color w:val="000000"/>
              </w:rPr>
              <w:t>在本机下载后通过</w:t>
            </w:r>
            <w:r>
              <w:rPr>
                <w:color w:val="000000"/>
              </w:rPr>
              <w:t xml:space="preserve"> scp </w:t>
            </w:r>
            <w:r>
              <w:rPr>
                <w:color w:val="000000"/>
              </w:rPr>
              <w:t>传至节点（小于</w:t>
            </w:r>
            <w:r>
              <w:rPr>
                <w:color w:val="000000"/>
              </w:rPr>
              <w:t xml:space="preserve"> 1 GB </w:t>
            </w:r>
            <w:r>
              <w:rPr>
                <w:color w:val="000000"/>
              </w:rPr>
              <w:t>的文件赛事规则允许）；</w:t>
            </w:r>
          </w:p>
          <w:p>
            <w:pPr>
              <w:spacing w:after="120" w:before="120"/>
              <w:pBdr>
                <w:left w:val="single" w:sz="24" w:space="0" w:color="01579B"/>
              </w:pBdr>
            </w:pPr>
            <w:r>
              <w:rPr>
                <w:color w:val="000000"/>
              </w:rPr>
              <w:t>在</w:t>
            </w:r>
            <w:r>
              <w:rPr>
                <w:color w:val="000000"/>
              </w:rPr>
              <w:t xml:space="preserve"> ModelScope </w:t>
            </w:r>
            <w:r>
              <w:rPr>
                <w:color w:val="000000"/>
              </w:rPr>
              <w:t>数据集库搜索同名镜像：</w:t>
            </w:r>
            <w:r>
              <w:rPr>
                <w:rFonts w:ascii="JetBrains Mono" w:hAnsi="JetBrains Mono" w:eastAsia="JetBrains Mono"/>
                <w:color w:val="000000"/>
              </w:rPr>
              <w:t>modelscope.cn/datasets</w:t>
            </w:r>
            <w:r>
              <w:rPr>
                <w:color w:val="000000"/>
              </w:rPr>
              <w:t>。</w:t>
            </w:r>
          </w:p>
        </w:tc>
      </w:tr>
    </w:tbl>
    <w:p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一、活动识别（ADL / HAR）</w:t>
      </w:r>
    </w:p>
    <w:p>
      <w:pPr/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本类是智能家居研究中数量最多的方向，主流数据集均带活动标签，可直接用于分类、异常检测与行为建模。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CASAS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（项目总入口）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2007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自称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66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个数据集，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32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户以上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华盛顿州立大学智能公寓系列，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PIR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运动、门磁、温度、用电，含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Aruba / Kyoto / Tulum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等经典子集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casas.wsu.edu/datasets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CASAS Zenodo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社区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持续更新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同上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官方归档社区，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2025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年新发布多个版本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zenodo.org/communities/casas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CASAS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认知诊断版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2025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179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名参与者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项脚本化活动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认知诊断标签（痴呆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MCI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健康），适合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异常行为发现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场景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doi.org/10.5281/zenodo.15717153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CASAS adl_error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版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2025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名参与者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× 5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项活动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每项活动含一个脚本化错误（忘关火、拨错号等），适合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处置决策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类演示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doi.org/10.5281/zenodo.15712834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UCI ADL Binary Sensors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Ordóñez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户单人，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传感器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二进制传感器活动识别入门标准集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archive.ics.uci.edu/ml/datasets/Activities+of+Daily+Living+(ADLs)+Recognition+Using+Binary+Sensors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van Kasteren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2008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户单人，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14~21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传感器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Ordóñez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齐名的经典集，标签完整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sites.google.com/site/tim0306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ARAS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户多人，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27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种活动，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30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运动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接触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环境传感器，多人场景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cmpe.boun.edu.tr/aras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House_n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MIT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2004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户单人，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77~84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传感器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老牌数据集，含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PlaceLab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子集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web.mit.edu/cron/group/house_n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DOMUS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2011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户，近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年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高频采样温湿度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光照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运动；原站稳定性一般，建议经综述页获取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frontiersin.org/articles/10.3389/friot.2023.1275080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HIS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Health Smart Home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户多人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运动、门、温度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麦克风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摄像头（含隐私敏感模态）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lig-getalp.imag.fr/fr/health-smart-home-his-datasets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OPPORTUNITY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2011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户多人，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72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传感器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可穿戴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环境混合，受控实验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archive.ics.uci.edu/ml/datasets/OPPORTUNITY+Activity+Recognition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Orange4Home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2017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户单人，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200+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设备与环境传感器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28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天受控实验，标注细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amiqual4home.inria.fr/orange4home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MARBLE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户多人，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小时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环境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可穿戴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智能设备多模态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frontiersin.org/articles/10.3389/friot.2023.1275080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UCISH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（手机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HAR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加速度计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陀螺仪，智能手机活动识别经典集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archive.ics.uci.edu/ml/datasets/Human+Activity+Recognition+Using+Smartphones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MuRAL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2025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小时，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1~4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人动态住户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多住户环境传感器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自然语言标注，专为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LLM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驱动的活动识别设计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themoonlight.io/zh/review/mural-a-multi-resident-ambient-sensor-dataset-annotated-with-natural-language-for-activities-of-daily-living</w:t>
            </w:r>
          </w:p>
        </w:tc>
      </w:tr>
    </w:tbl>
    <w:p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二、能耗与非侵入式负载监测（NILM）</w:t>
      </w:r>
    </w:p>
    <w:p>
      <w:pPr/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本类数据集以电力（部分含水、气）测量为主，适合能耗预测、设备分解、异常用电检测。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UK-DALE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2015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5000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小时，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秒级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总线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设备级功耗，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NILM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基准集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jack-kelly.com/data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REFIT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2017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户，英国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总线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设备级，清洗版常用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refitsmarthomes.org/datasets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REDD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2011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户，美国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NILM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开山数据集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redd.csail.mit.edu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AMPds / AMPds2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2013 / 2016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2~3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年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电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水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气分钟级，长期监测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ampds.org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ECO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2014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户，瑞士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设备级功耗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占用标注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vs.inf.ethz.ch/res/show.html?what=eco-data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GREEND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2014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8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户，奥地利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意大利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设备级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1Hz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，约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年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sourceforge.net/projects/greend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BLUED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户，美国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高频事件级，含设备开关事件标签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nilmcm.com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DRED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2015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户，荷兰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总线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设备级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环境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st.ewi.tudelft.nl/~akshay/dred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iAWE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户，印度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33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个传感器，电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水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iawe.github.io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IDEAL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2021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255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户，英国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大规模住户能耗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家庭属性调查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datashare.ed.ac.uk/handle/10283/3647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Pecan Street Dataport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持续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1000+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户，美国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全球最大住宅能耗库，需免费注册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pecanstreet.org/dataport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家庭电力消耗（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UCI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207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万条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单户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年分钟级功耗，时序预测常用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archive.ics.uci.edu/ml/datasets/individual+household+electric+power+consumption</w:t>
            </w:r>
          </w:p>
        </w:tc>
      </w:tr>
    </w:tbl>
    <w:p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三、网络流量与安全</w:t>
      </w:r>
    </w:p>
    <w:p>
      <w:pPr/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本类用于设备识别、入侵检测、异常流量分析，适合</w:t>
      </w:r>
      <w:r>
        <w:rPr>
          <w:i w:val="0"/>
          <w:color w:val="000000"/>
        </w:rPr>
        <w:t>"</w:t>
      </w:r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家庭安全守护</w:t>
      </w:r>
      <w:r>
        <w:rPr>
          <w:i w:val="0"/>
          <w:color w:val="000000"/>
        </w:rPr>
        <w:t>"</w:t>
      </w:r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类场景。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IoT-Sentinel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2017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台设备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设备指纹识别，网络安全经典集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research.aalto.fi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IoT-23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23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个捕获文件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Stratosphere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实验室，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IoT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恶意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良性流量标注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stratosphereips.org/datasets-iot23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TON_IoT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多子集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含智能家居子集，网络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系统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应用三层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research.unsw.edu.au/projects/toniot-datasets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Bot-IoT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2019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7200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万条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僵尸网络攻击检测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research.unsw.edu.au/projects/bot-iot-dataset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UNSW IoT Traces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28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台消费级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IoT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智能家居真实流量，含设备行为基线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iotanalytics.unsw.edu.au/iottraces.html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CUBRE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户单人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网络流量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物理传感器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能耗同步时间线，网络物理异常检测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frontiersin.org/articles/10.3389/friot.2023.1275080</w:t>
            </w:r>
          </w:p>
        </w:tc>
      </w:tr>
    </w:tbl>
    <w:p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四、环境质量、占用与合成数据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HOMESENSE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户，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366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荷兰社会住房多传感器：温湿度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CO2 / TVOC / PIR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门磁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电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气，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分钟网格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doi.org/10.5281/zenodo.21687970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UCI Occupancy Detection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2015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万条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温湿度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光照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CO2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判断房间占用，入门友好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archive.ics.uci.edu/ml/datasets/Occupancy+Detection+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IEEE Context-Aware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合成集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1 GB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，三变体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多房间合成数据，含噪声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漂移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缺失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故障事件，附生成框架可扩展，适合做消融实验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ieee-dataport.org/documents/context-aware-smart-home-iot-dataset-energy-and-behavioral-analytics</w:t>
            </w:r>
          </w:p>
        </w:tc>
      </w:tr>
    </w:tbl>
    <w:p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五、语音指令</w:t>
      </w:r>
    </w:p>
    <w:p>
      <w:pPr/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用于</w:t>
      </w:r>
      <w:r>
        <w:rPr>
          <w:i w:val="0"/>
          <w:color w:val="000000"/>
        </w:rPr>
        <w:t>"</w:t>
      </w:r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语音控制</w:t>
      </w:r>
      <w:r>
        <w:rPr>
          <w:i w:val="0"/>
          <w:color w:val="000000"/>
        </w:rPr>
        <w:t xml:space="preserve"> Skill"</w:t>
      </w:r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类功能，带意图与槽位标注。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Fluent Speech Commands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FSC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2019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30043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全部为智能家居指令（调灯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控温等），意图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槽位标注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fluent.ai/fluent-speech-commands-a-dataset-for-spoken-language-understanding-research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i w:val="0"/>
                <w:color w:val="2563EB"/>
                <w:sz w:val="18"/>
              </w:rPr>
              <w:t>huggingface.co/datasets/google/fluent_speech_commands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SLURP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72000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18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个场景含家居，自然度更高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zenodo.org/records/4274930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github.com/pswietojanski/slurp</w:t>
            </w:r>
          </w:p>
        </w:tc>
      </w:tr>
    </w:tbl>
    <w:p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六、聚合入口（找更多数据集从这里进）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入口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IoTDataset.com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收录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330+ IoT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数据集，含来源与许可信息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iotdataset.com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IoT-Timeseries-Datasets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GitHub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精选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IoT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时序数据集清单（含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AI4I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AMPds2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等）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github.com/chrico03/IoT-Timeseries-Datasets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NILM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社区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能耗分解方向数据集与工具聚合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nilmcm.com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ModelScope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数据集库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国内可达，可搜索同名镜像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modelscope.cn/datasets</w:t>
            </w:r>
          </w:p>
        </w:tc>
      </w:tr>
    </w:tbl>
    <w:p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七、面向比赛的选用建议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你的功能点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推荐数据集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异常行为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跌倒风险发现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CASAS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认知诊断版、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adl_error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自带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异常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vs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正常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标签，决策类演示现成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活动识别基线模型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CASAS Aruba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Ordóñez UCI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社区基准结果多，易对比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能耗异常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设备故障预警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UK-DALE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REFIT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、家庭电力消耗（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UCI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设备级标签可做负载分解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占用与舒适度决策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UCI Occupancy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HOMESENSE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特征少、上手快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快速搭演示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IEEE Context-Aware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合成集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免清洗、含故障事件、可无限扩展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语音控制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Skill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FSC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意图槽位标注直接可用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数据不够时的兜底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ModelScope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搜同名镜像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国内可达，绕过国际源限制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pPr>
              <w:spacing w:after="120" w:before="120"/>
              <w:pBdr>
                <w:left w:val="single" w:sz="24" w:space="0" w:color="01579B"/>
              </w:pBdr>
            </w:pPr>
            <w:r>
              <w:rPr>
                <w:color w:val="000000"/>
              </w:rPr>
              <w:t>以上链接以官方主页、</w:t>
            </w:r>
            <w:r>
              <w:rPr>
                <w:color w:val="000000"/>
              </w:rPr>
              <w:t>DOI</w:t>
            </w:r>
            <w:r>
              <w:rPr>
                <w:color w:val="000000"/>
              </w:rPr>
              <w:t>、机构数据页为准，稳定性较高；个别早期数据集（如</w:t>
            </w:r>
            <w:r>
              <w:rPr>
                <w:color w:val="000000"/>
              </w:rPr>
              <w:t xml:space="preserve"> DOMUS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MARBLE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IoT-Sentinel</w:t>
            </w:r>
            <w:r>
              <w:rPr>
                <w:color w:val="000000"/>
              </w:rPr>
              <w:t>）原始站点可能迁移，届时建议通过文中给出的综述论文页或聚合入口定位最新下载地址。</w:t>
            </w:r>
          </w:p>
        </w:tc>
      </w:tr>
    </w:tbl>
    <w:p>
      <w:pPr>
        <w:spacing w:before="360"/>
      </w:pP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本文档整理自公开学术综述与各数据集官方页面（</w:t>
      </w:r>
      <w:r>
        <w:rPr>
          <w:i w:val="0"/>
          <w:color w:val="000000"/>
          <w:sz w:val="18"/>
        </w:rPr>
        <w:t xml:space="preserve">2026-09 </w:t>
      </w: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检索核实）。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