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4C53" w14:textId="77777777" w:rsidR="001E28A6" w:rsidRDefault="001E28A6" w:rsidP="001E28A6"/>
    <w:p w14:paraId="57695ECE" w14:textId="1EEA53B0" w:rsidR="001E28A6" w:rsidRDefault="001E28A6" w:rsidP="001E28A6">
      <w:r>
        <w:rPr>
          <w:rFonts w:hint="eastAsia"/>
        </w:rPr>
        <w:t>福瑞医科（300049）春节假期沟通反馈：</w:t>
      </w:r>
    </w:p>
    <w:p w14:paraId="441D6F9E" w14:textId="6DBBC45F" w:rsidR="001E28A6" w:rsidRDefault="001E28A6" w:rsidP="001E28A6">
      <w:r>
        <w:rPr>
          <w:rFonts w:hint="eastAsia"/>
        </w:rPr>
        <w:t>关于</w:t>
      </w:r>
      <w:proofErr w:type="spellStart"/>
      <w:r>
        <w:rPr>
          <w:rFonts w:hint="eastAsia"/>
        </w:rPr>
        <w:t>Echosens</w:t>
      </w:r>
      <w:proofErr w:type="spellEnd"/>
    </w:p>
    <w:p w14:paraId="15C8D0B5" w14:textId="77777777" w:rsidR="001E28A6" w:rsidRDefault="001E28A6" w:rsidP="001E28A6"/>
    <w:p w14:paraId="2BF5DA27" w14:textId="49B09173" w:rsidR="001E28A6" w:rsidRDefault="001E28A6" w:rsidP="001E28A6">
      <w:r>
        <w:rPr>
          <w:rFonts w:hint="eastAsia"/>
        </w:rPr>
        <w:t>最新的很重要背景信息：</w:t>
      </w:r>
    </w:p>
    <w:p w14:paraId="47A340EA" w14:textId="77777777" w:rsidR="001E28A6" w:rsidRDefault="001E28A6" w:rsidP="001E28A6">
      <w:r>
        <w:rPr>
          <w:rFonts w:hint="eastAsia"/>
        </w:rPr>
        <w:t>《Madrigal：THR-β激动剂2025年销售额9.6亿美元》</w:t>
      </w:r>
    </w:p>
    <w:p w14:paraId="2980820A" w14:textId="5E78495C" w:rsidR="001E28A6" w:rsidRDefault="001E28A6" w:rsidP="001E28A6">
      <w:r>
        <w:rPr>
          <w:rFonts w:hint="eastAsia"/>
        </w:rPr>
        <w:t>2026年2月20日 07:58</w:t>
      </w:r>
    </w:p>
    <w:p w14:paraId="1E9D7064" w14:textId="0F13C869" w:rsidR="001E28A6" w:rsidRDefault="001E28A6" w:rsidP="001E28A6">
      <w:hyperlink r:id="rId5" w:history="1">
        <w:r w:rsidRPr="00144E88">
          <w:rPr>
            <w:rStyle w:val="ae"/>
            <w:rFonts w:hint="eastAsia"/>
          </w:rPr>
          <w:t>https://mp.weixin.qq.com/s/c7tqTxhKVIBKwVNKiCp-1w</w:t>
        </w:r>
      </w:hyperlink>
    </w:p>
    <w:p w14:paraId="795222FD" w14:textId="77777777" w:rsidR="001E28A6" w:rsidRPr="001E28A6" w:rsidRDefault="001E28A6" w:rsidP="001E28A6">
      <w:pPr>
        <w:rPr>
          <w:rFonts w:hint="eastAsia"/>
        </w:rPr>
      </w:pPr>
    </w:p>
    <w:p w14:paraId="653CBB78" w14:textId="61D79A8B" w:rsidR="001E28A6" w:rsidRDefault="001E28A6" w:rsidP="001E28A6">
      <w:r>
        <w:rPr>
          <w:rFonts w:hint="eastAsia"/>
        </w:rPr>
        <w:t>这个数据，在美股市场被认为营业收入超预期，利润不及预期。 关注Madrigal（MDGL）去推导福瑞的逻辑，只需要看营收，而</w:t>
      </w:r>
      <w:proofErr w:type="gramStart"/>
      <w:r>
        <w:rPr>
          <w:rFonts w:hint="eastAsia"/>
        </w:rPr>
        <w:t>无需看净利润</w:t>
      </w:r>
      <w:proofErr w:type="gramEnd"/>
      <w:r>
        <w:rPr>
          <w:rFonts w:hint="eastAsia"/>
        </w:rPr>
        <w:t>，因为投入成本在于商业推广。</w:t>
      </w:r>
    </w:p>
    <w:p w14:paraId="504ADF03" w14:textId="190162EC" w:rsidR="001E28A6" w:rsidRDefault="001E28A6" w:rsidP="001E28A6">
      <w:r>
        <w:rPr>
          <w:rFonts w:hint="eastAsia"/>
        </w:rPr>
        <w:t>Madrigal（MDGL）首个财务年度，销售额达到9.6亿美元，在美国制药行业中，属于重磅</w:t>
      </w:r>
      <w:proofErr w:type="gramStart"/>
      <w:r>
        <w:rPr>
          <w:rFonts w:hint="eastAsia"/>
        </w:rPr>
        <w:t>炸弹级</w:t>
      </w:r>
      <w:proofErr w:type="gramEnd"/>
      <w:r>
        <w:rPr>
          <w:rFonts w:hint="eastAsia"/>
        </w:rPr>
        <w:t>药物。</w:t>
      </w:r>
    </w:p>
    <w:p w14:paraId="3B48A31C" w14:textId="43488609" w:rsidR="001E28A6" w:rsidRDefault="001E28A6" w:rsidP="001E28A6">
      <w:r>
        <w:rPr>
          <w:rFonts w:hint="eastAsia"/>
        </w:rPr>
        <w:t>在</w:t>
      </w:r>
      <w:proofErr w:type="spellStart"/>
      <w:r>
        <w:rPr>
          <w:rFonts w:hint="eastAsia"/>
        </w:rPr>
        <w:t>Rezdiffra</w:t>
      </w:r>
      <w:proofErr w:type="spellEnd"/>
      <w:r>
        <w:rPr>
          <w:rFonts w:hint="eastAsia"/>
        </w:rPr>
        <w:t>获批前，市场普遍担心NASH药物的商业化难度：患者诊断率低、医生处方习惯保守、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保覆盖不确定。</w:t>
      </w:r>
    </w:p>
    <w:p w14:paraId="62839D1C" w14:textId="46FEE29E" w:rsidR="001E28A6" w:rsidRDefault="001E28A6" w:rsidP="001E28A6">
      <w:pPr>
        <w:rPr>
          <w:rFonts w:hint="eastAsia"/>
        </w:rPr>
      </w:pPr>
      <w:r>
        <w:rPr>
          <w:rFonts w:hint="eastAsia"/>
        </w:rPr>
        <w:t>然而，MDGL在2025年实现9.6亿美元销售，远超华尔街最初预测的5-6亿美元。</w:t>
      </w:r>
    </w:p>
    <w:p w14:paraId="08A92794" w14:textId="77777777" w:rsidR="001E28A6" w:rsidRDefault="001E28A6" w:rsidP="001E28A6">
      <w:r>
        <w:rPr>
          <w:rFonts w:hint="eastAsia"/>
        </w:rPr>
        <w:t>美</w:t>
      </w:r>
      <w:proofErr w:type="gramStart"/>
      <w:r>
        <w:rPr>
          <w:rFonts w:hint="eastAsia"/>
        </w:rPr>
        <w:t>股分析师最新</w:t>
      </w:r>
      <w:proofErr w:type="gramEnd"/>
      <w:r>
        <w:rPr>
          <w:rFonts w:hint="eastAsia"/>
        </w:rPr>
        <w:t>的预判是，MDGL在2025年实现9.6亿美元销售额，不仅是一个非常好的成绩，更是一个具有行业颠覆意义的里程碑。它证明了NASH药物的巨大商业潜力，也标志着MDGL从一家临床阶段生物</w:t>
      </w:r>
      <w:proofErr w:type="spellStart"/>
      <w:r>
        <w:rPr>
          <w:rFonts w:hint="eastAsia"/>
        </w:rPr>
        <w:t>otech</w:t>
      </w:r>
      <w:proofErr w:type="spellEnd"/>
      <w:r>
        <w:rPr>
          <w:rFonts w:hint="eastAsia"/>
        </w:rPr>
        <w:t>，正式转型为全球领先的创新药</w:t>
      </w:r>
      <w:proofErr w:type="gramStart"/>
      <w:r>
        <w:rPr>
          <w:rFonts w:hint="eastAsia"/>
        </w:rPr>
        <w:t>企</w:t>
      </w:r>
      <w:proofErr w:type="gramEnd"/>
      <w:r>
        <w:rPr>
          <w:rFonts w:hint="eastAsia"/>
        </w:rPr>
        <w:t>。这一成绩在美国药物销售史上，属于“令人震惊的快速崛起”级别，堪比当年Sovaldi（丙肝药）的爆发。</w:t>
      </w:r>
    </w:p>
    <w:p w14:paraId="3F34369C" w14:textId="48C35538" w:rsidR="001E28A6" w:rsidRDefault="001E28A6" w:rsidP="001E28A6">
      <w:pPr>
        <w:rPr>
          <w:rFonts w:hint="eastAsia"/>
        </w:rPr>
      </w:pPr>
      <w:r>
        <w:rPr>
          <w:rFonts w:hint="eastAsia"/>
        </w:rPr>
        <w:t>Madrigal（MDGL）</w:t>
      </w:r>
      <w:proofErr w:type="gramStart"/>
      <w:r>
        <w:rPr>
          <w:rFonts w:hint="eastAsia"/>
        </w:rPr>
        <w:t>在财报发布</w:t>
      </w:r>
      <w:proofErr w:type="gramEnd"/>
      <w:r>
        <w:rPr>
          <w:rFonts w:hint="eastAsia"/>
        </w:rPr>
        <w:t>后，进行了投资者沟通活动，下图：</w:t>
      </w:r>
    </w:p>
    <w:p w14:paraId="5129C2D0" w14:textId="403C5EAF" w:rsidR="001E28A6" w:rsidRDefault="001E28A6" w:rsidP="001E28A6">
      <w:r>
        <w:rPr>
          <w:rFonts w:hint="eastAsia"/>
          <w:noProof/>
        </w:rPr>
        <w:lastRenderedPageBreak/>
        <w:drawing>
          <wp:inline distT="0" distB="0" distL="0" distR="0" wp14:anchorId="484ECD26" wp14:editId="71160491">
            <wp:extent cx="5274310" cy="7863840"/>
            <wp:effectExtent l="0" t="0" r="2540" b="3810"/>
            <wp:docPr id="15921401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1A85" w14:textId="24525BE9" w:rsidR="001E28A6" w:rsidRDefault="001E28A6" w:rsidP="001E28A6">
      <w:r>
        <w:rPr>
          <w:rFonts w:hint="eastAsia"/>
          <w:noProof/>
        </w:rPr>
        <w:lastRenderedPageBreak/>
        <w:drawing>
          <wp:inline distT="0" distB="0" distL="0" distR="0" wp14:anchorId="2B642E13" wp14:editId="09FC04D7">
            <wp:extent cx="5092065" cy="8863330"/>
            <wp:effectExtent l="0" t="0" r="0" b="0"/>
            <wp:docPr id="15497166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4934" w14:textId="4A2384F2" w:rsidR="001E28A6" w:rsidRDefault="001E28A6" w:rsidP="001E28A6">
      <w:r>
        <w:rPr>
          <w:rFonts w:hint="eastAsia"/>
        </w:rPr>
        <w:lastRenderedPageBreak/>
        <w:t>Madrigal（MDGL）承认，核心药物</w:t>
      </w:r>
      <w:proofErr w:type="spellStart"/>
      <w:r>
        <w:rPr>
          <w:rFonts w:hint="eastAsia"/>
        </w:rPr>
        <w:t>Ryzodeg</w:t>
      </w:r>
      <w:proofErr w:type="spellEnd"/>
      <w:r>
        <w:rPr>
          <w:rFonts w:hint="eastAsia"/>
        </w:rPr>
        <w:t>的推广，高度依赖于非侵入性检测技术。行业通用标准和图片文中提到的“NITs”术语，唯一等同于法国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公司生产的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（基于VCTE技术）。</w:t>
      </w:r>
    </w:p>
    <w:p w14:paraId="2E08C822" w14:textId="722945F2" w:rsidR="001E28A6" w:rsidRDefault="001E28A6" w:rsidP="001E28A6">
      <w:r>
        <w:rPr>
          <w:rFonts w:hint="eastAsia"/>
        </w:rPr>
        <w:t>通俗讲，对于MDGL来说，非侵入性检测设备（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）是其药物商业化的关键。如果没有这项技术，医生无法无痛地确诊大量F2/F3期患者，</w:t>
      </w:r>
      <w:proofErr w:type="spellStart"/>
      <w:r>
        <w:rPr>
          <w:rFonts w:hint="eastAsia"/>
        </w:rPr>
        <w:t>Ryzodeg</w:t>
      </w:r>
      <w:proofErr w:type="spellEnd"/>
      <w:r>
        <w:rPr>
          <w:rFonts w:hint="eastAsia"/>
        </w:rPr>
        <w:t>也就无法实现“患者启动量加速增长”。</w:t>
      </w:r>
    </w:p>
    <w:p w14:paraId="23776789" w14:textId="415326EA" w:rsidR="001E28A6" w:rsidRDefault="001E28A6" w:rsidP="001E28A6">
      <w:r>
        <w:rPr>
          <w:rFonts w:hint="eastAsia"/>
        </w:rPr>
        <w:t>过往历史资料解释非侵入性检测（NITs）是药物销售的核心前提和增长引擎，核心缘由：</w:t>
      </w:r>
    </w:p>
    <w:p w14:paraId="078852FB" w14:textId="297909BD" w:rsidR="001E28A6" w:rsidRDefault="001E28A6" w:rsidP="001E28A6">
      <w:pPr>
        <w:rPr>
          <w:rFonts w:hint="eastAsia"/>
        </w:rPr>
      </w:pPr>
      <w:r>
        <w:rPr>
          <w:rFonts w:hint="eastAsia"/>
        </w:rPr>
        <w:t>替代“肝穿刺”，传统痛点。过去诊断肝纤维化</w:t>
      </w:r>
      <w:proofErr w:type="gramStart"/>
      <w:r>
        <w:rPr>
          <w:rFonts w:hint="eastAsia"/>
        </w:rPr>
        <w:t>需要做肝穿刺</w:t>
      </w:r>
      <w:proofErr w:type="gramEnd"/>
      <w:r>
        <w:rPr>
          <w:rFonts w:hint="eastAsia"/>
        </w:rPr>
        <w:t>活检，这是一种有痛、有出血风险的侵入性手术，患者接受度极低，导致大量潜在患者未被确诊。&lt;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 /&gt;</w:t>
      </w:r>
    </w:p>
    <w:p w14:paraId="65EBDC46" w14:textId="77777777" w:rsidR="001E28A6" w:rsidRDefault="001E28A6" w:rsidP="001E28A6">
      <w:r>
        <w:rPr>
          <w:rFonts w:hint="eastAsia"/>
        </w:rPr>
        <w:t>临床护理已不再使用活检，NITs已经成为诊断标准。因为检测无痛、便捷，医生更愿意给患者做检查，从而发现了大量过去被漏诊的F2/F3期患者。没有这个检测，药物就找不到这么多患者。</w:t>
      </w:r>
    </w:p>
    <w:p w14:paraId="3DDAE89E" w14:textId="77777777" w:rsidR="001E28A6" w:rsidRDefault="001E28A6" w:rsidP="001E28A6">
      <w:r>
        <w:rPr>
          <w:rFonts w:hint="eastAsia"/>
        </w:rPr>
        <w:t>NITs设备能准确区分F2（显著纤维化）和F3（桥接纤维化）患者。这是药物</w:t>
      </w:r>
      <w:proofErr w:type="spellStart"/>
      <w:r>
        <w:rPr>
          <w:rFonts w:hint="eastAsia"/>
        </w:rPr>
        <w:t>Ryzodeg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核心适应症人群。设备帮助医生精准地把适合吃药的患者筛选出来。</w:t>
      </w:r>
    </w:p>
    <w:p w14:paraId="7B252FC9" w14:textId="3692EEAB" w:rsidR="001E28A6" w:rsidRDefault="001E28A6" w:rsidP="001E28A6">
      <w:r>
        <w:rPr>
          <w:rFonts w:hint="eastAsia"/>
        </w:rPr>
        <w:t>药物上市后，患者需要定期复查。NITs可以快速、客观地展示肝脏硬度值的下降（即纤维化好转），这种可视化的数据反馈给了患者和医生信心，从而提高了患者的用药依从性和留存率</w:t>
      </w:r>
    </w:p>
    <w:p w14:paraId="13FF74BD" w14:textId="77777777" w:rsidR="001E28A6" w:rsidRDefault="001E28A6" w:rsidP="001E28A6"/>
    <w:p w14:paraId="12532E89" w14:textId="5CA729E7" w:rsidR="001E28A6" w:rsidRDefault="001E28A6" w:rsidP="001E28A6">
      <w:r>
        <w:rPr>
          <w:rFonts w:hint="eastAsia"/>
        </w:rPr>
        <w:t>2、关于港股发行</w:t>
      </w:r>
    </w:p>
    <w:p w14:paraId="5DB25D6D" w14:textId="6D73E633" w:rsidR="001E28A6" w:rsidRDefault="001E28A6" w:rsidP="001E28A6">
      <w:r>
        <w:rPr>
          <w:rFonts w:hint="eastAsia"/>
        </w:rPr>
        <w:tab/>
        <w:t>暂时进度趋缓，</w:t>
      </w:r>
      <w:proofErr w:type="gramStart"/>
      <w:r>
        <w:rPr>
          <w:rFonts w:hint="eastAsia"/>
        </w:rPr>
        <w:t>系港交</w:t>
      </w:r>
      <w:proofErr w:type="gramEnd"/>
      <w:r>
        <w:rPr>
          <w:rFonts w:hint="eastAsia"/>
        </w:rPr>
        <w:t>所放缓申请步伐所致，公司方面应对积极。</w:t>
      </w:r>
    </w:p>
    <w:p w14:paraId="733AEA6C" w14:textId="56177A0E" w:rsidR="001E28A6" w:rsidRDefault="001E28A6" w:rsidP="001E28A6">
      <w:r>
        <w:rPr>
          <w:rFonts w:hint="eastAsia"/>
        </w:rPr>
        <w:tab/>
        <w:t>乐于在海外社交媒体分享信息的泰拉克里昂老总马丁（下图），以及其他主要子公司高</w:t>
      </w:r>
      <w:proofErr w:type="gramStart"/>
      <w:r>
        <w:rPr>
          <w:rFonts w:hint="eastAsia"/>
        </w:rPr>
        <w:t>管春节</w:t>
      </w:r>
      <w:proofErr w:type="gramEnd"/>
      <w:r>
        <w:rPr>
          <w:rFonts w:hint="eastAsia"/>
        </w:rPr>
        <w:t>期间均在国内，这与平时年度截然不同。港股发行包括了一系列促进公司发展的要素。</w:t>
      </w:r>
    </w:p>
    <w:p w14:paraId="3BFCE54F" w14:textId="6C577BF2" w:rsidR="00654C64" w:rsidRDefault="001E28A6" w:rsidP="001E28A6">
      <w:r>
        <w:rPr>
          <w:rFonts w:hint="eastAsia"/>
        </w:rPr>
        <w:tab/>
        <w:t>诚如之前资讯预判，港股发行问题带来的市场筹码犹豫，大概率导致了一个K线黄金坑的出现。福瑞主要业务赛道均处在放量起飞之中。</w:t>
      </w:r>
    </w:p>
    <w:p w14:paraId="37A07860" w14:textId="7C8941E0" w:rsidR="001E28A6" w:rsidRDefault="001E28A6" w:rsidP="001E28A6">
      <w:r>
        <w:rPr>
          <w:rFonts w:hint="eastAsia"/>
          <w:noProof/>
        </w:rPr>
        <w:lastRenderedPageBreak/>
        <w:drawing>
          <wp:inline distT="0" distB="0" distL="0" distR="0" wp14:anchorId="46091884" wp14:editId="1C6110FF">
            <wp:extent cx="5274310" cy="7755255"/>
            <wp:effectExtent l="0" t="0" r="2540" b="0"/>
            <wp:docPr id="24322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B845" w14:textId="77777777" w:rsidR="001E28A6" w:rsidRDefault="001E28A6" w:rsidP="001E28A6">
      <w:pPr>
        <w:rPr>
          <w:rFonts w:hint="eastAsia"/>
        </w:rPr>
      </w:pPr>
    </w:p>
    <w:sectPr w:rsidR="001E2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75223"/>
    <w:multiLevelType w:val="hybridMultilevel"/>
    <w:tmpl w:val="4D8080B2"/>
    <w:lvl w:ilvl="0" w:tplc="F5FA13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019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64"/>
    <w:rsid w:val="001E28A6"/>
    <w:rsid w:val="00654C64"/>
    <w:rsid w:val="00A26FAF"/>
    <w:rsid w:val="00C308DD"/>
    <w:rsid w:val="00F4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7F331"/>
  <w15:chartTrackingRefBased/>
  <w15:docId w15:val="{1E93493B-74ED-477F-A5BF-FE105DD1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4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4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4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4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4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4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4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4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4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44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4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46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28A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2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mp.weixin.qq.com/s/c7tqTxhKVIBKwVNKiCp-1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2026-02-23T18:15:00Z</dcterms:created>
  <dcterms:modified xsi:type="dcterms:W3CDTF">2026-02-23T18:20:00Z</dcterms:modified>
</cp:coreProperties>
</file>