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BFEE" w14:textId="349622E2" w:rsidR="00366D45" w:rsidRDefault="00366D45" w:rsidP="00366D45">
      <w:r>
        <w:rPr>
          <w:rFonts w:hint="eastAsia"/>
          <w:noProof/>
        </w:rPr>
        <w:drawing>
          <wp:inline distT="0" distB="0" distL="0" distR="0" wp14:anchorId="53EFFE21" wp14:editId="4D118A48">
            <wp:extent cx="5274310" cy="2792095"/>
            <wp:effectExtent l="0" t="0" r="2540" b="8255"/>
            <wp:docPr id="67854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91F9" w14:textId="09474C66" w:rsidR="00366D45" w:rsidRDefault="00366D45" w:rsidP="00366D45">
      <w:r>
        <w:rPr>
          <w:rFonts w:hint="eastAsia"/>
          <w:noProof/>
        </w:rPr>
        <w:drawing>
          <wp:inline distT="0" distB="0" distL="0" distR="0" wp14:anchorId="6E0E2C63" wp14:editId="5ACB8747">
            <wp:extent cx="5274310" cy="2772410"/>
            <wp:effectExtent l="0" t="0" r="2540" b="8890"/>
            <wp:docPr id="3876024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07A2" w14:textId="6E0DB7F4" w:rsidR="00366D45" w:rsidRDefault="00366D45" w:rsidP="00366D45">
      <w:r>
        <w:rPr>
          <w:rFonts w:hint="eastAsia"/>
          <w:noProof/>
        </w:rPr>
        <w:lastRenderedPageBreak/>
        <w:drawing>
          <wp:inline distT="0" distB="0" distL="0" distR="0" wp14:anchorId="0D98BFB9" wp14:editId="3C6BF962">
            <wp:extent cx="5266825" cy="8408151"/>
            <wp:effectExtent l="0" t="0" r="0" b="0"/>
            <wp:docPr id="4571664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32" cy="844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9214" w14:textId="47A0C66F" w:rsidR="00366D45" w:rsidRDefault="00366D45" w:rsidP="00366D4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F46577" wp14:editId="770E9853">
            <wp:extent cx="5244136" cy="8224190"/>
            <wp:effectExtent l="0" t="0" r="0" b="5715"/>
            <wp:docPr id="7475226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966" cy="824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B94E" w14:textId="77777777" w:rsidR="00366D45" w:rsidRDefault="00366D45" w:rsidP="00366D45"/>
    <w:p w14:paraId="1DF83A6A" w14:textId="33CA7104" w:rsidR="00366D45" w:rsidRDefault="00366D45" w:rsidP="00366D45">
      <w:r>
        <w:rPr>
          <w:rFonts w:hint="eastAsia"/>
          <w:noProof/>
        </w:rPr>
        <w:lastRenderedPageBreak/>
        <w:drawing>
          <wp:inline distT="0" distB="0" distL="0" distR="0" wp14:anchorId="6DECEB3C" wp14:editId="0C216C1A">
            <wp:extent cx="3279434" cy="4074220"/>
            <wp:effectExtent l="0" t="0" r="0" b="2540"/>
            <wp:docPr id="11244297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66" cy="409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A7D9" w14:textId="696A7453" w:rsidR="00366D45" w:rsidRDefault="00366D45" w:rsidP="00366D45">
      <w:r>
        <w:rPr>
          <w:rFonts w:hint="eastAsia"/>
          <w:noProof/>
        </w:rPr>
        <w:drawing>
          <wp:inline distT="0" distB="0" distL="0" distR="0" wp14:anchorId="563442A3" wp14:editId="5B1BF67A">
            <wp:extent cx="3279140" cy="4090041"/>
            <wp:effectExtent l="0" t="0" r="0" b="5715"/>
            <wp:docPr id="9028317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13" cy="410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E78E" w14:textId="77777777" w:rsidR="00366D45" w:rsidRDefault="00366D45" w:rsidP="00366D45">
      <w:pPr>
        <w:rPr>
          <w:rFonts w:hint="eastAsia"/>
        </w:rPr>
      </w:pPr>
    </w:p>
    <w:p w14:paraId="4A161BE9" w14:textId="294E99BB" w:rsidR="00366D45" w:rsidRDefault="00366D45" w:rsidP="00366D45">
      <w:pPr>
        <w:ind w:firstLineChars="200" w:firstLine="440"/>
      </w:pPr>
      <w:r>
        <w:rPr>
          <w:rFonts w:hint="eastAsia"/>
        </w:rPr>
        <w:lastRenderedPageBreak/>
        <w:t>司美格鲁</w:t>
      </w:r>
      <w:proofErr w:type="gramStart"/>
      <w:r>
        <w:rPr>
          <w:rFonts w:hint="eastAsia"/>
        </w:rPr>
        <w:t>肽</w:t>
      </w:r>
      <w:proofErr w:type="gramEnd"/>
      <w:r>
        <w:rPr>
          <w:rFonts w:hint="eastAsia"/>
        </w:rPr>
        <w:t>MASH适用症欧洲</w:t>
      </w:r>
      <w:proofErr w:type="gramStart"/>
      <w:r>
        <w:rPr>
          <w:rFonts w:hint="eastAsia"/>
        </w:rPr>
        <w:t>最新获</w:t>
      </w:r>
      <w:proofErr w:type="gramEnd"/>
      <w:r>
        <w:rPr>
          <w:rFonts w:hint="eastAsia"/>
        </w:rPr>
        <w:t>批，该事件属于里程碑意义。去年300049福瑞两个涨停的触发因素系司美格鲁</w:t>
      </w:r>
      <w:proofErr w:type="gramStart"/>
      <w:r>
        <w:rPr>
          <w:rFonts w:hint="eastAsia"/>
        </w:rPr>
        <w:t>肽</w:t>
      </w:r>
      <w:proofErr w:type="gramEnd"/>
      <w:r>
        <w:rPr>
          <w:rFonts w:hint="eastAsia"/>
        </w:rPr>
        <w:t>MASH适用症在美国FDA获批。</w:t>
      </w:r>
    </w:p>
    <w:p w14:paraId="6845021F" w14:textId="6C27B34A" w:rsidR="00654C64" w:rsidRDefault="00366D45" w:rsidP="00366D45">
      <w:pPr>
        <w:ind w:firstLineChars="200" w:firstLine="440"/>
      </w:pPr>
      <w:r>
        <w:rPr>
          <w:rFonts w:hint="eastAsia"/>
        </w:rPr>
        <w:t>产业上，欧美对Fibroscan的推广应用利好不断。此时的外部实际情况和股价的萎靡，类似于2025年6月份的情况。&amp;nbsp;医药医疗类型标的，如果说有资本市场的通病，就是个体基本面差异巨大，很多时候形成不了集群资金影响力。&amp;nbsp; 从产业角度理解，是金子总会发光。年内欧美大</w:t>
      </w:r>
      <w:proofErr w:type="gramStart"/>
      <w:r>
        <w:rPr>
          <w:rFonts w:hint="eastAsia"/>
        </w:rPr>
        <w:t>厂推广</w:t>
      </w:r>
      <w:proofErr w:type="gramEnd"/>
      <w:r>
        <w:rPr>
          <w:rFonts w:hint="eastAsia"/>
        </w:rPr>
        <w:t>带来的业绩提升、Echosens二股东方案推出、港股发行三大利好，确定性大</w:t>
      </w:r>
    </w:p>
    <w:p w14:paraId="45846DF1" w14:textId="77777777" w:rsidR="00366D45" w:rsidRDefault="00366D45" w:rsidP="00366D45">
      <w:pPr>
        <w:rPr>
          <w:rFonts w:hint="eastAsia"/>
        </w:rPr>
      </w:pPr>
    </w:p>
    <w:sectPr w:rsidR="00366D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9A"/>
    <w:rsid w:val="001836C3"/>
    <w:rsid w:val="00366D45"/>
    <w:rsid w:val="00654C64"/>
    <w:rsid w:val="006E589A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2470B"/>
  <w15:chartTrackingRefBased/>
  <w15:docId w15:val="{E656326E-7F2B-4175-AAEB-3C69D731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5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8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8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8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8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8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8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8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58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58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8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58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58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58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58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58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8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5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5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5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58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58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5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2026-04-13T15:38:00Z</dcterms:created>
  <dcterms:modified xsi:type="dcterms:W3CDTF">2026-04-13T15:42:00Z</dcterms:modified>
</cp:coreProperties>
</file>