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6E06" w14:textId="77777777" w:rsidR="009A1A02" w:rsidRDefault="009A1A02" w:rsidP="009A1A02"/>
    <w:p w14:paraId="577ADAC0" w14:textId="2652132E" w:rsidR="009A1A02" w:rsidRDefault="009A1A02" w:rsidP="009A1A02">
      <w:r>
        <w:rPr>
          <w:rFonts w:hint="eastAsia"/>
        </w:rPr>
        <w:t>投研</w:t>
      </w:r>
      <w:r>
        <w:rPr>
          <w:rFonts w:hint="eastAsia"/>
        </w:rPr>
        <w:t>部渠道战略性持续推介之福瑞300049，一季报公布，单纯数据并不好看。</w:t>
      </w:r>
    </w:p>
    <w:p w14:paraId="32375D84" w14:textId="77777777" w:rsidR="009A1A02" w:rsidRDefault="009A1A02" w:rsidP="009A1A02"/>
    <w:p w14:paraId="6497DCBA" w14:textId="1F26E54C" w:rsidR="009A1A02" w:rsidRDefault="009A1A02" w:rsidP="009A1A02">
      <w:r>
        <w:rPr>
          <w:rFonts w:hint="eastAsia"/>
        </w:rPr>
        <w:t>晚间，卖方申万的最新解读：</w:t>
      </w:r>
    </w:p>
    <w:p w14:paraId="44BFD3E1" w14:textId="7A514C8E" w:rsidR="009A1A02" w:rsidRDefault="009A1A02" w:rsidP="009A1A02">
      <w:r>
        <w:rPr>
          <w:rFonts w:hint="eastAsia"/>
          <w:noProof/>
        </w:rPr>
        <w:drawing>
          <wp:inline distT="0" distB="0" distL="0" distR="0" wp14:anchorId="2AD9EFDC" wp14:editId="02ADE51F">
            <wp:extent cx="5274310" cy="4921885"/>
            <wp:effectExtent l="0" t="0" r="2540" b="0"/>
            <wp:docPr id="1774545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8DCC" w14:textId="77777777" w:rsidR="009A1A02" w:rsidRDefault="009A1A02" w:rsidP="009A1A02">
      <w:pPr>
        <w:rPr>
          <w:rFonts w:hint="eastAsia"/>
        </w:rPr>
      </w:pPr>
    </w:p>
    <w:p w14:paraId="65A4319D" w14:textId="642B7848" w:rsidR="009A1A02" w:rsidRDefault="009A1A02" w:rsidP="009A1A02">
      <w:r>
        <w:rPr>
          <w:rFonts w:hint="eastAsia"/>
        </w:rPr>
        <w:t>投研</w:t>
      </w:r>
      <w:r>
        <w:rPr>
          <w:rFonts w:hint="eastAsia"/>
        </w:rPr>
        <w:t>部渠道的反馈：</w:t>
      </w:r>
    </w:p>
    <w:p w14:paraId="0B2B3DC0" w14:textId="54F8BE2A" w:rsidR="009A1A02" w:rsidRDefault="009A1A02" w:rsidP="009A1A02">
      <w:r>
        <w:rPr>
          <w:rFonts w:hint="eastAsia"/>
        </w:rPr>
        <w:t>1、总体看，业绩区区3200万，同比增长11%，是较差的数据，和实际欧美特别是美国的医疗机构草根调研信息完全不相符。美国草根调研的信息反馈，仅仅今年一季度，Fibroscan在美国连接到诊疗机构的新增台数，是2025年美国全年新增数量的2-3倍之多！</w:t>
      </w:r>
    </w:p>
    <w:p w14:paraId="5215C829" w14:textId="064B2085" w:rsidR="009A1A02" w:rsidRDefault="009A1A02" w:rsidP="009A1A02">
      <w:r>
        <w:rPr>
          <w:rFonts w:hint="eastAsia"/>
        </w:rPr>
        <w:t>2、财报上，应收账款项目，从Q4的4.45亿降到了3.89亿，即收回5600万回来，但会计准则上，该部分无法体现成一季度的业绩利润。</w:t>
      </w:r>
    </w:p>
    <w:p w14:paraId="796668FD" w14:textId="0D42ADE4" w:rsidR="009A1A02" w:rsidRDefault="009A1A02" w:rsidP="009A1A02">
      <w:r>
        <w:rPr>
          <w:rFonts w:hint="eastAsia"/>
        </w:rPr>
        <w:t>3、按次计费的租赁部分销售，收入项仅仅是租金，成本项目原理上是以当期折旧为</w:t>
      </w:r>
      <w:r>
        <w:rPr>
          <w:rFonts w:hint="eastAsia"/>
        </w:rPr>
        <w:lastRenderedPageBreak/>
        <w:t>主。但是针对创新医疗设备需要的市场推广和医学教育支出，租赁收入的初期成本明显偏大，这是医疗设备行业以租赁方式财务入账在初期比较吃亏的特点。</w:t>
      </w:r>
    </w:p>
    <w:p w14:paraId="3A7BBC0F" w14:textId="58FCE83E" w:rsidR="00654C64" w:rsidRDefault="009A1A02" w:rsidP="009A1A02">
      <w:r>
        <w:rPr>
          <w:rFonts w:hint="eastAsia"/>
        </w:rPr>
        <w:t>4、欧美市场的推广已经见到实效，并且在明显加速！财务上由于初期数据偏低，一些财务操作吞噬了当期对应的利润体现。 控股法国公司的财务原则，不像国内公司人为操作空间往往较大，实际上是踏实的，但有时候略显呆板。</w:t>
      </w:r>
    </w:p>
    <w:p w14:paraId="5E232DCB" w14:textId="77777777" w:rsidR="009A1A02" w:rsidRDefault="009A1A02" w:rsidP="009A1A02">
      <w:pPr>
        <w:rPr>
          <w:rFonts w:hint="eastAsia"/>
        </w:rPr>
      </w:pPr>
    </w:p>
    <w:sectPr w:rsidR="009A1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72"/>
    <w:rsid w:val="00391659"/>
    <w:rsid w:val="00654C64"/>
    <w:rsid w:val="009A1A02"/>
    <w:rsid w:val="00C308DD"/>
    <w:rsid w:val="00E9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8E34C"/>
  <w15:chartTrackingRefBased/>
  <w15:docId w15:val="{52E3352E-A8E8-4263-91C1-997B03FE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5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5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5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5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5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5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5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5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5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5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35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5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5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5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5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5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5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2026-04-28T00:55:00Z</dcterms:created>
  <dcterms:modified xsi:type="dcterms:W3CDTF">2026-04-28T00:57:00Z</dcterms:modified>
</cp:coreProperties>
</file>