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生成时间：2026-07-28 09:06:13</w:t>
      </w:r>
    </w:p>
    <w:p/>
    <w:p>
      <w:pPr>
        <w:pStyle w:val="Heading1"/>
      </w:pPr>
      <w:r>
        <w:t>一、评估概述</w:t>
      </w:r>
    </w:p>
    <w:p>
      <w:r>
        <w:t xml:space="preserve">**执行摘要**  </w:t>
        <w:br/>
        <w:t>本期海关进口机电产品风险评估显示，未发现任何风险事件（0条），各等级风险（S/M/L/A级）均为0，无待处理预警。总体风险水平极低，进口机电产品安全状态良好。主要风险来源暂无，无高风险国家或产品。行动建议：继续保持常态化监测，关注国际动态，防范潜在风险。</w:t>
      </w:r>
    </w:p>
    <w:p>
      <w:r>
        <w:t>本期详细数据：共纳入 0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S级风险：0 条</w:t>
      </w:r>
    </w:p>
    <w:p>
      <w:pPr>
        <w:pStyle w:val="ListBullet"/>
      </w:pPr>
      <w:r>
        <w:t xml:space="preserve">  M级风险：0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