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F6148A">
      <w:pPr>
        <w:jc w:val="center"/>
        <w:rPr>
          <w:rFonts w:hint="eastAsia" w:ascii="宋体" w:hAnsi="宋体" w:eastAsia="宋体" w:cs="宋体"/>
          <w:b/>
          <w:bCs/>
          <w:sz w:val="36"/>
          <w:szCs w:val="36"/>
        </w:rPr>
      </w:pPr>
      <w:bookmarkStart w:id="0" w:name="zhengwen"/>
      <w:r>
        <w:rPr>
          <w:rFonts w:hint="eastAsia" w:ascii="宋体" w:hAnsi="宋体" w:eastAsia="宋体" w:cs="宋体"/>
          <w:b/>
          <w:bCs/>
          <w:sz w:val="36"/>
          <w:szCs w:val="36"/>
        </w:rPr>
        <w:t xml:space="preserve">常德科技职业技术学院 </w:t>
      </w:r>
    </w:p>
    <w:p w14:paraId="33ED183C">
      <w:pPr>
        <w:jc w:val="center"/>
        <w:rPr>
          <w:rFonts w:hint="eastAsia" w:ascii="宋体" w:hAnsi="宋体" w:eastAsia="宋体" w:cs="宋体"/>
          <w:b/>
          <w:bCs/>
          <w:sz w:val="36"/>
          <w:szCs w:val="36"/>
        </w:rPr>
      </w:pPr>
      <w:r>
        <w:rPr>
          <w:rFonts w:hint="eastAsia" w:ascii="宋体" w:hAnsi="宋体" w:cs="宋体"/>
          <w:b/>
          <w:bCs/>
          <w:sz w:val="36"/>
          <w:szCs w:val="36"/>
          <w:lang w:eastAsia="zh-CN"/>
        </w:rPr>
        <w:t>2025年</w:t>
      </w:r>
      <w:r>
        <w:rPr>
          <w:rFonts w:hint="eastAsia" w:ascii="宋体" w:hAnsi="宋体" w:eastAsia="宋体" w:cs="宋体"/>
          <w:b/>
          <w:bCs/>
          <w:sz w:val="36"/>
          <w:szCs w:val="36"/>
        </w:rPr>
        <w:t>单独招生章程</w:t>
      </w:r>
    </w:p>
    <w:p w14:paraId="62E55B79">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169A51D4">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lang w:eastAsia="zh-CN"/>
        </w:rPr>
        <w:t>2025年</w:t>
      </w:r>
      <w:r>
        <w:rPr>
          <w:rFonts w:hint="eastAsia" w:ascii="等线" w:hAnsi="等线" w:eastAsia="仿宋" w:cs="仿宋"/>
          <w:sz w:val="28"/>
          <w:szCs w:val="28"/>
        </w:rPr>
        <w:t>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w:t>
      </w:r>
      <w:r>
        <w:rPr>
          <w:rFonts w:hint="eastAsia" w:ascii="等线" w:hAnsi="等线" w:eastAsia="仿宋" w:cs="仿宋"/>
          <w:sz w:val="28"/>
          <w:szCs w:val="28"/>
          <w:lang w:val="en-US" w:eastAsia="zh-CN"/>
        </w:rPr>
        <w:t>发</w:t>
      </w:r>
      <w:r>
        <w:rPr>
          <w:rFonts w:hint="eastAsia" w:ascii="等线" w:hAnsi="等线" w:eastAsia="仿宋" w:cs="仿宋"/>
          <w:sz w:val="28"/>
          <w:szCs w:val="28"/>
        </w:rPr>
        <w:t>〔202</w:t>
      </w:r>
      <w:r>
        <w:rPr>
          <w:rFonts w:hint="eastAsia" w:ascii="等线" w:hAnsi="等线" w:eastAsia="仿宋" w:cs="仿宋"/>
          <w:sz w:val="28"/>
          <w:szCs w:val="28"/>
          <w:lang w:val="en-US" w:eastAsia="zh-CN"/>
        </w:rPr>
        <w:t>4</w:t>
      </w:r>
      <w:r>
        <w:rPr>
          <w:rFonts w:hint="eastAsia" w:ascii="等线" w:hAnsi="等线" w:eastAsia="仿宋" w:cs="仿宋"/>
          <w:sz w:val="28"/>
          <w:szCs w:val="28"/>
        </w:rPr>
        <w:t>〕</w:t>
      </w:r>
      <w:r>
        <w:rPr>
          <w:rFonts w:hint="eastAsia" w:ascii="等线" w:hAnsi="等线" w:eastAsia="仿宋" w:cs="仿宋"/>
          <w:sz w:val="28"/>
          <w:szCs w:val="28"/>
          <w:lang w:val="en-US" w:eastAsia="zh-CN"/>
        </w:rPr>
        <w:t>271</w:t>
      </w:r>
      <w:r>
        <w:rPr>
          <w:rFonts w:hint="eastAsia" w:ascii="等线" w:hAnsi="等线" w:eastAsia="仿宋" w:cs="仿宋"/>
          <w:sz w:val="28"/>
          <w:szCs w:val="28"/>
        </w:rPr>
        <w:t>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78AF290E">
      <w:pPr>
        <w:numPr>
          <w:ilvl w:val="0"/>
          <w:numId w:val="2"/>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 xml:space="preserve">常德科技职业技术学院 </w:t>
      </w:r>
    </w:p>
    <w:p w14:paraId="235254AF">
      <w:pPr>
        <w:numPr>
          <w:ilvl w:val="0"/>
          <w:numId w:val="0"/>
        </w:numPr>
        <w:spacing w:line="500" w:lineRule="exact"/>
        <w:ind w:firstLine="560" w:firstLineChars="200"/>
        <w:rPr>
          <w:rFonts w:hint="eastAsia" w:ascii="仿宋" w:hAnsi="仿宋" w:eastAsia="仿宋" w:cs="仿宋"/>
          <w:sz w:val="28"/>
          <w:szCs w:val="28"/>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仿宋" w:hAnsi="仿宋" w:eastAsia="仿宋" w:cs="仿宋"/>
          <w:sz w:val="28"/>
          <w:szCs w:val="28"/>
        </w:rPr>
        <w:t>湖南省常德市武陵区</w:t>
      </w:r>
      <w:r>
        <w:rPr>
          <w:rFonts w:hint="eastAsia" w:ascii="仿宋" w:hAnsi="仿宋" w:eastAsia="仿宋" w:cs="仿宋"/>
          <w:sz w:val="28"/>
          <w:szCs w:val="28"/>
          <w:lang w:val="en-US" w:eastAsia="zh-CN"/>
        </w:rPr>
        <w:t>金丹路</w:t>
      </w:r>
      <w:r>
        <w:rPr>
          <w:rFonts w:hint="eastAsia" w:ascii="仿宋" w:hAnsi="仿宋" w:eastAsia="仿宋" w:cs="仿宋"/>
          <w:sz w:val="28"/>
          <w:szCs w:val="28"/>
        </w:rPr>
        <w:t>60</w:t>
      </w:r>
      <w:r>
        <w:rPr>
          <w:rFonts w:hint="eastAsia" w:ascii="仿宋" w:hAnsi="仿宋" w:eastAsia="仿宋" w:cs="仿宋"/>
          <w:sz w:val="28"/>
          <w:szCs w:val="28"/>
          <w:lang w:val="en-US" w:eastAsia="zh-CN"/>
        </w:rPr>
        <w:t>5</w:t>
      </w:r>
      <w:r>
        <w:rPr>
          <w:rFonts w:hint="eastAsia" w:ascii="仿宋" w:hAnsi="仿宋" w:eastAsia="仿宋" w:cs="仿宋"/>
          <w:sz w:val="28"/>
          <w:szCs w:val="28"/>
        </w:rPr>
        <w:t>号</w:t>
      </w:r>
    </w:p>
    <w:p w14:paraId="288DEF64">
      <w:pPr>
        <w:numPr>
          <w:ilvl w:val="0"/>
          <w:numId w:val="0"/>
        </w:num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湖南省教育厅</w:t>
      </w:r>
    </w:p>
    <w:p w14:paraId="51EF12E1">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44D2DCDE">
      <w:pPr>
        <w:numPr>
          <w:ilvl w:val="0"/>
          <w:numId w:val="0"/>
        </w:numPr>
        <w:spacing w:line="500" w:lineRule="exact"/>
        <w:ind w:firstLine="560" w:firstLineChars="200"/>
        <w:rPr>
          <w:rFonts w:hint="eastAsia" w:ascii="仿宋" w:hAnsi="仿宋" w:eastAsia="仿宋" w:cs="仿宋"/>
          <w:sz w:val="28"/>
          <w:szCs w:val="28"/>
        </w:rPr>
      </w:pPr>
      <w:r>
        <w:rPr>
          <w:rFonts w:hint="eastAsia" w:ascii="等线" w:hAnsi="等线" w:eastAsia="仿宋" w:cs="仿宋"/>
          <w:sz w:val="28"/>
          <w:szCs w:val="28"/>
          <w:lang w:val="en-US" w:eastAsia="zh-CN"/>
        </w:rPr>
        <w:t xml:space="preserve">湖南省院校代号： </w:t>
      </w:r>
      <w:r>
        <w:rPr>
          <w:rFonts w:hint="eastAsia" w:ascii="仿宋" w:hAnsi="仿宋" w:eastAsia="仿宋" w:cs="仿宋"/>
          <w:sz w:val="28"/>
          <w:szCs w:val="28"/>
        </w:rPr>
        <w:t>4385</w:t>
      </w:r>
    </w:p>
    <w:p w14:paraId="15D44EEB">
      <w:pPr>
        <w:numPr>
          <w:ilvl w:val="0"/>
          <w:numId w:val="0"/>
        </w:numPr>
        <w:spacing w:line="500" w:lineRule="exact"/>
        <w:ind w:firstLine="560" w:firstLineChars="200"/>
        <w:rPr>
          <w:rFonts w:hint="default" w:ascii="等线" w:hAnsi="等线" w:eastAsia="仿宋" w:cs="仿宋"/>
          <w:sz w:val="28"/>
          <w:szCs w:val="28"/>
          <w:lang w:val="en-US"/>
        </w:rPr>
      </w:pPr>
      <w:r>
        <w:rPr>
          <w:rFonts w:hint="eastAsia" w:ascii="等线" w:hAnsi="等线" w:eastAsia="仿宋" w:cs="仿宋"/>
          <w:sz w:val="28"/>
          <w:szCs w:val="28"/>
          <w:lang w:val="en-US" w:eastAsia="zh-CN"/>
        </w:rPr>
        <w:t>办学类型：公办高职院校</w:t>
      </w:r>
    </w:p>
    <w:p w14:paraId="3B776422">
      <w:pPr>
        <w:numPr>
          <w:ilvl w:val="0"/>
          <w:numId w:val="2"/>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常德科技职业技术学院</w:t>
      </w:r>
      <w:r>
        <w:rPr>
          <w:rFonts w:hint="eastAsia" w:ascii="等线" w:hAnsi="等线" w:eastAsia="仿宋" w:cs="仿宋"/>
          <w:sz w:val="28"/>
          <w:szCs w:val="28"/>
          <w:lang w:eastAsia="zh-CN"/>
        </w:rPr>
        <w:t>。</w:t>
      </w:r>
    </w:p>
    <w:p w14:paraId="1550561C">
      <w:pPr>
        <w:numPr>
          <w:ilvl w:val="0"/>
          <w:numId w:val="2"/>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40B5E4B3">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235B65BD">
      <w:pPr>
        <w:numPr>
          <w:ilvl w:val="0"/>
          <w:numId w:val="0"/>
        </w:numPr>
        <w:spacing w:line="500" w:lineRule="exact"/>
        <w:ind w:firstLine="560" w:firstLineChars="200"/>
        <w:rPr>
          <w:rFonts w:hint="eastAsia" w:ascii="等线" w:hAnsi="等线" w:eastAsia="仿宋" w:cs="仿宋"/>
          <w:sz w:val="28"/>
          <w:szCs w:val="28"/>
          <w:u w:val="single"/>
          <w:lang w:val="en-US" w:eastAsia="zh-CN"/>
        </w:rPr>
      </w:pPr>
      <w:r>
        <w:rPr>
          <w:rFonts w:hint="eastAsia" w:ascii="等线" w:hAnsi="等线" w:eastAsia="仿宋" w:cs="仿宋"/>
          <w:sz w:val="28"/>
          <w:szCs w:val="28"/>
        </w:rPr>
        <w:t>学校</w:t>
      </w:r>
      <w:r>
        <w:rPr>
          <w:rFonts w:hint="eastAsia" w:ascii="等线" w:hAnsi="等线" w:eastAsia="仿宋" w:cs="仿宋"/>
          <w:sz w:val="28"/>
          <w:szCs w:val="28"/>
          <w:lang w:eastAsia="zh-CN"/>
        </w:rPr>
        <w:t>简介：</w:t>
      </w:r>
      <w:r>
        <w:rPr>
          <w:rFonts w:hint="eastAsia" w:ascii="等线" w:hAnsi="等线" w:eastAsia="仿宋" w:cs="仿宋"/>
          <w:sz w:val="28"/>
          <w:szCs w:val="28"/>
          <w:u w:val="none"/>
          <w:lang w:val="en-US" w:eastAsia="zh-CN"/>
        </w:rPr>
        <w:t>常德科技职业技术学院是经湖南省人民政府批准、教育部备案的全日制公办普通高职院校，业务归口湖南省教育厅指导。学</w:t>
      </w:r>
      <w:r>
        <w:rPr>
          <w:rFonts w:hint="eastAsia" w:ascii="等线" w:hAnsi="等线" w:eastAsia="仿宋" w:cs="仿宋"/>
          <w:sz w:val="28"/>
          <w:szCs w:val="28"/>
        </w:rPr>
        <w:t>校</w:t>
      </w:r>
      <w:r>
        <w:rPr>
          <w:rFonts w:hint="eastAsia" w:ascii="等线" w:hAnsi="等线" w:eastAsia="仿宋" w:cs="仿宋"/>
          <w:sz w:val="28"/>
          <w:szCs w:val="28"/>
          <w:u w:val="none"/>
          <w:lang w:val="en-US" w:eastAsia="zh-CN"/>
        </w:rPr>
        <w:t>是全国文明校园、全国职业教育先进单位、湖南省黄炎培职业教育奖优秀学校、常德市翦伯赞教育突出贡献奖学校。</w:t>
      </w:r>
    </w:p>
    <w:p w14:paraId="06352694">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057FB7E7">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w:t>
      </w:r>
      <w:r>
        <w:rPr>
          <w:rFonts w:hint="eastAsia" w:ascii="等线" w:hAnsi="等线" w:eastAsia="仿宋" w:cs="仿宋"/>
          <w:sz w:val="28"/>
          <w:szCs w:val="28"/>
          <w:lang w:val="en-US" w:eastAsia="zh-CN"/>
        </w:rPr>
        <w:t>校</w:t>
      </w:r>
      <w:r>
        <w:rPr>
          <w:rFonts w:hint="eastAsia" w:ascii="等线" w:hAnsi="等线" w:eastAsia="仿宋" w:cs="仿宋"/>
          <w:sz w:val="28"/>
          <w:szCs w:val="28"/>
          <w:u w:val="none"/>
          <w:lang w:val="en-US" w:eastAsia="zh-CN"/>
        </w:rPr>
        <w:t>招生工作领导小组</w:t>
      </w:r>
      <w:r>
        <w:rPr>
          <w:rFonts w:hint="eastAsia" w:ascii="等线" w:hAnsi="等线" w:eastAsia="仿宋" w:cs="仿宋"/>
          <w:sz w:val="28"/>
          <w:szCs w:val="28"/>
          <w:lang w:val="en-US" w:eastAsia="zh-CN"/>
        </w:rPr>
        <w:t>负责研究决定本校单招规模确定、政策制订等重大事项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学校</w:t>
      </w:r>
      <w:r>
        <w:rPr>
          <w:rFonts w:hint="eastAsia" w:ascii="等线" w:hAnsi="等线" w:eastAsia="仿宋" w:cs="仿宋"/>
          <w:sz w:val="28"/>
          <w:szCs w:val="28"/>
          <w:u w:val="none"/>
          <w:lang w:eastAsia="zh-CN"/>
        </w:rPr>
        <w:t>招生就业</w:t>
      </w:r>
      <w:r>
        <w:rPr>
          <w:rFonts w:hint="eastAsia" w:ascii="等线" w:hAnsi="等线" w:eastAsia="仿宋" w:cs="仿宋"/>
          <w:sz w:val="28"/>
          <w:szCs w:val="28"/>
          <w:u w:val="none"/>
          <w:lang w:val="en-US" w:eastAsia="zh-CN"/>
        </w:rPr>
        <w:t>指导</w:t>
      </w:r>
      <w:r>
        <w:rPr>
          <w:rFonts w:hint="eastAsia" w:ascii="等线" w:hAnsi="等线" w:eastAsia="仿宋" w:cs="仿宋"/>
          <w:sz w:val="28"/>
          <w:szCs w:val="28"/>
          <w:u w:val="none"/>
          <w:lang w:eastAsia="zh-CN"/>
        </w:rPr>
        <w:t>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学校</w:t>
      </w:r>
      <w:r>
        <w:rPr>
          <w:rFonts w:hint="eastAsia" w:ascii="等线" w:hAnsi="等线" w:eastAsia="仿宋" w:cs="仿宋"/>
          <w:sz w:val="28"/>
          <w:szCs w:val="28"/>
          <w:lang w:val="en-US" w:eastAsia="zh-CN"/>
        </w:rPr>
        <w:t>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1460F4DA">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纪检监察室负责全程监督检查单招工作</w:t>
      </w:r>
      <w:r>
        <w:rPr>
          <w:rFonts w:hint="eastAsia" w:ascii="等线" w:hAnsi="等线" w:eastAsia="仿宋" w:cs="仿宋"/>
          <w:sz w:val="28"/>
          <w:szCs w:val="28"/>
        </w:rPr>
        <w:t>。</w:t>
      </w:r>
    </w:p>
    <w:p w14:paraId="7E2D6E3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6F50302A">
      <w:pPr>
        <w:numPr>
          <w:ilvl w:val="0"/>
          <w:numId w:val="2"/>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rPr>
        <w:t>符合我省</w:t>
      </w:r>
      <w:r>
        <w:rPr>
          <w:rFonts w:hint="eastAsia" w:ascii="等线" w:hAnsi="等线" w:eastAsia="仿宋" w:cs="仿宋"/>
          <w:sz w:val="28"/>
          <w:szCs w:val="28"/>
          <w:lang w:eastAsia="zh-CN"/>
        </w:rPr>
        <w:t>2025年</w:t>
      </w:r>
      <w:r>
        <w:rPr>
          <w:rFonts w:hint="eastAsia" w:ascii="等线" w:hAnsi="等线" w:eastAsia="仿宋" w:cs="仿宋"/>
          <w:sz w:val="28"/>
          <w:szCs w:val="28"/>
        </w:rPr>
        <w:t>普通高考（含对口招生考试）报名条件并已参加高考报名的人员</w:t>
      </w:r>
      <w:r>
        <w:rPr>
          <w:rFonts w:hint="eastAsia" w:ascii="等线" w:hAnsi="等线" w:eastAsia="仿宋" w:cs="仿宋"/>
          <w:sz w:val="28"/>
          <w:szCs w:val="28"/>
          <w:lang w:val="en-US" w:eastAsia="zh-CN"/>
        </w:rPr>
        <w:t>均可报考</w:t>
      </w:r>
      <w:r>
        <w:rPr>
          <w:rFonts w:hint="eastAsia" w:ascii="等线" w:hAnsi="等线" w:eastAsia="仿宋" w:cs="仿宋"/>
          <w:sz w:val="28"/>
          <w:szCs w:val="28"/>
        </w:rPr>
        <w:t>。</w:t>
      </w:r>
    </w:p>
    <w:p w14:paraId="041F3D36">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lang w:eastAsia="zh-CN"/>
        </w:rPr>
        <w:t>2025年</w:t>
      </w:r>
      <w:r>
        <w:rPr>
          <w:rFonts w:hint="eastAsia" w:ascii="等线" w:hAnsi="等线" w:eastAsia="仿宋" w:cs="仿宋"/>
          <w:sz w:val="28"/>
          <w:szCs w:val="28"/>
        </w:rPr>
        <w:t>2月</w:t>
      </w:r>
      <w:r>
        <w:rPr>
          <w:rFonts w:hint="eastAsia" w:ascii="等线" w:hAnsi="等线" w:eastAsia="仿宋" w:cs="仿宋"/>
          <w:sz w:val="28"/>
          <w:szCs w:val="28"/>
          <w:lang w:val="en-US" w:eastAsia="zh-CN"/>
        </w:rPr>
        <w:t>18</w:t>
      </w:r>
      <w:r>
        <w:rPr>
          <w:rFonts w:hint="eastAsia" w:ascii="等线" w:hAnsi="等线" w:eastAsia="仿宋" w:cs="仿宋"/>
          <w:sz w:val="28"/>
          <w:szCs w:val="28"/>
        </w:rPr>
        <w:t>日</w:t>
      </w:r>
      <w:r>
        <w:rPr>
          <w:rFonts w:hint="eastAsia" w:ascii="等线" w:hAnsi="等线" w:eastAsia="仿宋" w:cs="仿宋"/>
          <w:sz w:val="28"/>
          <w:szCs w:val="28"/>
          <w:lang w:val="en-US" w:eastAsia="zh-CN"/>
        </w:rPr>
        <w:t>8:00</w:t>
      </w:r>
      <w:r>
        <w:rPr>
          <w:rFonts w:hint="eastAsia" w:ascii="等线" w:hAnsi="等线" w:eastAsia="仿宋" w:cs="仿宋"/>
          <w:sz w:val="28"/>
          <w:szCs w:val="28"/>
        </w:rPr>
        <w:t>－</w:t>
      </w:r>
      <w:r>
        <w:rPr>
          <w:rFonts w:hint="eastAsia" w:ascii="等线" w:hAnsi="等线" w:eastAsia="仿宋" w:cs="仿宋"/>
          <w:sz w:val="28"/>
          <w:szCs w:val="28"/>
          <w:lang w:val="en-US" w:eastAsia="zh-CN"/>
        </w:rPr>
        <w:t>2</w:t>
      </w:r>
      <w:r>
        <w:rPr>
          <w:rFonts w:hint="eastAsia" w:ascii="等线" w:hAnsi="等线" w:eastAsia="仿宋" w:cs="仿宋"/>
          <w:sz w:val="28"/>
          <w:szCs w:val="28"/>
        </w:rPr>
        <w:t>月</w:t>
      </w:r>
      <w:r>
        <w:rPr>
          <w:rFonts w:hint="eastAsia" w:ascii="等线" w:hAnsi="等线" w:eastAsia="仿宋" w:cs="仿宋"/>
          <w:sz w:val="28"/>
          <w:szCs w:val="28"/>
          <w:lang w:val="en-US" w:eastAsia="zh-CN"/>
        </w:rPr>
        <w:t>2</w:t>
      </w:r>
      <w:r>
        <w:rPr>
          <w:rFonts w:hint="eastAsia" w:ascii="等线" w:hAnsi="等线" w:eastAsia="仿宋" w:cs="仿宋"/>
          <w:sz w:val="28"/>
          <w:szCs w:val="28"/>
        </w:rPr>
        <w:t>5日</w:t>
      </w:r>
      <w:r>
        <w:rPr>
          <w:rFonts w:hint="eastAsia" w:ascii="等线" w:hAnsi="等线" w:eastAsia="仿宋" w:cs="仿宋"/>
          <w:sz w:val="28"/>
          <w:szCs w:val="28"/>
          <w:lang w:val="en-US" w:eastAsia="zh-CN"/>
        </w:rPr>
        <w:t>17:00</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实行网上报考和填报志愿。高职</w:t>
      </w:r>
      <w:r>
        <w:rPr>
          <w:rFonts w:hint="eastAsia" w:ascii="等线" w:hAnsi="等线" w:eastAsia="仿宋" w:cs="仿宋"/>
          <w:sz w:val="28"/>
          <w:szCs w:val="28"/>
        </w:rPr>
        <w:t>单招</w:t>
      </w:r>
      <w:r>
        <w:rPr>
          <w:rFonts w:hint="eastAsia" w:ascii="等线" w:hAnsi="等线" w:eastAsia="仿宋" w:cs="仿宋"/>
          <w:sz w:val="28"/>
          <w:szCs w:val="28"/>
          <w:lang w:val="en-US" w:eastAsia="zh-CN"/>
        </w:rPr>
        <w:t>志愿</w:t>
      </w:r>
      <w:r>
        <w:rPr>
          <w:rFonts w:hint="eastAsia" w:ascii="等线" w:hAnsi="等线" w:eastAsia="仿宋" w:cs="仿宋"/>
          <w:sz w:val="28"/>
          <w:szCs w:val="28"/>
        </w:rPr>
        <w:t>设第一志愿和第二志愿，考生可</w:t>
      </w:r>
      <w:r>
        <w:rPr>
          <w:rFonts w:hint="eastAsia" w:ascii="等线" w:hAnsi="等线" w:eastAsia="仿宋" w:cs="仿宋"/>
          <w:sz w:val="28"/>
          <w:szCs w:val="28"/>
          <w:lang w:val="en-US" w:eastAsia="zh-CN"/>
        </w:rPr>
        <w:t>根据自己意愿分别填报</w:t>
      </w:r>
      <w:r>
        <w:rPr>
          <w:rFonts w:hint="eastAsia" w:ascii="等线" w:hAnsi="等线" w:eastAsia="仿宋" w:cs="仿宋"/>
          <w:sz w:val="28"/>
          <w:szCs w:val="28"/>
        </w:rPr>
        <w:t>选择</w:t>
      </w:r>
      <w:r>
        <w:rPr>
          <w:rFonts w:hint="eastAsia" w:ascii="等线" w:hAnsi="等线" w:eastAsia="仿宋" w:cs="仿宋"/>
          <w:sz w:val="28"/>
          <w:szCs w:val="28"/>
          <w:lang w:val="en-US" w:eastAsia="zh-CN"/>
        </w:rPr>
        <w:t>1</w:t>
      </w:r>
      <w:r>
        <w:rPr>
          <w:rFonts w:hint="eastAsia" w:ascii="等线" w:hAnsi="等线" w:eastAsia="仿宋" w:cs="仿宋"/>
          <w:sz w:val="28"/>
          <w:szCs w:val="28"/>
        </w:rPr>
        <w:t>所</w:t>
      </w:r>
      <w:r>
        <w:rPr>
          <w:rFonts w:hint="eastAsia" w:ascii="等线" w:hAnsi="等线" w:eastAsia="仿宋" w:cs="仿宋"/>
          <w:sz w:val="28"/>
          <w:szCs w:val="28"/>
          <w:lang w:val="en-US" w:eastAsia="zh-CN"/>
        </w:rPr>
        <w:t>高职</w:t>
      </w:r>
      <w:r>
        <w:rPr>
          <w:rFonts w:hint="eastAsia" w:ascii="等线" w:hAnsi="等线" w:eastAsia="仿宋" w:cs="仿宋"/>
          <w:sz w:val="28"/>
          <w:szCs w:val="28"/>
        </w:rPr>
        <w:t>院校</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没有填报高职单招志愿的考生，不得参加单招考试及录取</w:t>
      </w:r>
      <w:r>
        <w:rPr>
          <w:rFonts w:hint="eastAsia" w:ascii="等线" w:hAnsi="等线" w:eastAsia="仿宋" w:cs="仿宋"/>
          <w:sz w:val="28"/>
          <w:szCs w:val="28"/>
          <w:lang w:eastAsia="zh-CN"/>
        </w:rPr>
        <w:t>。</w:t>
      </w:r>
    </w:p>
    <w:p w14:paraId="2A883F94">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sz w:val="28"/>
          <w:szCs w:val="28"/>
          <w:lang w:val="en-US" w:eastAsia="zh-CN"/>
        </w:rPr>
        <w:t>在此期间，考生须</w:t>
      </w:r>
      <w:r>
        <w:rPr>
          <w:rFonts w:hint="eastAsia" w:ascii="等线" w:hAnsi="等线" w:eastAsia="仿宋" w:cs="仿宋"/>
          <w:color w:val="auto"/>
          <w:sz w:val="28"/>
          <w:szCs w:val="28"/>
        </w:rPr>
        <w:t>登录</w:t>
      </w:r>
      <w:r>
        <w:rPr>
          <w:rFonts w:hint="eastAsia" w:ascii="等线" w:hAnsi="等线" w:eastAsia="仿宋" w:cs="仿宋"/>
          <w:sz w:val="28"/>
          <w:szCs w:val="28"/>
        </w:rPr>
        <w:t>湖南省普通高校招生考试考生综合信息平台（网址：https://ks.hneao.cn）或“潇湘高考”APP（通过苹果应用商店、腾讯应用宝、华为应用商店、小米应用商店或“</w:t>
      </w:r>
      <w:r>
        <w:rPr>
          <w:rFonts w:hint="eastAsia" w:ascii="等线" w:hAnsi="等线" w:eastAsia="仿宋" w:cs="仿宋"/>
          <w:sz w:val="28"/>
          <w:szCs w:val="28"/>
          <w:lang w:val="en-US" w:eastAsia="zh-CN"/>
        </w:rPr>
        <w:t>湖南省普通高校招生考试</w:t>
      </w:r>
      <w:r>
        <w:rPr>
          <w:rFonts w:hint="eastAsia" w:ascii="等线" w:hAnsi="等线" w:eastAsia="仿宋" w:cs="仿宋"/>
          <w:sz w:val="28"/>
          <w:szCs w:val="28"/>
        </w:rPr>
        <w:t>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校</w:t>
      </w:r>
      <w:r>
        <w:rPr>
          <w:rFonts w:hint="eastAsia" w:ascii="等线" w:hAnsi="等线" w:eastAsia="仿宋" w:cs="仿宋"/>
          <w:sz w:val="28"/>
          <w:szCs w:val="28"/>
          <w:lang w:val="en-US" w:eastAsia="zh-CN"/>
        </w:rPr>
        <w:t>官网公布的有关信息。（</w:t>
      </w:r>
      <w:r>
        <w:rPr>
          <w:rFonts w:hint="eastAsia" w:ascii="等线" w:hAnsi="等线" w:eastAsia="仿宋" w:cs="仿宋"/>
          <w:color w:val="auto"/>
          <w:sz w:val="28"/>
          <w:szCs w:val="28"/>
          <w:lang w:val="en-US" w:eastAsia="zh-CN"/>
        </w:rPr>
        <w:t>网址：</w:t>
      </w:r>
      <w:r>
        <w:rPr>
          <w:rFonts w:hint="eastAsia" w:ascii="等线" w:hAnsi="等线" w:eastAsia="仿宋" w:cs="仿宋"/>
          <w:color w:val="auto"/>
          <w:sz w:val="28"/>
          <w:szCs w:val="28"/>
        </w:rPr>
        <w:t>ttp://www.cdkjzy.com.cn</w:t>
      </w:r>
      <w:r>
        <w:rPr>
          <w:rFonts w:hint="eastAsia" w:ascii="等线" w:hAnsi="等线" w:eastAsia="仿宋" w:cs="仿宋"/>
          <w:color w:val="auto"/>
          <w:sz w:val="28"/>
          <w:szCs w:val="28"/>
          <w:lang w:eastAsia="zh-CN"/>
        </w:rPr>
        <w:t>）</w:t>
      </w:r>
    </w:p>
    <w:p w14:paraId="470ABA48">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第十条</w:t>
      </w:r>
      <w:r>
        <w:rPr>
          <w:rFonts w:hint="eastAsia" w:ascii="等线" w:hAnsi="等线" w:eastAsia="仿宋" w:cs="仿宋"/>
          <w:sz w:val="28"/>
          <w:szCs w:val="28"/>
          <w:lang w:val="en-US" w:eastAsia="zh-CN"/>
        </w:rPr>
        <w:t xml:space="preserve"> 填报专业要求。我校实行专业组志愿，考生在填报我校志愿时，需选择</w:t>
      </w:r>
      <w:r>
        <w:rPr>
          <w:rFonts w:hint="eastAsia" w:ascii="等线" w:hAnsi="等线" w:eastAsia="仿宋" w:cs="仿宋"/>
          <w:sz w:val="28"/>
          <w:szCs w:val="28"/>
          <w:u w:val="none"/>
          <w:lang w:val="en-US" w:eastAsia="zh-CN"/>
        </w:rPr>
        <w:t>一个</w:t>
      </w:r>
      <w:r>
        <w:rPr>
          <w:rFonts w:hint="eastAsia" w:ascii="等线" w:hAnsi="等线" w:eastAsia="仿宋" w:cs="仿宋"/>
          <w:sz w:val="28"/>
          <w:szCs w:val="28"/>
          <w:lang w:val="en-US" w:eastAsia="zh-CN"/>
        </w:rPr>
        <w:t>专业组中的</w:t>
      </w:r>
      <w:r>
        <w:rPr>
          <w:rFonts w:hint="eastAsia" w:ascii="等线" w:hAnsi="等线" w:eastAsia="仿宋" w:cs="仿宋"/>
          <w:sz w:val="28"/>
          <w:szCs w:val="28"/>
          <w:u w:val="none"/>
          <w:lang w:val="en-US" w:eastAsia="zh-CN"/>
        </w:rPr>
        <w:t>两个专</w:t>
      </w:r>
      <w:r>
        <w:rPr>
          <w:rFonts w:hint="eastAsia" w:ascii="等线" w:hAnsi="等线" w:eastAsia="仿宋" w:cs="仿宋"/>
          <w:sz w:val="28"/>
          <w:szCs w:val="28"/>
          <w:lang w:val="en-US" w:eastAsia="zh-CN"/>
        </w:rPr>
        <w:t>业，并确定是否选择专业服从调剂。</w:t>
      </w:r>
    </w:p>
    <w:p w14:paraId="2A871796">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退役军人身份认定。退役军人由户籍所在县（市、区）退役军人事务部门进行认定。</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4036FA9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1.退役军人</w:t>
      </w:r>
      <w:r>
        <w:rPr>
          <w:rFonts w:hint="eastAsia" w:ascii="等线" w:hAnsi="等线" w:eastAsia="仿宋" w:cs="仿宋"/>
          <w:sz w:val="28"/>
          <w:szCs w:val="28"/>
          <w:lang w:eastAsia="zh-CN"/>
        </w:rPr>
        <w:t>考生须提供本人身份证复印件及</w:t>
      </w:r>
      <w:r>
        <w:rPr>
          <w:rFonts w:hint="eastAsia" w:ascii="等线" w:hAnsi="等线" w:eastAsia="仿宋" w:cs="仿宋"/>
          <w:sz w:val="28"/>
          <w:szCs w:val="28"/>
        </w:rPr>
        <w:t>《湖南省</w:t>
      </w:r>
      <w:r>
        <w:rPr>
          <w:rFonts w:hint="eastAsia" w:ascii="等线" w:hAnsi="等线" w:eastAsia="仿宋" w:cs="仿宋"/>
          <w:sz w:val="28"/>
          <w:szCs w:val="28"/>
          <w:lang w:eastAsia="zh-CN"/>
        </w:rPr>
        <w:t>2025年</w:t>
      </w:r>
      <w:r>
        <w:rPr>
          <w:rFonts w:hint="eastAsia" w:ascii="等线" w:hAnsi="等线" w:eastAsia="仿宋" w:cs="仿宋"/>
          <w:sz w:val="28"/>
          <w:szCs w:val="28"/>
        </w:rPr>
        <w:t>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w:t>
      </w:r>
      <w:r>
        <w:rPr>
          <w:rFonts w:hint="eastAsia" w:ascii="等线" w:hAnsi="等线" w:eastAsia="仿宋" w:cs="仿宋"/>
          <w:sz w:val="28"/>
          <w:szCs w:val="28"/>
        </w:rPr>
        <w:t>。</w:t>
      </w:r>
    </w:p>
    <w:p w14:paraId="63B5A30C">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w:t>
      </w:r>
      <w:r>
        <w:rPr>
          <w:rFonts w:hint="eastAsia" w:ascii="等线" w:hAnsi="等线" w:eastAsia="仿宋" w:cs="仿宋"/>
          <w:sz w:val="28"/>
          <w:szCs w:val="28"/>
        </w:rPr>
        <w:t>考生</w:t>
      </w:r>
      <w:r>
        <w:rPr>
          <w:rFonts w:hint="eastAsia" w:ascii="等线" w:hAnsi="等线" w:eastAsia="仿宋" w:cs="仿宋"/>
          <w:sz w:val="28"/>
          <w:szCs w:val="28"/>
          <w:lang w:val="en-US" w:eastAsia="zh-CN"/>
        </w:rPr>
        <w:t>须在2025年2月</w:t>
      </w:r>
      <w:r>
        <w:rPr>
          <w:rFonts w:hint="eastAsia" w:ascii="等线" w:hAnsi="等线" w:eastAsia="仿宋" w:cs="仿宋"/>
          <w:sz w:val="28"/>
          <w:szCs w:val="28"/>
          <w:u w:val="none"/>
          <w:lang w:val="en-US" w:eastAsia="zh-CN"/>
        </w:rPr>
        <w:t>22</w:t>
      </w:r>
      <w:r>
        <w:rPr>
          <w:rFonts w:hint="eastAsia" w:ascii="等线" w:hAnsi="等线" w:eastAsia="仿宋" w:cs="仿宋"/>
          <w:sz w:val="28"/>
          <w:szCs w:val="28"/>
          <w:lang w:val="en-US" w:eastAsia="zh-CN"/>
        </w:rPr>
        <w:t>日8:00前携带符合上述要求的</w:t>
      </w:r>
      <w:r>
        <w:rPr>
          <w:rFonts w:hint="eastAsia" w:ascii="等线" w:hAnsi="等线" w:eastAsia="仿宋" w:cs="仿宋"/>
          <w:sz w:val="28"/>
          <w:szCs w:val="28"/>
        </w:rPr>
        <w:t>证明材料</w:t>
      </w:r>
      <w:r>
        <w:rPr>
          <w:rFonts w:hint="eastAsia" w:ascii="等线" w:hAnsi="等线" w:eastAsia="仿宋" w:cs="仿宋"/>
          <w:sz w:val="28"/>
          <w:szCs w:val="28"/>
          <w:lang w:val="en-US" w:eastAsia="zh-CN"/>
        </w:rPr>
        <w:t>至我校</w:t>
      </w:r>
      <w:r>
        <w:rPr>
          <w:rFonts w:hint="eastAsia" w:ascii="等线" w:hAnsi="等线" w:eastAsia="仿宋" w:cs="仿宋"/>
          <w:sz w:val="28"/>
          <w:szCs w:val="28"/>
          <w:u w:val="none"/>
          <w:lang w:val="en-US" w:eastAsia="zh-CN"/>
        </w:rPr>
        <w:t>招生就业指导处</w:t>
      </w:r>
      <w:r>
        <w:rPr>
          <w:rFonts w:hint="eastAsia" w:ascii="等线" w:hAnsi="等线" w:eastAsia="仿宋" w:cs="仿宋"/>
          <w:sz w:val="28"/>
          <w:szCs w:val="28"/>
          <w:lang w:val="en-US" w:eastAsia="zh-CN"/>
        </w:rPr>
        <w:t>审核</w:t>
      </w:r>
      <w:r>
        <w:rPr>
          <w:rFonts w:hint="eastAsia" w:ascii="等线" w:hAnsi="等线" w:eastAsia="仿宋" w:cs="仿宋"/>
          <w:sz w:val="28"/>
          <w:szCs w:val="28"/>
          <w:u w:val="none"/>
          <w:lang w:val="en-US" w:eastAsia="zh-CN"/>
        </w:rPr>
        <w:t>（联系方式：0736—7875363）</w:t>
      </w:r>
      <w:r>
        <w:rPr>
          <w:rFonts w:hint="eastAsia" w:ascii="等线" w:hAnsi="等线" w:eastAsia="仿宋" w:cs="仿宋"/>
          <w:sz w:val="28"/>
          <w:szCs w:val="28"/>
          <w:lang w:val="en-US" w:eastAsia="zh-CN"/>
        </w:rPr>
        <w:t>。</w:t>
      </w:r>
    </w:p>
    <w:p w14:paraId="6C6A91E7">
      <w:pPr>
        <w:spacing w:line="500" w:lineRule="exact"/>
        <w:ind w:firstLine="562" w:firstLineChars="200"/>
        <w:rPr>
          <w:rFonts w:hint="default" w:ascii="等线" w:hAnsi="等线" w:eastAsia="仿宋" w:cs="仿宋"/>
          <w:b w:val="0"/>
          <w:bCs w:val="0"/>
          <w:sz w:val="28"/>
          <w:szCs w:val="28"/>
          <w:lang w:val="en-US" w:eastAsia="zh-CN"/>
        </w:rPr>
      </w:pPr>
      <w:r>
        <w:rPr>
          <w:rFonts w:hint="eastAsia" w:ascii="等线" w:hAnsi="等线" w:eastAsia="仿宋" w:cs="仿宋"/>
          <w:b/>
          <w:bCs/>
          <w:sz w:val="28"/>
          <w:szCs w:val="28"/>
          <w:lang w:val="en-US" w:eastAsia="zh-CN"/>
        </w:rPr>
        <w:t xml:space="preserve">第十二条  </w:t>
      </w:r>
      <w:r>
        <w:rPr>
          <w:rFonts w:hint="eastAsia" w:ascii="等线" w:hAnsi="等线" w:eastAsia="仿宋" w:cs="仿宋"/>
          <w:b w:val="0"/>
          <w:bCs w:val="0"/>
          <w:sz w:val="28"/>
          <w:szCs w:val="28"/>
          <w:lang w:val="en-US" w:eastAsia="zh-CN"/>
        </w:rPr>
        <w:t>艺术体育特长生身份认定。艺术体育特长生须在填报志愿前查询拟我校单招章程，2月22日8:00前按要求提交有关证明材料给我校招生就业指导处进行认定（相关资料交由学校保存）。艺术体育特长生须经我校认定后方可填报对应艺术体育特长生类别的志愿。不能提供有关证明材料、认定不符合艺术体育特长生的考生只能以应届普通高中毕业考生身份或中职考生和往届普通高中考生及同等学力考生身份在志愿填报期间填报对应类别志愿专业。志愿类别填报错误造成的后果，由考生本人承担。</w:t>
      </w:r>
    </w:p>
    <w:p w14:paraId="1E4976AD">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174C5A4C">
      <w:pPr>
        <w:widowControl/>
        <w:numPr>
          <w:ilvl w:val="0"/>
          <w:numId w:val="0"/>
        </w:numPr>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第十三条</w:t>
      </w:r>
      <w:r>
        <w:rPr>
          <w:rFonts w:hint="eastAsia" w:ascii="等线" w:hAnsi="等线" w:eastAsia="仿宋" w:cs="仿宋"/>
          <w:sz w:val="28"/>
          <w:szCs w:val="28"/>
          <w:lang w:val="en-US" w:eastAsia="zh-CN"/>
        </w:rPr>
        <w:t xml:space="preserve">  我校</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年单招</w:t>
      </w:r>
      <w:r>
        <w:rPr>
          <w:rFonts w:hint="eastAsia" w:ascii="等线" w:hAnsi="等线" w:eastAsia="仿宋" w:cs="仿宋"/>
          <w:sz w:val="28"/>
          <w:szCs w:val="28"/>
          <w:lang w:val="en-US" w:eastAsia="zh-CN"/>
        </w:rPr>
        <w:t>总</w:t>
      </w:r>
      <w:r>
        <w:rPr>
          <w:rFonts w:hint="eastAsia" w:ascii="等线" w:hAnsi="等线" w:eastAsia="仿宋" w:cs="仿宋"/>
          <w:sz w:val="28"/>
          <w:szCs w:val="28"/>
        </w:rPr>
        <w:t>计划数为</w:t>
      </w:r>
      <w:r>
        <w:rPr>
          <w:rFonts w:hint="eastAsia" w:ascii="等线" w:hAnsi="等线" w:eastAsia="仿宋" w:cs="仿宋"/>
          <w:sz w:val="28"/>
          <w:szCs w:val="28"/>
          <w:u w:val="none"/>
          <w:lang w:val="en-US" w:eastAsia="zh-CN"/>
        </w:rPr>
        <w:t>1640</w:t>
      </w:r>
      <w:r>
        <w:rPr>
          <w:rFonts w:hint="eastAsia" w:ascii="等线" w:hAnsi="等线" w:eastAsia="仿宋" w:cs="仿宋"/>
          <w:sz w:val="28"/>
          <w:szCs w:val="28"/>
          <w:u w:val="none"/>
        </w:rPr>
        <w:t>人</w:t>
      </w:r>
      <w:r>
        <w:rPr>
          <w:rFonts w:hint="eastAsia" w:ascii="等线" w:hAnsi="等线" w:eastAsia="仿宋" w:cs="仿宋"/>
          <w:sz w:val="28"/>
          <w:szCs w:val="28"/>
          <w:lang w:eastAsia="zh-CN"/>
        </w:rPr>
        <w:t>，其中包</w:t>
      </w:r>
      <w:r>
        <w:rPr>
          <w:rFonts w:hint="eastAsia" w:ascii="等线" w:hAnsi="等线" w:eastAsia="仿宋" w:cs="仿宋"/>
          <w:sz w:val="28"/>
          <w:szCs w:val="28"/>
          <w:lang w:val="en-US" w:eastAsia="zh-CN"/>
        </w:rPr>
        <w:t>含单列计划的退役军人</w:t>
      </w:r>
      <w:r>
        <w:rPr>
          <w:rFonts w:hint="eastAsia" w:ascii="等线" w:hAnsi="等线" w:eastAsia="仿宋" w:cs="仿宋"/>
          <w:sz w:val="28"/>
          <w:szCs w:val="28"/>
          <w:u w:val="none"/>
          <w:lang w:val="en-US" w:eastAsia="zh-CN"/>
        </w:rPr>
        <w:t>10</w:t>
      </w:r>
      <w:r>
        <w:rPr>
          <w:rFonts w:hint="eastAsia" w:ascii="等线" w:hAnsi="等线" w:eastAsia="仿宋" w:cs="仿宋"/>
          <w:sz w:val="28"/>
          <w:szCs w:val="28"/>
          <w:lang w:val="en-US" w:eastAsia="zh-CN"/>
        </w:rPr>
        <w:t>人、艺术体育特长生18</w:t>
      </w:r>
      <w:r>
        <w:rPr>
          <w:rFonts w:hint="eastAsia" w:ascii="等线" w:hAnsi="等线" w:eastAsia="仿宋" w:cs="仿宋"/>
          <w:sz w:val="28"/>
          <w:szCs w:val="28"/>
          <w:u w:val="none"/>
          <w:lang w:val="en-US" w:eastAsia="zh-CN"/>
        </w:rPr>
        <w:t>人。</w:t>
      </w:r>
      <w:r>
        <w:rPr>
          <w:rFonts w:hint="eastAsia" w:ascii="等线" w:hAnsi="等线" w:eastAsia="仿宋" w:cs="仿宋"/>
          <w:sz w:val="28"/>
          <w:szCs w:val="28"/>
          <w:lang w:eastAsia="zh-CN"/>
        </w:rPr>
        <w:t>本校</w:t>
      </w:r>
      <w:r>
        <w:rPr>
          <w:rFonts w:hint="eastAsia" w:ascii="等线" w:hAnsi="等线" w:eastAsia="仿宋" w:cs="仿宋"/>
          <w:sz w:val="28"/>
          <w:szCs w:val="28"/>
          <w:lang w:val="en-US" w:eastAsia="zh-CN"/>
        </w:rPr>
        <w:t>2025年实际单招专业及分专业招生计划，以省教育考试院公布的为准。</w:t>
      </w:r>
      <w:r>
        <w:rPr>
          <w:rFonts w:hint="eastAsia" w:ascii="等线" w:hAnsi="等线" w:eastAsia="仿宋" w:cs="仿宋"/>
          <w:sz w:val="28"/>
          <w:szCs w:val="28"/>
        </w:rPr>
        <w:t>各专业最终学费标准以2</w:t>
      </w:r>
      <w:r>
        <w:rPr>
          <w:rFonts w:ascii="等线" w:hAnsi="等线" w:eastAsia="仿宋" w:cs="仿宋"/>
          <w:sz w:val="28"/>
          <w:szCs w:val="28"/>
        </w:rPr>
        <w:t>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r>
        <w:rPr>
          <w:rFonts w:hint="eastAsia" w:ascii="等线" w:hAnsi="等线" w:eastAsia="仿宋" w:cs="仿宋"/>
          <w:sz w:val="28"/>
          <w:szCs w:val="28"/>
          <w:lang w:eastAsia="zh-CN"/>
        </w:rPr>
        <w:t>。</w:t>
      </w:r>
    </w:p>
    <w:p w14:paraId="3D2F6B42">
      <w:pPr>
        <w:widowControl/>
        <w:numPr>
          <w:ilvl w:val="0"/>
          <w:numId w:val="0"/>
        </w:numPr>
        <w:spacing w:line="500" w:lineRule="exact"/>
        <w:jc w:val="left"/>
        <w:rPr>
          <w:rFonts w:hint="eastAsia" w:ascii="等线" w:hAnsi="等线" w:eastAsia="仿宋" w:cs="仿宋"/>
          <w:sz w:val="28"/>
          <w:szCs w:val="28"/>
          <w:lang w:val="en-US" w:eastAsia="zh-CN"/>
        </w:rPr>
      </w:pPr>
    </w:p>
    <w:tbl>
      <w:tblPr>
        <w:tblStyle w:val="11"/>
        <w:tblW w:w="4999" w:type="pct"/>
        <w:jc w:val="center"/>
        <w:tblLayout w:type="autofit"/>
        <w:tblCellMar>
          <w:top w:w="0" w:type="dxa"/>
          <w:left w:w="108" w:type="dxa"/>
          <w:bottom w:w="0" w:type="dxa"/>
          <w:right w:w="108" w:type="dxa"/>
        </w:tblCellMar>
      </w:tblPr>
      <w:tblGrid>
        <w:gridCol w:w="1430"/>
        <w:gridCol w:w="5772"/>
        <w:gridCol w:w="1318"/>
      </w:tblGrid>
      <w:tr w14:paraId="1A77A6C4">
        <w:tblPrEx>
          <w:tblCellMar>
            <w:top w:w="0" w:type="dxa"/>
            <w:left w:w="108" w:type="dxa"/>
            <w:bottom w:w="0" w:type="dxa"/>
            <w:right w:w="108" w:type="dxa"/>
          </w:tblCellMar>
        </w:tblPrEx>
        <w:trPr>
          <w:trHeight w:val="572" w:hRule="exact"/>
          <w:jc w:val="center"/>
        </w:trPr>
        <w:tc>
          <w:tcPr>
            <w:tcW w:w="839" w:type="pct"/>
            <w:tcBorders>
              <w:top w:val="single" w:color="auto" w:sz="4" w:space="0"/>
              <w:left w:val="single" w:color="auto" w:sz="4" w:space="0"/>
              <w:bottom w:val="single" w:color="auto" w:sz="4" w:space="0"/>
              <w:right w:val="single" w:color="auto" w:sz="4" w:space="0"/>
            </w:tcBorders>
            <w:noWrap/>
            <w:vAlign w:val="center"/>
          </w:tcPr>
          <w:p w14:paraId="6ED3BB7A">
            <w:pPr>
              <w:widowControl/>
              <w:jc w:val="center"/>
              <w:textAlignment w:val="center"/>
              <w:rPr>
                <w:rFonts w:ascii="宋体" w:hAnsi="宋体" w:cs="宋体"/>
                <w:b/>
                <w:kern w:val="0"/>
                <w:szCs w:val="21"/>
              </w:rPr>
            </w:pPr>
            <w:r>
              <w:rPr>
                <w:rFonts w:hint="eastAsia" w:ascii="宋体" w:hAnsi="宋体" w:cs="宋体"/>
                <w:b/>
                <w:bCs/>
                <w:kern w:val="0"/>
                <w:szCs w:val="21"/>
                <w:lang w:bidi="ar"/>
              </w:rPr>
              <w:t>专业组</w:t>
            </w:r>
          </w:p>
        </w:tc>
        <w:tc>
          <w:tcPr>
            <w:tcW w:w="3386" w:type="pct"/>
            <w:tcBorders>
              <w:top w:val="single" w:color="auto" w:sz="4" w:space="0"/>
              <w:left w:val="nil"/>
              <w:bottom w:val="single" w:color="auto" w:sz="4" w:space="0"/>
              <w:right w:val="single" w:color="auto" w:sz="4" w:space="0"/>
            </w:tcBorders>
            <w:noWrap/>
            <w:vAlign w:val="center"/>
          </w:tcPr>
          <w:p w14:paraId="374D8011">
            <w:pPr>
              <w:widowControl/>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773" w:type="pct"/>
            <w:tcBorders>
              <w:top w:val="single" w:color="auto" w:sz="4" w:space="0"/>
              <w:left w:val="nil"/>
              <w:bottom w:val="single" w:color="auto" w:sz="4" w:space="0"/>
              <w:right w:val="single" w:color="auto" w:sz="4" w:space="0"/>
            </w:tcBorders>
            <w:noWrap/>
            <w:vAlign w:val="center"/>
          </w:tcPr>
          <w:p w14:paraId="1C31D243">
            <w:pPr>
              <w:widowControl/>
              <w:jc w:val="center"/>
              <w:textAlignment w:val="center"/>
              <w:rPr>
                <w:rFonts w:hint="eastAsia"/>
                <w:lang w:eastAsia="zh-CN"/>
              </w:rPr>
            </w:pPr>
            <w:r>
              <w:rPr>
                <w:rFonts w:hint="eastAsia" w:ascii="宋体" w:hAnsi="宋体" w:cs="宋体"/>
                <w:b/>
                <w:bCs/>
                <w:kern w:val="0"/>
                <w:szCs w:val="21"/>
                <w:lang w:bidi="ar"/>
              </w:rPr>
              <w:t>学费</w:t>
            </w:r>
          </w:p>
          <w:p w14:paraId="40B4945D">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14:paraId="556CA186">
        <w:tblPrEx>
          <w:tblCellMar>
            <w:top w:w="0" w:type="dxa"/>
            <w:left w:w="108" w:type="dxa"/>
            <w:bottom w:w="0" w:type="dxa"/>
            <w:right w:w="108" w:type="dxa"/>
          </w:tblCellMar>
        </w:tblPrEx>
        <w:trPr>
          <w:trHeight w:val="390" w:hRule="exact"/>
          <w:jc w:val="center"/>
        </w:trPr>
        <w:tc>
          <w:tcPr>
            <w:tcW w:w="839" w:type="pct"/>
            <w:vMerge w:val="restart"/>
            <w:tcBorders>
              <w:top w:val="nil"/>
              <w:left w:val="single" w:color="auto" w:sz="4" w:space="0"/>
              <w:bottom w:val="single" w:color="auto" w:sz="4" w:space="0"/>
              <w:right w:val="single" w:color="auto" w:sz="4" w:space="0"/>
            </w:tcBorders>
            <w:noWrap/>
            <w:vAlign w:val="center"/>
          </w:tcPr>
          <w:p w14:paraId="230D214B">
            <w:pPr>
              <w:widowControl/>
              <w:jc w:val="center"/>
              <w:textAlignment w:val="center"/>
              <w:rPr>
                <w:rFonts w:hint="eastAsia" w:ascii="宋体" w:hAnsi="宋体" w:cs="宋体"/>
                <w:kern w:val="0"/>
                <w:szCs w:val="21"/>
                <w:lang w:bidi="ar"/>
              </w:rPr>
            </w:pPr>
            <w:r>
              <w:rPr>
                <w:rFonts w:hint="eastAsia" w:ascii="宋体" w:hAnsi="宋体" w:cs="宋体"/>
                <w:kern w:val="0"/>
                <w:szCs w:val="21"/>
                <w:lang w:bidi="ar"/>
              </w:rPr>
              <w:t>专业组一</w:t>
            </w:r>
          </w:p>
          <w:p w14:paraId="6CF2F8A9">
            <w:pPr>
              <w:widowControl/>
              <w:jc w:val="center"/>
              <w:textAlignment w:val="center"/>
              <w:rPr>
                <w:rFonts w:hint="default" w:ascii="宋体" w:hAnsi="宋体" w:eastAsia="宋体" w:cs="宋体"/>
                <w:kern w:val="0"/>
                <w:szCs w:val="21"/>
                <w:lang w:val="en-US" w:eastAsia="zh-CN" w:bidi="ar"/>
              </w:rPr>
            </w:pPr>
          </w:p>
        </w:tc>
        <w:tc>
          <w:tcPr>
            <w:tcW w:w="3386" w:type="pct"/>
            <w:tcBorders>
              <w:top w:val="nil"/>
              <w:left w:val="nil"/>
              <w:bottom w:val="single" w:color="auto" w:sz="4" w:space="0"/>
              <w:right w:val="single" w:color="auto" w:sz="4" w:space="0"/>
            </w:tcBorders>
            <w:shd w:val="clear" w:color="auto" w:fill="auto"/>
            <w:noWrap/>
            <w:vAlign w:val="center"/>
          </w:tcPr>
          <w:p w14:paraId="1493C1C3">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智能机电技术</w:t>
            </w:r>
          </w:p>
        </w:tc>
        <w:tc>
          <w:tcPr>
            <w:tcW w:w="773" w:type="pct"/>
            <w:tcBorders>
              <w:top w:val="nil"/>
              <w:left w:val="nil"/>
              <w:bottom w:val="single" w:color="auto" w:sz="4" w:space="0"/>
              <w:right w:val="single" w:color="auto" w:sz="4" w:space="0"/>
            </w:tcBorders>
            <w:shd w:val="clear" w:color="auto" w:fill="auto"/>
            <w:noWrap/>
            <w:vAlign w:val="center"/>
          </w:tcPr>
          <w:p w14:paraId="6B1A77F9">
            <w:pPr>
              <w:widowControl/>
              <w:jc w:val="center"/>
              <w:textAlignment w:val="center"/>
              <w:rPr>
                <w:rFonts w:hint="default" w:ascii="宋体" w:hAnsi="宋体" w:eastAsia="宋体" w:cs="Times New Roman"/>
                <w:kern w:val="2"/>
                <w:sz w:val="21"/>
                <w:szCs w:val="21"/>
                <w:lang w:val="en-US" w:eastAsia="zh-CN" w:bidi="ar-SA"/>
              </w:rPr>
            </w:pPr>
            <w:r>
              <w:rPr>
                <w:rFonts w:hint="eastAsia" w:ascii="宋体" w:hAnsi="宋体" w:cs="宋体"/>
                <w:kern w:val="0"/>
                <w:szCs w:val="21"/>
                <w:lang w:val="en-US" w:eastAsia="zh-CN"/>
              </w:rPr>
              <w:t>4600</w:t>
            </w:r>
          </w:p>
        </w:tc>
      </w:tr>
      <w:tr w14:paraId="036F0173">
        <w:tblPrEx>
          <w:tblCellMar>
            <w:top w:w="0" w:type="dxa"/>
            <w:left w:w="108" w:type="dxa"/>
            <w:bottom w:w="0" w:type="dxa"/>
            <w:right w:w="108" w:type="dxa"/>
          </w:tblCellMar>
        </w:tblPrEx>
        <w:trPr>
          <w:trHeight w:val="390" w:hRule="exact"/>
          <w:jc w:val="center"/>
        </w:trPr>
        <w:tc>
          <w:tcPr>
            <w:tcW w:w="839" w:type="pct"/>
            <w:vMerge w:val="continue"/>
            <w:tcBorders>
              <w:top w:val="nil"/>
              <w:left w:val="single" w:color="auto" w:sz="4" w:space="0"/>
              <w:bottom w:val="single" w:color="auto" w:sz="4" w:space="0"/>
              <w:right w:val="single" w:color="auto" w:sz="4" w:space="0"/>
            </w:tcBorders>
            <w:vAlign w:val="center"/>
          </w:tcPr>
          <w:p w14:paraId="1B92BB0E">
            <w:pPr>
              <w:jc w:val="center"/>
              <w:rPr>
                <w:rFonts w:ascii="宋体" w:hAnsi="宋体" w:cs="宋体"/>
                <w:kern w:val="0"/>
                <w:szCs w:val="21"/>
              </w:rPr>
            </w:pPr>
          </w:p>
        </w:tc>
        <w:tc>
          <w:tcPr>
            <w:tcW w:w="3386" w:type="pct"/>
            <w:tcBorders>
              <w:top w:val="nil"/>
              <w:left w:val="nil"/>
              <w:bottom w:val="single" w:color="auto" w:sz="4" w:space="0"/>
              <w:right w:val="single" w:color="auto" w:sz="4" w:space="0"/>
            </w:tcBorders>
            <w:shd w:val="clear" w:color="auto" w:fill="auto"/>
            <w:noWrap/>
            <w:vAlign w:val="center"/>
          </w:tcPr>
          <w:p w14:paraId="01EA57D8">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智能控制技术</w:t>
            </w:r>
          </w:p>
        </w:tc>
        <w:tc>
          <w:tcPr>
            <w:tcW w:w="773" w:type="pct"/>
            <w:tcBorders>
              <w:top w:val="nil"/>
              <w:left w:val="nil"/>
              <w:bottom w:val="single" w:color="auto" w:sz="4" w:space="0"/>
              <w:right w:val="single" w:color="auto" w:sz="4" w:space="0"/>
            </w:tcBorders>
            <w:shd w:val="clear" w:color="auto" w:fill="auto"/>
            <w:noWrap/>
            <w:vAlign w:val="center"/>
          </w:tcPr>
          <w:p w14:paraId="09C4A732">
            <w:pPr>
              <w:widowControl/>
              <w:jc w:val="center"/>
              <w:textAlignment w:val="center"/>
              <w:rPr>
                <w:rFonts w:hint="eastAsia" w:ascii="宋体" w:hAnsi="宋体" w:eastAsia="宋体" w:cs="Times New Roman"/>
                <w:kern w:val="2"/>
                <w:sz w:val="21"/>
                <w:szCs w:val="21"/>
                <w:lang w:val="en-US" w:eastAsia="zh-CN" w:bidi="ar-SA"/>
              </w:rPr>
            </w:pPr>
            <w:r>
              <w:rPr>
                <w:rFonts w:hint="eastAsia" w:ascii="宋体" w:hAnsi="宋体" w:cs="宋体"/>
                <w:kern w:val="0"/>
                <w:szCs w:val="21"/>
                <w:lang w:val="en-US" w:eastAsia="zh-CN"/>
              </w:rPr>
              <w:t>4600</w:t>
            </w:r>
          </w:p>
        </w:tc>
      </w:tr>
      <w:tr w14:paraId="119F441F">
        <w:tblPrEx>
          <w:tblCellMar>
            <w:top w:w="0" w:type="dxa"/>
            <w:left w:w="108" w:type="dxa"/>
            <w:bottom w:w="0" w:type="dxa"/>
            <w:right w:w="108" w:type="dxa"/>
          </w:tblCellMar>
        </w:tblPrEx>
        <w:trPr>
          <w:trHeight w:val="390" w:hRule="exact"/>
          <w:jc w:val="center"/>
        </w:trPr>
        <w:tc>
          <w:tcPr>
            <w:tcW w:w="839" w:type="pct"/>
            <w:vMerge w:val="continue"/>
            <w:tcBorders>
              <w:top w:val="nil"/>
              <w:left w:val="single" w:color="auto" w:sz="4" w:space="0"/>
              <w:bottom w:val="single" w:color="auto" w:sz="4" w:space="0"/>
              <w:right w:val="single" w:color="auto" w:sz="4" w:space="0"/>
            </w:tcBorders>
            <w:vAlign w:val="center"/>
          </w:tcPr>
          <w:p w14:paraId="412FB2B1">
            <w:pPr>
              <w:jc w:val="center"/>
              <w:rPr>
                <w:rFonts w:ascii="宋体" w:hAnsi="宋体" w:cs="宋体"/>
                <w:kern w:val="0"/>
                <w:szCs w:val="21"/>
              </w:rPr>
            </w:pPr>
          </w:p>
        </w:tc>
        <w:tc>
          <w:tcPr>
            <w:tcW w:w="3386" w:type="pct"/>
            <w:tcBorders>
              <w:top w:val="nil"/>
              <w:left w:val="nil"/>
              <w:bottom w:val="single" w:color="auto" w:sz="4" w:space="0"/>
              <w:right w:val="single" w:color="auto" w:sz="4" w:space="0"/>
            </w:tcBorders>
            <w:shd w:val="clear" w:color="auto" w:fill="auto"/>
            <w:noWrap/>
            <w:vAlign w:val="center"/>
          </w:tcPr>
          <w:p w14:paraId="2E45B9D0">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数控技术</w:t>
            </w:r>
          </w:p>
        </w:tc>
        <w:tc>
          <w:tcPr>
            <w:tcW w:w="773" w:type="pct"/>
            <w:tcBorders>
              <w:top w:val="nil"/>
              <w:left w:val="nil"/>
              <w:bottom w:val="single" w:color="auto" w:sz="4" w:space="0"/>
              <w:right w:val="single" w:color="auto" w:sz="4" w:space="0"/>
            </w:tcBorders>
            <w:shd w:val="clear" w:color="auto" w:fill="auto"/>
            <w:noWrap/>
            <w:vAlign w:val="center"/>
          </w:tcPr>
          <w:p w14:paraId="30C088BB">
            <w:pPr>
              <w:widowControl/>
              <w:jc w:val="center"/>
              <w:textAlignment w:val="center"/>
              <w:rPr>
                <w:rFonts w:hint="eastAsia" w:ascii="宋体" w:hAnsi="宋体" w:eastAsia="宋体" w:cs="宋体"/>
                <w:kern w:val="0"/>
                <w:sz w:val="21"/>
                <w:szCs w:val="21"/>
                <w:lang w:val="en-US" w:eastAsia="zh-CN" w:bidi="ar-SA"/>
              </w:rPr>
            </w:pPr>
            <w:r>
              <w:rPr>
                <w:rFonts w:hint="eastAsia" w:ascii="宋体" w:hAnsi="宋体" w:cs="宋体"/>
                <w:kern w:val="0"/>
                <w:szCs w:val="21"/>
                <w:lang w:val="en-US" w:eastAsia="zh-CN"/>
              </w:rPr>
              <w:t>4600</w:t>
            </w:r>
          </w:p>
        </w:tc>
      </w:tr>
      <w:tr w14:paraId="67CEAD72">
        <w:tblPrEx>
          <w:tblCellMar>
            <w:top w:w="0" w:type="dxa"/>
            <w:left w:w="108" w:type="dxa"/>
            <w:bottom w:w="0" w:type="dxa"/>
            <w:right w:w="108" w:type="dxa"/>
          </w:tblCellMar>
        </w:tblPrEx>
        <w:trPr>
          <w:trHeight w:val="402" w:hRule="exact"/>
          <w:jc w:val="center"/>
        </w:trPr>
        <w:tc>
          <w:tcPr>
            <w:tcW w:w="839" w:type="pct"/>
            <w:vMerge w:val="continue"/>
            <w:tcBorders>
              <w:top w:val="nil"/>
              <w:left w:val="single" w:color="auto" w:sz="4" w:space="0"/>
              <w:bottom w:val="single" w:color="auto" w:sz="4" w:space="0"/>
              <w:right w:val="single" w:color="auto" w:sz="4" w:space="0"/>
            </w:tcBorders>
            <w:vAlign w:val="center"/>
          </w:tcPr>
          <w:p w14:paraId="59483B4A">
            <w:pPr>
              <w:jc w:val="center"/>
              <w:rPr>
                <w:rFonts w:ascii="宋体" w:hAnsi="宋体" w:cs="宋体"/>
                <w:kern w:val="0"/>
                <w:szCs w:val="21"/>
              </w:rPr>
            </w:pPr>
          </w:p>
        </w:tc>
        <w:tc>
          <w:tcPr>
            <w:tcW w:w="3386" w:type="pct"/>
            <w:tcBorders>
              <w:top w:val="nil"/>
              <w:left w:val="nil"/>
              <w:bottom w:val="single" w:color="auto" w:sz="4" w:space="0"/>
              <w:right w:val="single" w:color="auto" w:sz="4" w:space="0"/>
            </w:tcBorders>
            <w:shd w:val="clear" w:color="auto" w:fill="auto"/>
            <w:noWrap/>
            <w:vAlign w:val="center"/>
          </w:tcPr>
          <w:p w14:paraId="5AACA802">
            <w:pPr>
              <w:keepNext w:val="0"/>
              <w:keepLines w:val="0"/>
              <w:widowControl/>
              <w:suppressLineNumbers w:val="0"/>
              <w:jc w:val="center"/>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汽车检测与维修技术</w:t>
            </w:r>
          </w:p>
        </w:tc>
        <w:tc>
          <w:tcPr>
            <w:tcW w:w="773" w:type="pct"/>
            <w:tcBorders>
              <w:top w:val="nil"/>
              <w:left w:val="nil"/>
              <w:bottom w:val="single" w:color="auto" w:sz="4" w:space="0"/>
              <w:right w:val="single" w:color="auto" w:sz="4" w:space="0"/>
            </w:tcBorders>
            <w:shd w:val="clear" w:color="auto" w:fill="auto"/>
            <w:noWrap/>
            <w:vAlign w:val="center"/>
          </w:tcPr>
          <w:p w14:paraId="2B42693E">
            <w:pPr>
              <w:widowControl/>
              <w:jc w:val="center"/>
              <w:textAlignment w:val="center"/>
              <w:rPr>
                <w:rFonts w:hint="eastAsia" w:ascii="宋体" w:hAnsi="宋体" w:eastAsia="宋体" w:cs="宋体"/>
                <w:kern w:val="0"/>
                <w:sz w:val="21"/>
                <w:szCs w:val="21"/>
                <w:lang w:val="en-US" w:eastAsia="zh-CN" w:bidi="ar-SA"/>
              </w:rPr>
            </w:pPr>
            <w:r>
              <w:rPr>
                <w:rFonts w:hint="eastAsia" w:ascii="宋体" w:hAnsi="宋体" w:cs="宋体"/>
                <w:kern w:val="0"/>
                <w:szCs w:val="21"/>
                <w:lang w:val="en-US" w:eastAsia="zh-CN"/>
              </w:rPr>
              <w:t>4600</w:t>
            </w:r>
          </w:p>
        </w:tc>
      </w:tr>
      <w:tr w14:paraId="144E3621">
        <w:tblPrEx>
          <w:tblCellMar>
            <w:top w:w="0" w:type="dxa"/>
            <w:left w:w="108" w:type="dxa"/>
            <w:bottom w:w="0" w:type="dxa"/>
            <w:right w:w="108" w:type="dxa"/>
          </w:tblCellMar>
        </w:tblPrEx>
        <w:trPr>
          <w:trHeight w:val="402" w:hRule="exact"/>
          <w:jc w:val="center"/>
        </w:trPr>
        <w:tc>
          <w:tcPr>
            <w:tcW w:w="839" w:type="pct"/>
            <w:vMerge w:val="continue"/>
            <w:tcBorders>
              <w:top w:val="nil"/>
              <w:left w:val="single" w:color="auto" w:sz="4" w:space="0"/>
              <w:bottom w:val="single" w:color="auto" w:sz="4" w:space="0"/>
              <w:right w:val="single" w:color="auto" w:sz="4" w:space="0"/>
            </w:tcBorders>
            <w:vAlign w:val="center"/>
          </w:tcPr>
          <w:p w14:paraId="759F2645">
            <w:pPr>
              <w:jc w:val="center"/>
              <w:rPr>
                <w:rFonts w:ascii="宋体" w:hAnsi="宋体" w:cs="宋体"/>
                <w:kern w:val="0"/>
                <w:szCs w:val="21"/>
              </w:rPr>
            </w:pPr>
          </w:p>
        </w:tc>
        <w:tc>
          <w:tcPr>
            <w:tcW w:w="3386" w:type="pct"/>
            <w:tcBorders>
              <w:top w:val="nil"/>
              <w:left w:val="nil"/>
              <w:bottom w:val="single" w:color="auto" w:sz="4" w:space="0"/>
              <w:right w:val="single" w:color="auto" w:sz="4" w:space="0"/>
            </w:tcBorders>
            <w:shd w:val="clear" w:color="auto" w:fill="auto"/>
            <w:noWrap/>
            <w:vAlign w:val="center"/>
          </w:tcPr>
          <w:p w14:paraId="7340EA0E">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新能源汽车检测与维修</w:t>
            </w:r>
            <w:r>
              <w:rPr>
                <w:rFonts w:hint="eastAsia" w:ascii="宋体" w:hAnsi="宋体" w:cs="宋体"/>
                <w:i w:val="0"/>
                <w:iCs w:val="0"/>
                <w:color w:val="000000"/>
                <w:kern w:val="0"/>
                <w:sz w:val="21"/>
                <w:szCs w:val="21"/>
                <w:u w:val="none"/>
                <w:lang w:val="en-US" w:eastAsia="zh-CN" w:bidi="ar"/>
              </w:rPr>
              <w:t>技术</w:t>
            </w:r>
          </w:p>
        </w:tc>
        <w:tc>
          <w:tcPr>
            <w:tcW w:w="773" w:type="pct"/>
            <w:tcBorders>
              <w:top w:val="nil"/>
              <w:left w:val="nil"/>
              <w:bottom w:val="single" w:color="auto" w:sz="4" w:space="0"/>
              <w:right w:val="single" w:color="auto" w:sz="4" w:space="0"/>
            </w:tcBorders>
            <w:shd w:val="clear" w:color="auto" w:fill="auto"/>
            <w:noWrap/>
            <w:vAlign w:val="center"/>
          </w:tcPr>
          <w:p w14:paraId="1800EE7B">
            <w:pPr>
              <w:widowControl/>
              <w:jc w:val="center"/>
              <w:textAlignment w:val="center"/>
              <w:rPr>
                <w:rFonts w:hint="eastAsia" w:ascii="宋体" w:hAnsi="宋体" w:eastAsia="宋体" w:cs="宋体"/>
                <w:kern w:val="0"/>
                <w:sz w:val="21"/>
                <w:szCs w:val="21"/>
                <w:lang w:val="en-US" w:eastAsia="zh-CN" w:bidi="ar-SA"/>
              </w:rPr>
            </w:pPr>
            <w:r>
              <w:rPr>
                <w:rFonts w:hint="eastAsia" w:ascii="宋体" w:hAnsi="宋体" w:cs="宋体"/>
                <w:kern w:val="0"/>
                <w:szCs w:val="21"/>
                <w:lang w:val="en-US" w:eastAsia="zh-CN"/>
              </w:rPr>
              <w:t>4600</w:t>
            </w:r>
          </w:p>
        </w:tc>
      </w:tr>
      <w:tr w14:paraId="41EEB084">
        <w:tblPrEx>
          <w:tblCellMar>
            <w:top w:w="0" w:type="dxa"/>
            <w:left w:w="108" w:type="dxa"/>
            <w:bottom w:w="0" w:type="dxa"/>
            <w:right w:w="108" w:type="dxa"/>
          </w:tblCellMar>
        </w:tblPrEx>
        <w:trPr>
          <w:trHeight w:val="365" w:hRule="exact"/>
          <w:jc w:val="center"/>
        </w:trPr>
        <w:tc>
          <w:tcPr>
            <w:tcW w:w="839" w:type="pct"/>
            <w:vMerge w:val="continue"/>
            <w:tcBorders>
              <w:top w:val="nil"/>
              <w:left w:val="single" w:color="auto" w:sz="4" w:space="0"/>
              <w:bottom w:val="single" w:color="auto" w:sz="4" w:space="0"/>
              <w:right w:val="single" w:color="auto" w:sz="4" w:space="0"/>
            </w:tcBorders>
            <w:vAlign w:val="center"/>
          </w:tcPr>
          <w:p w14:paraId="3C3D907F">
            <w:pPr>
              <w:jc w:val="center"/>
              <w:rPr>
                <w:rFonts w:ascii="宋体" w:hAnsi="宋体" w:cs="宋体"/>
                <w:kern w:val="0"/>
                <w:szCs w:val="21"/>
              </w:rPr>
            </w:pPr>
          </w:p>
        </w:tc>
        <w:tc>
          <w:tcPr>
            <w:tcW w:w="3386" w:type="pct"/>
            <w:tcBorders>
              <w:top w:val="nil"/>
              <w:left w:val="nil"/>
              <w:bottom w:val="single" w:color="auto" w:sz="4" w:space="0"/>
              <w:right w:val="single" w:color="auto" w:sz="4" w:space="0"/>
            </w:tcBorders>
            <w:shd w:val="clear" w:color="auto" w:fill="auto"/>
            <w:noWrap/>
            <w:vAlign w:val="center"/>
          </w:tcPr>
          <w:p w14:paraId="7C92B9CC">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汽车造型与改装技术</w:t>
            </w:r>
          </w:p>
        </w:tc>
        <w:tc>
          <w:tcPr>
            <w:tcW w:w="773" w:type="pct"/>
            <w:tcBorders>
              <w:top w:val="nil"/>
              <w:left w:val="nil"/>
              <w:bottom w:val="single" w:color="auto" w:sz="4" w:space="0"/>
              <w:right w:val="single" w:color="auto" w:sz="4" w:space="0"/>
            </w:tcBorders>
            <w:shd w:val="clear" w:color="auto" w:fill="auto"/>
            <w:noWrap/>
            <w:vAlign w:val="center"/>
          </w:tcPr>
          <w:p w14:paraId="51F5F459">
            <w:pPr>
              <w:widowControl/>
              <w:jc w:val="center"/>
              <w:textAlignment w:val="center"/>
              <w:rPr>
                <w:rFonts w:hint="eastAsia" w:ascii="宋体" w:hAnsi="宋体" w:eastAsia="宋体" w:cs="宋体"/>
                <w:kern w:val="0"/>
                <w:sz w:val="21"/>
                <w:szCs w:val="21"/>
                <w:lang w:val="en-US" w:eastAsia="zh-CN" w:bidi="ar-SA"/>
              </w:rPr>
            </w:pPr>
            <w:r>
              <w:rPr>
                <w:rFonts w:hint="eastAsia" w:ascii="宋体" w:hAnsi="宋体" w:cs="宋体"/>
                <w:kern w:val="0"/>
                <w:szCs w:val="21"/>
                <w:lang w:val="en-US" w:eastAsia="zh-CN"/>
              </w:rPr>
              <w:t>4600</w:t>
            </w:r>
          </w:p>
        </w:tc>
      </w:tr>
      <w:tr w14:paraId="194279BC">
        <w:tblPrEx>
          <w:tblCellMar>
            <w:top w:w="0" w:type="dxa"/>
            <w:left w:w="108" w:type="dxa"/>
            <w:bottom w:w="0" w:type="dxa"/>
            <w:right w:w="108" w:type="dxa"/>
          </w:tblCellMar>
        </w:tblPrEx>
        <w:trPr>
          <w:trHeight w:val="352" w:hRule="exact"/>
          <w:jc w:val="center"/>
        </w:trPr>
        <w:tc>
          <w:tcPr>
            <w:tcW w:w="839" w:type="pct"/>
            <w:vMerge w:val="restart"/>
            <w:tcBorders>
              <w:top w:val="single" w:color="auto" w:sz="4" w:space="0"/>
              <w:left w:val="single" w:color="auto" w:sz="4" w:space="0"/>
              <w:bottom w:val="single" w:color="auto" w:sz="4" w:space="0"/>
              <w:right w:val="single" w:color="auto" w:sz="4" w:space="0"/>
            </w:tcBorders>
            <w:noWrap/>
            <w:vAlign w:val="center"/>
          </w:tcPr>
          <w:p w14:paraId="0771828E">
            <w:pPr>
              <w:widowControl/>
              <w:jc w:val="center"/>
              <w:textAlignment w:val="center"/>
              <w:rPr>
                <w:rFonts w:hint="eastAsia" w:ascii="宋体" w:hAnsi="宋体" w:cs="宋体"/>
                <w:kern w:val="0"/>
                <w:szCs w:val="21"/>
                <w:lang w:bidi="ar"/>
              </w:rPr>
            </w:pPr>
            <w:r>
              <w:rPr>
                <w:rFonts w:hint="eastAsia" w:ascii="宋体" w:hAnsi="宋体" w:cs="宋体"/>
                <w:kern w:val="0"/>
                <w:szCs w:val="21"/>
                <w:lang w:bidi="ar"/>
              </w:rPr>
              <w:t>专业组二</w:t>
            </w:r>
          </w:p>
          <w:p w14:paraId="46A9F1BF">
            <w:pPr>
              <w:widowControl/>
              <w:jc w:val="center"/>
              <w:textAlignment w:val="center"/>
              <w:rPr>
                <w:rFonts w:hint="default" w:ascii="宋体" w:hAnsi="宋体" w:eastAsia="宋体" w:cs="宋体"/>
                <w:kern w:val="0"/>
                <w:szCs w:val="21"/>
                <w:lang w:val="en-US" w:eastAsia="zh-CN" w:bidi="ar"/>
              </w:rPr>
            </w:pPr>
          </w:p>
        </w:tc>
        <w:tc>
          <w:tcPr>
            <w:tcW w:w="3386" w:type="pct"/>
            <w:tcBorders>
              <w:top w:val="nil"/>
              <w:left w:val="nil"/>
              <w:bottom w:val="single" w:color="auto" w:sz="4" w:space="0"/>
              <w:right w:val="single" w:color="auto" w:sz="4" w:space="0"/>
            </w:tcBorders>
            <w:noWrap/>
            <w:vAlign w:val="center"/>
          </w:tcPr>
          <w:p w14:paraId="2F4C3139">
            <w:pPr>
              <w:keepNext w:val="0"/>
              <w:keepLines w:val="0"/>
              <w:widowControl/>
              <w:suppressLineNumbers w:val="0"/>
              <w:jc w:val="center"/>
              <w:textAlignment w:val="center"/>
              <w:rPr>
                <w:rFonts w:hint="eastAsia" w:ascii="宋体" w:hAnsi="宋体" w:cs="宋体"/>
                <w:sz w:val="21"/>
                <w:szCs w:val="21"/>
              </w:rPr>
            </w:pPr>
            <w:r>
              <w:rPr>
                <w:rStyle w:val="25"/>
                <w:sz w:val="21"/>
                <w:szCs w:val="21"/>
                <w:lang w:val="en-US" w:eastAsia="zh-CN" w:bidi="ar"/>
              </w:rPr>
              <w:t>计算机应用技术</w:t>
            </w:r>
          </w:p>
        </w:tc>
        <w:tc>
          <w:tcPr>
            <w:tcW w:w="773" w:type="pct"/>
            <w:tcBorders>
              <w:top w:val="nil"/>
              <w:left w:val="nil"/>
              <w:bottom w:val="single" w:color="auto" w:sz="4" w:space="0"/>
              <w:right w:val="single" w:color="auto" w:sz="4" w:space="0"/>
            </w:tcBorders>
            <w:noWrap/>
            <w:vAlign w:val="center"/>
          </w:tcPr>
          <w:p w14:paraId="4616F836">
            <w:pPr>
              <w:widowControl/>
              <w:jc w:val="center"/>
              <w:textAlignment w:val="center"/>
              <w:rPr>
                <w:rFonts w:ascii="宋体" w:hAnsi="宋体"/>
                <w:szCs w:val="21"/>
              </w:rPr>
            </w:pPr>
            <w:r>
              <w:rPr>
                <w:rFonts w:hint="eastAsia" w:ascii="宋体" w:hAnsi="宋体" w:cs="宋体"/>
                <w:kern w:val="0"/>
                <w:szCs w:val="21"/>
                <w:lang w:val="en-US" w:eastAsia="zh-CN"/>
              </w:rPr>
              <w:t>4600</w:t>
            </w:r>
          </w:p>
        </w:tc>
      </w:tr>
      <w:tr w14:paraId="5B3EE384">
        <w:tblPrEx>
          <w:tblCellMar>
            <w:top w:w="0" w:type="dxa"/>
            <w:left w:w="108" w:type="dxa"/>
            <w:bottom w:w="0" w:type="dxa"/>
            <w:right w:w="108" w:type="dxa"/>
          </w:tblCellMar>
        </w:tblPrEx>
        <w:trPr>
          <w:trHeight w:val="353" w:hRule="exact"/>
          <w:jc w:val="center"/>
        </w:trPr>
        <w:tc>
          <w:tcPr>
            <w:tcW w:w="839" w:type="pct"/>
            <w:vMerge w:val="continue"/>
            <w:tcBorders>
              <w:top w:val="single" w:color="auto" w:sz="4" w:space="0"/>
              <w:left w:val="single" w:color="auto" w:sz="4" w:space="0"/>
              <w:bottom w:val="single" w:color="auto" w:sz="4" w:space="0"/>
              <w:right w:val="single" w:color="auto" w:sz="4" w:space="0"/>
            </w:tcBorders>
            <w:noWrap/>
            <w:vAlign w:val="center"/>
          </w:tcPr>
          <w:p w14:paraId="259F3FAC">
            <w:pPr>
              <w:widowControl/>
              <w:jc w:val="center"/>
              <w:textAlignment w:val="center"/>
              <w:rPr>
                <w:rFonts w:hint="eastAsia" w:ascii="宋体" w:hAnsi="宋体" w:cs="宋体"/>
                <w:kern w:val="0"/>
                <w:szCs w:val="21"/>
                <w:lang w:bidi="ar"/>
              </w:rPr>
            </w:pPr>
          </w:p>
        </w:tc>
        <w:tc>
          <w:tcPr>
            <w:tcW w:w="3386" w:type="pct"/>
            <w:tcBorders>
              <w:top w:val="nil"/>
              <w:left w:val="nil"/>
              <w:bottom w:val="single" w:color="auto" w:sz="4" w:space="0"/>
              <w:right w:val="single" w:color="auto" w:sz="4" w:space="0"/>
            </w:tcBorders>
            <w:noWrap/>
            <w:vAlign w:val="center"/>
          </w:tcPr>
          <w:p w14:paraId="45D29CA7">
            <w:pPr>
              <w:keepNext w:val="0"/>
              <w:keepLines w:val="0"/>
              <w:widowControl/>
              <w:suppressLineNumbers w:val="0"/>
              <w:jc w:val="center"/>
              <w:textAlignment w:val="center"/>
              <w:rPr>
                <w:rFonts w:hint="eastAsia" w:ascii="宋体" w:hAnsi="宋体"/>
                <w:sz w:val="21"/>
                <w:szCs w:val="21"/>
              </w:rPr>
            </w:pPr>
            <w:r>
              <w:rPr>
                <w:rFonts w:hint="eastAsia" w:ascii="宋体" w:hAnsi="宋体" w:eastAsia="宋体" w:cs="宋体"/>
                <w:i w:val="0"/>
                <w:iCs w:val="0"/>
                <w:color w:val="000000"/>
                <w:kern w:val="0"/>
                <w:sz w:val="21"/>
                <w:szCs w:val="21"/>
                <w:u w:val="none"/>
                <w:lang w:val="en-US" w:eastAsia="zh-CN" w:bidi="ar"/>
              </w:rPr>
              <w:t>信息安全技术应用</w:t>
            </w:r>
          </w:p>
        </w:tc>
        <w:tc>
          <w:tcPr>
            <w:tcW w:w="773" w:type="pct"/>
            <w:tcBorders>
              <w:top w:val="nil"/>
              <w:left w:val="nil"/>
              <w:bottom w:val="single" w:color="auto" w:sz="4" w:space="0"/>
              <w:right w:val="single" w:color="auto" w:sz="4" w:space="0"/>
            </w:tcBorders>
            <w:noWrap/>
            <w:vAlign w:val="center"/>
          </w:tcPr>
          <w:p w14:paraId="06AFE3E2">
            <w:pPr>
              <w:widowControl/>
              <w:jc w:val="center"/>
              <w:textAlignment w:val="center"/>
              <w:rPr>
                <w:rFonts w:ascii="宋体" w:hAnsi="宋体"/>
                <w:szCs w:val="21"/>
              </w:rPr>
            </w:pPr>
            <w:r>
              <w:rPr>
                <w:rFonts w:hint="eastAsia" w:ascii="宋体" w:hAnsi="宋体" w:cs="宋体"/>
                <w:kern w:val="0"/>
                <w:szCs w:val="21"/>
                <w:lang w:val="en-US" w:eastAsia="zh-CN"/>
              </w:rPr>
              <w:t>4600</w:t>
            </w:r>
          </w:p>
        </w:tc>
      </w:tr>
      <w:tr w14:paraId="0E8F86FF">
        <w:tblPrEx>
          <w:tblCellMar>
            <w:top w:w="0" w:type="dxa"/>
            <w:left w:w="108" w:type="dxa"/>
            <w:bottom w:w="0" w:type="dxa"/>
            <w:right w:w="108" w:type="dxa"/>
          </w:tblCellMar>
        </w:tblPrEx>
        <w:trPr>
          <w:trHeight w:val="377" w:hRule="exact"/>
          <w:jc w:val="center"/>
        </w:trPr>
        <w:tc>
          <w:tcPr>
            <w:tcW w:w="839" w:type="pct"/>
            <w:vMerge w:val="continue"/>
            <w:tcBorders>
              <w:top w:val="single" w:color="auto" w:sz="4" w:space="0"/>
              <w:left w:val="single" w:color="auto" w:sz="4" w:space="0"/>
              <w:bottom w:val="single" w:color="auto" w:sz="4" w:space="0"/>
              <w:right w:val="single" w:color="auto" w:sz="4" w:space="0"/>
            </w:tcBorders>
            <w:noWrap/>
            <w:vAlign w:val="center"/>
          </w:tcPr>
          <w:p w14:paraId="120D86D5">
            <w:pPr>
              <w:widowControl/>
              <w:jc w:val="center"/>
              <w:textAlignment w:val="center"/>
              <w:rPr>
                <w:rFonts w:hint="eastAsia" w:ascii="宋体" w:hAnsi="宋体" w:cs="宋体"/>
                <w:kern w:val="0"/>
                <w:szCs w:val="21"/>
                <w:lang w:bidi="ar"/>
              </w:rPr>
            </w:pPr>
          </w:p>
        </w:tc>
        <w:tc>
          <w:tcPr>
            <w:tcW w:w="3386" w:type="pct"/>
            <w:tcBorders>
              <w:top w:val="nil"/>
              <w:left w:val="nil"/>
              <w:bottom w:val="single" w:color="auto" w:sz="4" w:space="0"/>
              <w:right w:val="single" w:color="auto" w:sz="4" w:space="0"/>
            </w:tcBorders>
            <w:noWrap/>
            <w:vAlign w:val="center"/>
          </w:tcPr>
          <w:p w14:paraId="2551AA8E">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移动应用开发</w:t>
            </w:r>
          </w:p>
        </w:tc>
        <w:tc>
          <w:tcPr>
            <w:tcW w:w="773" w:type="pct"/>
            <w:tcBorders>
              <w:top w:val="nil"/>
              <w:left w:val="nil"/>
              <w:bottom w:val="single" w:color="auto" w:sz="4" w:space="0"/>
              <w:right w:val="single" w:color="auto" w:sz="4" w:space="0"/>
            </w:tcBorders>
            <w:noWrap/>
            <w:vAlign w:val="center"/>
          </w:tcPr>
          <w:p w14:paraId="685189E2">
            <w:pPr>
              <w:widowControl/>
              <w:jc w:val="center"/>
              <w:textAlignment w:val="center"/>
              <w:rPr>
                <w:rFonts w:hint="default" w:ascii="宋体" w:hAnsi="宋体" w:cs="宋体"/>
                <w:kern w:val="0"/>
                <w:szCs w:val="21"/>
                <w:lang w:val="en-US" w:eastAsia="zh-CN"/>
              </w:rPr>
            </w:pPr>
            <w:r>
              <w:rPr>
                <w:rFonts w:hint="eastAsia" w:ascii="宋体" w:hAnsi="宋体" w:cs="宋体"/>
                <w:kern w:val="0"/>
                <w:szCs w:val="21"/>
                <w:lang w:val="en-US" w:eastAsia="zh-CN"/>
              </w:rPr>
              <w:t>4600</w:t>
            </w:r>
          </w:p>
        </w:tc>
      </w:tr>
      <w:tr w14:paraId="4918B809">
        <w:tblPrEx>
          <w:tblCellMar>
            <w:top w:w="0" w:type="dxa"/>
            <w:left w:w="108" w:type="dxa"/>
            <w:bottom w:w="0" w:type="dxa"/>
            <w:right w:w="108" w:type="dxa"/>
          </w:tblCellMar>
        </w:tblPrEx>
        <w:trPr>
          <w:trHeight w:val="344" w:hRule="exact"/>
          <w:jc w:val="center"/>
        </w:trPr>
        <w:tc>
          <w:tcPr>
            <w:tcW w:w="839" w:type="pct"/>
            <w:vMerge w:val="continue"/>
            <w:tcBorders>
              <w:top w:val="single" w:color="auto" w:sz="4" w:space="0"/>
              <w:left w:val="single" w:color="auto" w:sz="4" w:space="0"/>
              <w:bottom w:val="single" w:color="auto" w:sz="4" w:space="0"/>
              <w:right w:val="single" w:color="auto" w:sz="4" w:space="0"/>
            </w:tcBorders>
            <w:noWrap/>
            <w:vAlign w:val="center"/>
          </w:tcPr>
          <w:p w14:paraId="0AA08F9B">
            <w:pPr>
              <w:widowControl/>
              <w:jc w:val="center"/>
              <w:textAlignment w:val="center"/>
              <w:rPr>
                <w:rFonts w:ascii="宋体" w:hAnsi="宋体" w:cs="宋体"/>
                <w:kern w:val="0"/>
                <w:szCs w:val="21"/>
              </w:rPr>
            </w:pPr>
          </w:p>
        </w:tc>
        <w:tc>
          <w:tcPr>
            <w:tcW w:w="3386" w:type="pct"/>
            <w:tcBorders>
              <w:top w:val="nil"/>
              <w:left w:val="nil"/>
              <w:bottom w:val="single" w:color="auto" w:sz="4" w:space="0"/>
              <w:right w:val="single" w:color="auto" w:sz="4" w:space="0"/>
            </w:tcBorders>
            <w:noWrap/>
            <w:vAlign w:val="center"/>
          </w:tcPr>
          <w:p w14:paraId="29327543">
            <w:pPr>
              <w:keepNext w:val="0"/>
              <w:keepLines w:val="0"/>
              <w:widowControl/>
              <w:suppressLineNumbers w:val="0"/>
              <w:jc w:val="center"/>
              <w:textAlignment w:val="center"/>
              <w:rPr>
                <w:rFonts w:ascii="宋体" w:hAnsi="宋体" w:cs="宋体"/>
                <w:sz w:val="21"/>
                <w:szCs w:val="21"/>
              </w:rPr>
            </w:pPr>
            <w:r>
              <w:rPr>
                <w:rStyle w:val="25"/>
                <w:sz w:val="21"/>
                <w:szCs w:val="21"/>
                <w:lang w:val="en-US" w:eastAsia="zh-CN" w:bidi="ar"/>
              </w:rPr>
              <w:t>大数据与会计</w:t>
            </w:r>
          </w:p>
        </w:tc>
        <w:tc>
          <w:tcPr>
            <w:tcW w:w="773" w:type="pct"/>
            <w:tcBorders>
              <w:top w:val="nil"/>
              <w:left w:val="nil"/>
              <w:bottom w:val="single" w:color="auto" w:sz="4" w:space="0"/>
              <w:right w:val="single" w:color="auto" w:sz="4" w:space="0"/>
            </w:tcBorders>
            <w:noWrap/>
            <w:vAlign w:val="center"/>
          </w:tcPr>
          <w:p w14:paraId="1E3A6E9B">
            <w:pPr>
              <w:widowControl/>
              <w:jc w:val="center"/>
              <w:textAlignment w:val="center"/>
              <w:rPr>
                <w:rFonts w:hint="default" w:ascii="宋体" w:hAnsi="宋体"/>
                <w:szCs w:val="21"/>
                <w:lang w:val="en-US"/>
              </w:rPr>
            </w:pPr>
            <w:r>
              <w:rPr>
                <w:rFonts w:hint="eastAsia" w:ascii="宋体" w:hAnsi="宋体" w:cs="宋体"/>
                <w:kern w:val="0"/>
                <w:szCs w:val="21"/>
                <w:lang w:val="en-US" w:eastAsia="zh-CN"/>
              </w:rPr>
              <w:t>3500</w:t>
            </w:r>
          </w:p>
        </w:tc>
      </w:tr>
      <w:tr w14:paraId="3611CBF3">
        <w:tblPrEx>
          <w:tblCellMar>
            <w:top w:w="0" w:type="dxa"/>
            <w:left w:w="108" w:type="dxa"/>
            <w:bottom w:w="0" w:type="dxa"/>
            <w:right w:w="108" w:type="dxa"/>
          </w:tblCellMar>
        </w:tblPrEx>
        <w:trPr>
          <w:trHeight w:val="354" w:hRule="exact"/>
          <w:jc w:val="center"/>
        </w:trPr>
        <w:tc>
          <w:tcPr>
            <w:tcW w:w="839" w:type="pct"/>
            <w:vMerge w:val="continue"/>
            <w:tcBorders>
              <w:top w:val="single" w:color="auto" w:sz="4" w:space="0"/>
              <w:left w:val="single" w:color="auto" w:sz="4" w:space="0"/>
              <w:bottom w:val="single" w:color="auto" w:sz="4" w:space="0"/>
              <w:right w:val="single" w:color="auto" w:sz="4" w:space="0"/>
            </w:tcBorders>
            <w:vAlign w:val="center"/>
          </w:tcPr>
          <w:p w14:paraId="6D10ED09">
            <w:pPr>
              <w:jc w:val="center"/>
              <w:rPr>
                <w:rFonts w:ascii="宋体" w:hAnsi="宋体" w:cs="宋体"/>
                <w:kern w:val="0"/>
                <w:szCs w:val="21"/>
              </w:rPr>
            </w:pPr>
          </w:p>
        </w:tc>
        <w:tc>
          <w:tcPr>
            <w:tcW w:w="3386" w:type="pct"/>
            <w:tcBorders>
              <w:top w:val="nil"/>
              <w:left w:val="nil"/>
              <w:bottom w:val="single" w:color="auto" w:sz="4" w:space="0"/>
              <w:right w:val="single" w:color="auto" w:sz="4" w:space="0"/>
            </w:tcBorders>
            <w:noWrap/>
            <w:vAlign w:val="center"/>
          </w:tcPr>
          <w:p w14:paraId="27920A6E">
            <w:pPr>
              <w:keepNext w:val="0"/>
              <w:keepLines w:val="0"/>
              <w:widowControl/>
              <w:suppressLineNumbers w:val="0"/>
              <w:jc w:val="center"/>
              <w:textAlignment w:val="center"/>
              <w:rPr>
                <w:rFonts w:ascii="宋体" w:hAnsi="宋体" w:cs="宋体"/>
                <w:sz w:val="21"/>
                <w:szCs w:val="21"/>
              </w:rPr>
            </w:pPr>
            <w:r>
              <w:rPr>
                <w:rFonts w:hint="eastAsia" w:ascii="宋体" w:hAnsi="宋体" w:eastAsia="宋体" w:cs="宋体"/>
                <w:i w:val="0"/>
                <w:iCs w:val="0"/>
                <w:color w:val="000000"/>
                <w:kern w:val="0"/>
                <w:sz w:val="21"/>
                <w:szCs w:val="21"/>
                <w:u w:val="none"/>
                <w:lang w:val="en-US" w:eastAsia="zh-CN" w:bidi="ar"/>
              </w:rPr>
              <w:t>网络营销与直播电商</w:t>
            </w:r>
          </w:p>
        </w:tc>
        <w:tc>
          <w:tcPr>
            <w:tcW w:w="773" w:type="pct"/>
            <w:tcBorders>
              <w:top w:val="nil"/>
              <w:left w:val="nil"/>
              <w:bottom w:val="single" w:color="auto" w:sz="4" w:space="0"/>
              <w:right w:val="single" w:color="auto" w:sz="4" w:space="0"/>
            </w:tcBorders>
            <w:noWrap/>
            <w:vAlign w:val="center"/>
          </w:tcPr>
          <w:p w14:paraId="4B43C3C4">
            <w:pPr>
              <w:widowControl/>
              <w:jc w:val="center"/>
              <w:textAlignment w:val="center"/>
              <w:rPr>
                <w:rFonts w:hint="default" w:ascii="宋体" w:hAnsi="宋体"/>
                <w:szCs w:val="21"/>
                <w:lang w:val="en-US"/>
              </w:rPr>
            </w:pPr>
            <w:r>
              <w:rPr>
                <w:rFonts w:hint="eastAsia" w:ascii="宋体" w:hAnsi="宋体" w:cs="宋体"/>
                <w:kern w:val="0"/>
                <w:szCs w:val="21"/>
                <w:lang w:val="en-US" w:eastAsia="zh-CN"/>
              </w:rPr>
              <w:t>3500</w:t>
            </w:r>
          </w:p>
        </w:tc>
      </w:tr>
      <w:tr w14:paraId="4096614A">
        <w:tblPrEx>
          <w:tblCellMar>
            <w:top w:w="0" w:type="dxa"/>
            <w:left w:w="108" w:type="dxa"/>
            <w:bottom w:w="0" w:type="dxa"/>
            <w:right w:w="108" w:type="dxa"/>
          </w:tblCellMar>
        </w:tblPrEx>
        <w:trPr>
          <w:trHeight w:val="378" w:hRule="exact"/>
          <w:jc w:val="center"/>
        </w:trPr>
        <w:tc>
          <w:tcPr>
            <w:tcW w:w="839" w:type="pct"/>
            <w:vMerge w:val="continue"/>
            <w:tcBorders>
              <w:top w:val="single" w:color="auto" w:sz="4" w:space="0"/>
              <w:left w:val="single" w:color="auto" w:sz="4" w:space="0"/>
              <w:bottom w:val="single" w:color="auto" w:sz="4" w:space="0"/>
              <w:right w:val="single" w:color="auto" w:sz="4" w:space="0"/>
            </w:tcBorders>
            <w:vAlign w:val="center"/>
          </w:tcPr>
          <w:p w14:paraId="0DE1C6C2">
            <w:pPr>
              <w:jc w:val="center"/>
              <w:rPr>
                <w:rFonts w:ascii="宋体" w:hAnsi="宋体" w:cs="宋体"/>
                <w:kern w:val="0"/>
                <w:szCs w:val="21"/>
              </w:rPr>
            </w:pPr>
          </w:p>
        </w:tc>
        <w:tc>
          <w:tcPr>
            <w:tcW w:w="3386" w:type="pct"/>
            <w:tcBorders>
              <w:top w:val="single" w:color="auto" w:sz="4" w:space="0"/>
              <w:left w:val="single" w:color="auto" w:sz="4" w:space="0"/>
              <w:bottom w:val="single" w:color="auto" w:sz="4" w:space="0"/>
              <w:right w:val="single" w:color="auto" w:sz="4" w:space="0"/>
            </w:tcBorders>
            <w:noWrap/>
            <w:vAlign w:val="center"/>
          </w:tcPr>
          <w:p w14:paraId="43FC6840">
            <w:pPr>
              <w:keepNext w:val="0"/>
              <w:keepLines w:val="0"/>
              <w:widowControl/>
              <w:suppressLineNumbers w:val="0"/>
              <w:jc w:val="center"/>
              <w:textAlignment w:val="center"/>
              <w:rPr>
                <w:rStyle w:val="25"/>
                <w:sz w:val="21"/>
                <w:szCs w:val="21"/>
                <w:lang w:val="en-US" w:eastAsia="zh-CN" w:bidi="ar"/>
              </w:rPr>
            </w:pPr>
            <w:r>
              <w:rPr>
                <w:rStyle w:val="25"/>
                <w:sz w:val="21"/>
                <w:szCs w:val="21"/>
                <w:lang w:val="en-US" w:eastAsia="zh-CN" w:bidi="ar"/>
              </w:rPr>
              <w:t>旅游管理</w:t>
            </w:r>
          </w:p>
        </w:tc>
        <w:tc>
          <w:tcPr>
            <w:tcW w:w="773" w:type="pct"/>
            <w:tcBorders>
              <w:top w:val="single" w:color="auto" w:sz="4" w:space="0"/>
              <w:left w:val="nil"/>
              <w:bottom w:val="single" w:color="auto" w:sz="4" w:space="0"/>
              <w:right w:val="single" w:color="auto" w:sz="4" w:space="0"/>
            </w:tcBorders>
            <w:noWrap/>
            <w:vAlign w:val="center"/>
          </w:tcPr>
          <w:p w14:paraId="68211071">
            <w:pPr>
              <w:widowControl/>
              <w:jc w:val="center"/>
              <w:textAlignment w:val="center"/>
              <w:rPr>
                <w:rFonts w:hint="eastAsia" w:ascii="宋体" w:hAnsi="宋体" w:cs="宋体"/>
                <w:kern w:val="0"/>
                <w:szCs w:val="21"/>
                <w:lang w:val="en-US" w:eastAsia="zh-CN"/>
              </w:rPr>
            </w:pPr>
            <w:r>
              <w:rPr>
                <w:rFonts w:hint="eastAsia" w:ascii="宋体" w:hAnsi="宋体" w:cs="宋体"/>
                <w:kern w:val="0"/>
                <w:szCs w:val="21"/>
                <w:lang w:val="en-US" w:eastAsia="zh-CN"/>
              </w:rPr>
              <w:t>4600</w:t>
            </w:r>
          </w:p>
        </w:tc>
      </w:tr>
      <w:tr w14:paraId="1F03FE80">
        <w:tblPrEx>
          <w:tblCellMar>
            <w:top w:w="0" w:type="dxa"/>
            <w:left w:w="108" w:type="dxa"/>
            <w:bottom w:w="0" w:type="dxa"/>
            <w:right w:w="108" w:type="dxa"/>
          </w:tblCellMar>
        </w:tblPrEx>
        <w:trPr>
          <w:trHeight w:val="365" w:hRule="exact"/>
          <w:jc w:val="center"/>
        </w:trPr>
        <w:tc>
          <w:tcPr>
            <w:tcW w:w="839" w:type="pct"/>
            <w:vMerge w:val="continue"/>
            <w:tcBorders>
              <w:top w:val="single" w:color="auto" w:sz="4" w:space="0"/>
              <w:left w:val="single" w:color="auto" w:sz="4" w:space="0"/>
              <w:bottom w:val="single" w:color="auto" w:sz="4" w:space="0"/>
              <w:right w:val="single" w:color="auto" w:sz="4" w:space="0"/>
            </w:tcBorders>
            <w:vAlign w:val="center"/>
          </w:tcPr>
          <w:p w14:paraId="10101E17">
            <w:pPr>
              <w:jc w:val="center"/>
              <w:rPr>
                <w:rFonts w:ascii="宋体" w:hAnsi="宋体" w:cs="宋体"/>
                <w:kern w:val="0"/>
                <w:szCs w:val="21"/>
              </w:rPr>
            </w:pPr>
          </w:p>
        </w:tc>
        <w:tc>
          <w:tcPr>
            <w:tcW w:w="3386" w:type="pct"/>
            <w:tcBorders>
              <w:top w:val="single" w:color="auto" w:sz="4" w:space="0"/>
              <w:left w:val="nil"/>
              <w:bottom w:val="single" w:color="auto" w:sz="4" w:space="0"/>
              <w:right w:val="single" w:color="auto" w:sz="4" w:space="0"/>
            </w:tcBorders>
            <w:noWrap/>
            <w:vAlign w:val="center"/>
          </w:tcPr>
          <w:p w14:paraId="5A2CEEF2">
            <w:pPr>
              <w:keepNext w:val="0"/>
              <w:keepLines w:val="0"/>
              <w:widowControl/>
              <w:suppressLineNumbers w:val="0"/>
              <w:jc w:val="center"/>
              <w:textAlignment w:val="center"/>
              <w:rPr>
                <w:rFonts w:ascii="宋体" w:hAnsi="宋体" w:cs="宋体"/>
                <w:sz w:val="21"/>
                <w:szCs w:val="21"/>
              </w:rPr>
            </w:pPr>
            <w:r>
              <w:rPr>
                <w:rStyle w:val="25"/>
                <w:sz w:val="21"/>
                <w:szCs w:val="21"/>
                <w:lang w:val="en-US" w:eastAsia="zh-CN" w:bidi="ar"/>
              </w:rPr>
              <w:t>酒店管理与数字化运营</w:t>
            </w:r>
          </w:p>
        </w:tc>
        <w:tc>
          <w:tcPr>
            <w:tcW w:w="773" w:type="pct"/>
            <w:tcBorders>
              <w:top w:val="single" w:color="auto" w:sz="4" w:space="0"/>
              <w:left w:val="nil"/>
              <w:bottom w:val="single" w:color="auto" w:sz="4" w:space="0"/>
              <w:right w:val="single" w:color="auto" w:sz="4" w:space="0"/>
            </w:tcBorders>
            <w:noWrap/>
            <w:vAlign w:val="center"/>
          </w:tcPr>
          <w:p w14:paraId="7EDF9678">
            <w:pPr>
              <w:widowControl/>
              <w:jc w:val="center"/>
              <w:textAlignment w:val="center"/>
              <w:rPr>
                <w:rFonts w:ascii="宋体" w:hAnsi="宋体"/>
                <w:szCs w:val="21"/>
              </w:rPr>
            </w:pPr>
            <w:r>
              <w:rPr>
                <w:rFonts w:hint="eastAsia" w:ascii="宋体" w:hAnsi="宋体" w:cs="宋体"/>
                <w:kern w:val="0"/>
                <w:szCs w:val="21"/>
                <w:lang w:val="en-US" w:eastAsia="zh-CN"/>
              </w:rPr>
              <w:t>4600</w:t>
            </w:r>
          </w:p>
        </w:tc>
      </w:tr>
      <w:tr w14:paraId="50E857CA">
        <w:tblPrEx>
          <w:tblCellMar>
            <w:top w:w="0" w:type="dxa"/>
            <w:left w:w="108" w:type="dxa"/>
            <w:bottom w:w="0" w:type="dxa"/>
            <w:right w:w="108" w:type="dxa"/>
          </w:tblCellMar>
        </w:tblPrEx>
        <w:trPr>
          <w:trHeight w:val="377" w:hRule="exact"/>
          <w:jc w:val="center"/>
        </w:trPr>
        <w:tc>
          <w:tcPr>
            <w:tcW w:w="839" w:type="pct"/>
            <w:vMerge w:val="restart"/>
            <w:tcBorders>
              <w:top w:val="single" w:color="auto" w:sz="4" w:space="0"/>
              <w:left w:val="single" w:color="auto" w:sz="4" w:space="0"/>
              <w:right w:val="single" w:color="auto" w:sz="4" w:space="0"/>
            </w:tcBorders>
            <w:vAlign w:val="center"/>
          </w:tcPr>
          <w:p w14:paraId="7F2AC2A9">
            <w:pPr>
              <w:jc w:val="center"/>
              <w:rPr>
                <w:rFonts w:hint="default" w:ascii="宋体" w:hAnsi="宋体" w:eastAsia="宋体" w:cs="宋体"/>
                <w:kern w:val="0"/>
                <w:szCs w:val="21"/>
                <w:lang w:val="en-US" w:eastAsia="zh-CN"/>
              </w:rPr>
            </w:pPr>
            <w:r>
              <w:rPr>
                <w:rFonts w:hint="eastAsia" w:ascii="宋体" w:hAnsi="宋体" w:cs="宋体"/>
                <w:kern w:val="0"/>
                <w:szCs w:val="21"/>
                <w:lang w:val="en-US" w:eastAsia="zh-CN"/>
              </w:rPr>
              <w:t>专业组三</w:t>
            </w:r>
          </w:p>
        </w:tc>
        <w:tc>
          <w:tcPr>
            <w:tcW w:w="3386" w:type="pct"/>
            <w:tcBorders>
              <w:top w:val="nil"/>
              <w:left w:val="nil"/>
              <w:bottom w:val="single" w:color="auto" w:sz="4" w:space="0"/>
              <w:right w:val="single" w:color="auto" w:sz="4" w:space="0"/>
            </w:tcBorders>
            <w:noWrap/>
            <w:vAlign w:val="center"/>
          </w:tcPr>
          <w:p w14:paraId="05F7EE72">
            <w:pPr>
              <w:keepNext w:val="0"/>
              <w:keepLines w:val="0"/>
              <w:widowControl/>
              <w:suppressLineNumbers w:val="0"/>
              <w:jc w:val="center"/>
              <w:textAlignment w:val="center"/>
              <w:rPr>
                <w:rFonts w:hint="eastAsia" w:ascii="宋体" w:hAnsi="宋体" w:eastAsia="宋体" w:cs="宋体"/>
                <w:kern w:val="2"/>
                <w:sz w:val="21"/>
                <w:szCs w:val="21"/>
                <w:lang w:val="en-US" w:eastAsia="zh-CN" w:bidi="ar-SA"/>
              </w:rPr>
            </w:pPr>
            <w:r>
              <w:rPr>
                <w:rFonts w:hint="eastAsia" w:ascii="宋体" w:hAnsi="宋体" w:eastAsia="宋体" w:cs="宋体"/>
                <w:i w:val="0"/>
                <w:iCs w:val="0"/>
                <w:color w:val="000000"/>
                <w:kern w:val="0"/>
                <w:sz w:val="21"/>
                <w:szCs w:val="21"/>
                <w:u w:val="none"/>
                <w:lang w:val="en-US" w:eastAsia="zh-CN" w:bidi="ar"/>
              </w:rPr>
              <w:t>服装与服饰设计</w:t>
            </w:r>
          </w:p>
        </w:tc>
        <w:tc>
          <w:tcPr>
            <w:tcW w:w="773" w:type="pct"/>
            <w:tcBorders>
              <w:top w:val="nil"/>
              <w:left w:val="nil"/>
              <w:bottom w:val="single" w:color="auto" w:sz="4" w:space="0"/>
              <w:right w:val="single" w:color="auto" w:sz="4" w:space="0"/>
            </w:tcBorders>
            <w:noWrap/>
            <w:vAlign w:val="center"/>
          </w:tcPr>
          <w:p w14:paraId="6206B3EB">
            <w:pPr>
              <w:widowControl/>
              <w:jc w:val="center"/>
              <w:textAlignment w:val="center"/>
              <w:rPr>
                <w:rFonts w:hint="eastAsia" w:ascii="宋体" w:hAnsi="宋体" w:eastAsia="宋体" w:cs="Times New Roman"/>
                <w:kern w:val="2"/>
                <w:sz w:val="21"/>
                <w:szCs w:val="21"/>
                <w:lang w:val="en-US" w:eastAsia="zh-CN" w:bidi="ar-SA"/>
              </w:rPr>
            </w:pPr>
            <w:r>
              <w:rPr>
                <w:rFonts w:hint="eastAsia" w:ascii="宋体" w:hAnsi="宋体" w:cs="宋体"/>
                <w:kern w:val="0"/>
                <w:szCs w:val="21"/>
                <w:lang w:val="en-US" w:eastAsia="zh-CN"/>
              </w:rPr>
              <w:t>55</w:t>
            </w:r>
            <w:r>
              <w:rPr>
                <w:rFonts w:hint="eastAsia" w:ascii="宋体" w:hAnsi="宋体" w:eastAsia="宋体" w:cs="宋体"/>
                <w:kern w:val="0"/>
                <w:szCs w:val="21"/>
                <w:lang w:val="en-US" w:eastAsia="zh-CN"/>
              </w:rPr>
              <w:t>00</w:t>
            </w:r>
          </w:p>
        </w:tc>
      </w:tr>
      <w:tr w14:paraId="00730276">
        <w:tblPrEx>
          <w:tblCellMar>
            <w:top w:w="0" w:type="dxa"/>
            <w:left w:w="108" w:type="dxa"/>
            <w:bottom w:w="0" w:type="dxa"/>
            <w:right w:w="108" w:type="dxa"/>
          </w:tblCellMar>
        </w:tblPrEx>
        <w:trPr>
          <w:trHeight w:val="375" w:hRule="exact"/>
          <w:jc w:val="center"/>
        </w:trPr>
        <w:tc>
          <w:tcPr>
            <w:tcW w:w="839" w:type="pct"/>
            <w:vMerge w:val="continue"/>
            <w:tcBorders>
              <w:left w:val="single" w:color="auto" w:sz="4" w:space="0"/>
              <w:right w:val="single" w:color="auto" w:sz="4" w:space="0"/>
            </w:tcBorders>
            <w:vAlign w:val="center"/>
          </w:tcPr>
          <w:p w14:paraId="2DE69455">
            <w:pPr>
              <w:jc w:val="center"/>
              <w:rPr>
                <w:rFonts w:ascii="宋体" w:hAnsi="宋体" w:cs="宋体"/>
                <w:kern w:val="0"/>
                <w:szCs w:val="21"/>
              </w:rPr>
            </w:pPr>
          </w:p>
        </w:tc>
        <w:tc>
          <w:tcPr>
            <w:tcW w:w="3386" w:type="pct"/>
            <w:tcBorders>
              <w:top w:val="nil"/>
              <w:left w:val="nil"/>
              <w:bottom w:val="single" w:color="auto" w:sz="4" w:space="0"/>
              <w:right w:val="single" w:color="auto" w:sz="4" w:space="0"/>
            </w:tcBorders>
            <w:noWrap/>
            <w:vAlign w:val="center"/>
          </w:tcPr>
          <w:p w14:paraId="7D912578">
            <w:pPr>
              <w:keepNext w:val="0"/>
              <w:keepLines w:val="0"/>
              <w:widowControl/>
              <w:suppressLineNumbers w:val="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color w:val="000000"/>
                <w:sz w:val="21"/>
                <w:szCs w:val="21"/>
                <w:u w:val="none"/>
                <w:lang w:val="en-US" w:eastAsia="zh-CN" w:bidi="ar"/>
              </w:rPr>
              <w:t>数字媒体艺术设计</w:t>
            </w:r>
          </w:p>
        </w:tc>
        <w:tc>
          <w:tcPr>
            <w:tcW w:w="773" w:type="pct"/>
            <w:tcBorders>
              <w:top w:val="nil"/>
              <w:left w:val="nil"/>
              <w:bottom w:val="single" w:color="auto" w:sz="4" w:space="0"/>
              <w:right w:val="single" w:color="auto" w:sz="4" w:space="0"/>
            </w:tcBorders>
            <w:noWrap/>
            <w:vAlign w:val="center"/>
          </w:tcPr>
          <w:p w14:paraId="12427190">
            <w:pPr>
              <w:widowControl/>
              <w:jc w:val="center"/>
              <w:textAlignment w:val="center"/>
              <w:rPr>
                <w:rFonts w:hint="eastAsia" w:ascii="宋体" w:hAnsi="宋体" w:eastAsia="宋体" w:cs="Times New Roman"/>
                <w:kern w:val="2"/>
                <w:sz w:val="21"/>
                <w:szCs w:val="21"/>
                <w:lang w:val="en-US" w:eastAsia="zh-CN" w:bidi="ar-SA"/>
              </w:rPr>
            </w:pPr>
            <w:r>
              <w:rPr>
                <w:rFonts w:hint="eastAsia" w:ascii="宋体" w:hAnsi="宋体" w:eastAsia="宋体" w:cs="Times New Roman"/>
                <w:szCs w:val="21"/>
                <w:lang w:val="en-US" w:eastAsia="zh-CN"/>
              </w:rPr>
              <w:t>5500</w:t>
            </w:r>
          </w:p>
        </w:tc>
      </w:tr>
    </w:tbl>
    <w:p w14:paraId="3F585B07">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第十四条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03DB744B">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1.退役军人计划</w:t>
      </w:r>
      <w:r>
        <w:rPr>
          <w:rFonts w:hint="eastAsia" w:ascii="仿宋" w:hAnsi="仿宋" w:eastAsia="仿宋" w:cs="宋体"/>
          <w:b w:val="0"/>
          <w:bCs w:val="0"/>
          <w:kern w:val="0"/>
          <w:sz w:val="28"/>
          <w:lang w:val="en-US" w:eastAsia="zh-CN"/>
        </w:rPr>
        <w:t>10</w:t>
      </w:r>
      <w:r>
        <w:rPr>
          <w:rFonts w:hint="eastAsia" w:ascii="等线" w:hAnsi="等线" w:eastAsia="仿宋" w:cs="仿宋"/>
          <w:b w:val="0"/>
          <w:bCs w:val="0"/>
          <w:sz w:val="28"/>
          <w:szCs w:val="28"/>
          <w:u w:val="none"/>
          <w:lang w:val="en-US" w:eastAsia="zh-CN"/>
        </w:rPr>
        <w:t xml:space="preserve"> 人</w:t>
      </w:r>
      <w:r>
        <w:rPr>
          <w:rFonts w:hint="eastAsia" w:ascii="等线" w:hAnsi="等线" w:eastAsia="仿宋" w:cs="仿宋"/>
          <w:b w:val="0"/>
          <w:bCs w:val="0"/>
          <w:sz w:val="28"/>
          <w:szCs w:val="28"/>
          <w:lang w:val="en-US" w:eastAsia="zh-CN"/>
        </w:rPr>
        <w:t>，考生</w:t>
      </w:r>
      <w:r>
        <w:rPr>
          <w:rFonts w:hint="eastAsia" w:ascii="仿宋" w:hAnsi="仿宋" w:eastAsia="仿宋" w:cs="宋体"/>
          <w:b w:val="0"/>
          <w:bCs w:val="0"/>
          <w:kern w:val="0"/>
          <w:sz w:val="28"/>
          <w:lang w:val="en-US" w:eastAsia="zh-CN"/>
        </w:rPr>
        <w:t>可在上表专业范围内自行选择报考</w:t>
      </w:r>
      <w:r>
        <w:rPr>
          <w:rFonts w:hint="eastAsia" w:ascii="仿宋" w:hAnsi="仿宋" w:eastAsia="仿宋" w:cs="宋体"/>
          <w:b w:val="0"/>
          <w:bCs w:val="0"/>
          <w:kern w:val="0"/>
          <w:sz w:val="28"/>
          <w:u w:val="none"/>
          <w:lang w:val="en-US" w:eastAsia="zh-CN"/>
        </w:rPr>
        <w:t>，但每个专业最多录取2</w:t>
      </w:r>
      <w:r>
        <w:rPr>
          <w:rFonts w:hint="eastAsia" w:ascii="仿宋" w:hAnsi="仿宋" w:eastAsia="仿宋" w:cs="宋体"/>
          <w:kern w:val="0"/>
          <w:sz w:val="28"/>
          <w:u w:val="none"/>
          <w:lang w:val="en-US" w:eastAsia="zh-CN"/>
        </w:rPr>
        <w:t>人。</w:t>
      </w:r>
    </w:p>
    <w:p w14:paraId="3675C1F0">
      <w:pPr>
        <w:keepNext w:val="0"/>
        <w:keepLines w:val="0"/>
        <w:pageBreakBefore w:val="0"/>
        <w:widowControl/>
        <w:kinsoku/>
        <w:wordWrap/>
        <w:overflowPunct/>
        <w:topLinePunct w:val="0"/>
        <w:autoSpaceDE/>
        <w:autoSpaceDN/>
        <w:bidi w:val="0"/>
        <w:adjustRightInd/>
        <w:snapToGrid/>
        <w:spacing w:line="500" w:lineRule="exact"/>
        <w:ind w:firstLine="560" w:firstLineChars="200"/>
        <w:jc w:val="left"/>
        <w:textAlignment w:val="auto"/>
        <w:rPr>
          <w:rFonts w:hint="eastAsia" w:ascii="等线" w:hAnsi="等线" w:eastAsia="仿宋" w:cs="宋体"/>
          <w:kern w:val="0"/>
          <w:sz w:val="28"/>
          <w:lang w:eastAsia="zh-CN"/>
        </w:rPr>
      </w:pPr>
      <w:r>
        <w:rPr>
          <w:rFonts w:hint="eastAsia" w:ascii="仿宋" w:hAnsi="仿宋" w:eastAsia="仿宋" w:cs="宋体"/>
          <w:kern w:val="0"/>
          <w:sz w:val="28"/>
          <w:lang w:val="en-US" w:eastAsia="zh-CN"/>
        </w:rPr>
        <w:t>2</w:t>
      </w:r>
      <w:r>
        <w:rPr>
          <w:rFonts w:hint="eastAsia" w:ascii="仿宋" w:hAnsi="仿宋" w:eastAsia="仿宋" w:cs="宋体"/>
          <w:kern w:val="0"/>
          <w:sz w:val="28"/>
          <w:lang w:eastAsia="zh-CN"/>
        </w:rPr>
        <w:t>.</w:t>
      </w:r>
      <w:r>
        <w:rPr>
          <w:rFonts w:hint="eastAsia" w:ascii="仿宋" w:hAnsi="仿宋" w:eastAsia="仿宋" w:cs="宋体"/>
          <w:kern w:val="0"/>
          <w:sz w:val="28"/>
          <w:lang w:val="en-US" w:eastAsia="zh-CN"/>
        </w:rPr>
        <w:t>艺术</w:t>
      </w:r>
      <w:r>
        <w:rPr>
          <w:rFonts w:hint="eastAsia" w:ascii="等线" w:hAnsi="等线" w:eastAsia="仿宋" w:cs="宋体"/>
          <w:kern w:val="0"/>
          <w:sz w:val="28"/>
          <w:lang w:val="en-US" w:eastAsia="zh-CN"/>
        </w:rPr>
        <w:t>体育特长生</w:t>
      </w:r>
      <w:r>
        <w:rPr>
          <w:rFonts w:hint="eastAsia" w:ascii="等线" w:hAnsi="等线" w:eastAsia="仿宋" w:cs="宋体"/>
          <w:kern w:val="0"/>
          <w:sz w:val="28"/>
        </w:rPr>
        <w:t>招生计划</w:t>
      </w:r>
      <w:r>
        <w:rPr>
          <w:rFonts w:hint="eastAsia" w:ascii="等线" w:hAnsi="等线" w:eastAsia="仿宋" w:cs="仿宋"/>
          <w:sz w:val="28"/>
          <w:szCs w:val="28"/>
          <w:u w:val="none"/>
          <w:lang w:val="en-US" w:eastAsia="zh-CN"/>
        </w:rPr>
        <w:t>18</w:t>
      </w:r>
      <w:r>
        <w:rPr>
          <w:rFonts w:hint="eastAsia" w:ascii="等线" w:hAnsi="等线" w:eastAsia="仿宋" w:cs="宋体"/>
          <w:kern w:val="0"/>
          <w:sz w:val="28"/>
          <w:u w:val="none"/>
        </w:rPr>
        <w:t>人</w:t>
      </w:r>
      <w:r>
        <w:rPr>
          <w:rFonts w:hint="eastAsia" w:ascii="等线" w:hAnsi="等线" w:eastAsia="仿宋" w:cs="宋体"/>
          <w:kern w:val="0"/>
          <w:sz w:val="28"/>
          <w:lang w:eastAsia="zh-CN"/>
        </w:rPr>
        <w:t>，</w:t>
      </w:r>
      <w:r>
        <w:rPr>
          <w:rFonts w:hint="eastAsia" w:ascii="等线" w:hAnsi="等线" w:eastAsia="仿宋" w:cs="宋体"/>
          <w:kern w:val="0"/>
          <w:sz w:val="28"/>
          <w:lang w:val="en-US" w:eastAsia="zh-CN"/>
        </w:rPr>
        <w:t>考</w:t>
      </w:r>
      <w:r>
        <w:rPr>
          <w:rFonts w:hint="eastAsia" w:ascii="仿宋" w:hAnsi="仿宋" w:eastAsia="仿宋" w:cs="宋体"/>
          <w:kern w:val="0"/>
          <w:sz w:val="28"/>
        </w:rPr>
        <w:t>生可在</w:t>
      </w:r>
      <w:r>
        <w:rPr>
          <w:rFonts w:hint="eastAsia" w:ascii="仿宋" w:hAnsi="仿宋" w:eastAsia="仿宋" w:cs="宋体"/>
          <w:kern w:val="0"/>
          <w:sz w:val="28"/>
          <w:lang w:val="en-US" w:eastAsia="zh-CN"/>
        </w:rPr>
        <w:t>上表</w:t>
      </w:r>
      <w:r>
        <w:rPr>
          <w:rFonts w:hint="eastAsia" w:ascii="仿宋" w:hAnsi="仿宋" w:eastAsia="仿宋" w:cs="宋体"/>
          <w:kern w:val="0"/>
          <w:sz w:val="28"/>
        </w:rPr>
        <w:t>单</w:t>
      </w:r>
      <w:r>
        <w:rPr>
          <w:rFonts w:hint="eastAsia" w:ascii="等线" w:hAnsi="等线" w:eastAsia="仿宋" w:cs="宋体"/>
          <w:kern w:val="0"/>
          <w:sz w:val="28"/>
        </w:rPr>
        <w:t>招专业范围内自行选择报考专业</w:t>
      </w:r>
      <w:r>
        <w:rPr>
          <w:rFonts w:hint="eastAsia" w:ascii="等线" w:hAnsi="等线" w:eastAsia="仿宋" w:cs="宋体"/>
          <w:kern w:val="0"/>
          <w:sz w:val="28"/>
          <w:lang w:eastAsia="zh-CN"/>
        </w:rPr>
        <w:t>，但每个专业最多录取特长生</w:t>
      </w:r>
      <w:r>
        <w:rPr>
          <w:rFonts w:hint="eastAsia" w:ascii="等线" w:hAnsi="等线" w:eastAsia="仿宋" w:cs="宋体"/>
          <w:kern w:val="0"/>
          <w:sz w:val="28"/>
          <w:lang w:val="en-US" w:eastAsia="zh-CN"/>
        </w:rPr>
        <w:t>4</w:t>
      </w:r>
      <w:r>
        <w:rPr>
          <w:rFonts w:hint="eastAsia" w:ascii="等线" w:hAnsi="等线" w:eastAsia="仿宋" w:cs="宋体"/>
          <w:kern w:val="0"/>
          <w:sz w:val="28"/>
          <w:u w:val="none"/>
          <w:lang w:val="en-US" w:eastAsia="zh-CN"/>
        </w:rPr>
        <w:t>人</w:t>
      </w:r>
      <w:r>
        <w:rPr>
          <w:rFonts w:hint="eastAsia" w:ascii="等线" w:hAnsi="等线" w:eastAsia="仿宋" w:cs="宋体"/>
          <w:kern w:val="0"/>
          <w:sz w:val="28"/>
          <w:lang w:eastAsia="zh-CN"/>
        </w:rPr>
        <w:t>。</w:t>
      </w:r>
    </w:p>
    <w:p w14:paraId="735B0A5F">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lang w:val="en-US" w:eastAsia="zh-CN"/>
        </w:rPr>
        <w:t>第十五条</w:t>
      </w:r>
      <w:r>
        <w:rPr>
          <w:rFonts w:hint="eastAsia" w:ascii="等线" w:hAnsi="等线" w:eastAsia="仿宋" w:cs="宋体"/>
          <w:kern w:val="0"/>
          <w:sz w:val="28"/>
          <w:lang w:val="en-US" w:eastAsia="zh-CN"/>
        </w:rPr>
        <w:t xml:space="preserve"> 学校在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学校</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68718C29">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65263C47">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第十六条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3BEC330D">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lang w:val="en-US" w:eastAsia="zh-CN"/>
        </w:rPr>
        <w:t>艺术</w:t>
      </w:r>
      <w:r>
        <w:rPr>
          <w:rFonts w:hint="eastAsia" w:ascii="等线" w:hAnsi="等线" w:eastAsia="仿宋" w:cs="仿宋"/>
          <w:sz w:val="28"/>
          <w:szCs w:val="28"/>
          <w:u w:val="none"/>
          <w:lang w:val="en-US" w:eastAsia="zh-CN"/>
        </w:rPr>
        <w:t>体育</w:t>
      </w:r>
      <w:r>
        <w:rPr>
          <w:rFonts w:hint="eastAsia" w:ascii="等线" w:hAnsi="等线" w:eastAsia="仿宋" w:cs="仿宋"/>
          <w:sz w:val="28"/>
          <w:szCs w:val="28"/>
          <w:u w:val="none"/>
        </w:rPr>
        <w:t>特长生</w:t>
      </w:r>
      <w:r>
        <w:rPr>
          <w:rFonts w:hint="eastAsia" w:ascii="等线" w:hAnsi="等线" w:eastAsia="仿宋" w:cs="仿宋"/>
          <w:sz w:val="28"/>
          <w:szCs w:val="28"/>
          <w:u w:val="none"/>
          <w:lang w:val="en-US" w:eastAsia="zh-CN"/>
        </w:rPr>
        <w:t>4个</w:t>
      </w:r>
      <w:r>
        <w:rPr>
          <w:rFonts w:hint="eastAsia" w:ascii="等线" w:hAnsi="等线" w:eastAsia="仿宋" w:cs="仿宋"/>
          <w:sz w:val="28"/>
          <w:szCs w:val="28"/>
        </w:rPr>
        <w:t>大类。</w:t>
      </w:r>
    </w:p>
    <w:p w14:paraId="1761E47A">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68F8A784">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采取</w:t>
      </w:r>
      <w:r>
        <w:rPr>
          <w:rFonts w:hint="eastAsia" w:ascii="等线" w:hAnsi="等线" w:eastAsia="仿宋" w:cs="仿宋"/>
          <w:sz w:val="28"/>
          <w:szCs w:val="28"/>
          <w:u w:val="none"/>
        </w:rPr>
        <w:t>机试或技能展示等</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p>
    <w:p w14:paraId="163995BA">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由学校组织，学校分专业组，按照人才培养需要，分别</w:t>
      </w:r>
      <w:r>
        <w:rPr>
          <w:rFonts w:hint="eastAsia" w:ascii="等线" w:hAnsi="等线" w:eastAsia="仿宋" w:cs="仿宋"/>
          <w:sz w:val="28"/>
          <w:szCs w:val="28"/>
        </w:rPr>
        <w:t>采取</w:t>
      </w:r>
      <w:r>
        <w:rPr>
          <w:rFonts w:hint="eastAsia" w:ascii="等线" w:hAnsi="等线" w:eastAsia="仿宋" w:cs="仿宋"/>
          <w:sz w:val="28"/>
          <w:szCs w:val="28"/>
          <w:u w:val="none"/>
        </w:rPr>
        <w:t>机试或</w:t>
      </w:r>
      <w:r>
        <w:rPr>
          <w:rFonts w:hint="eastAsia" w:ascii="等线" w:hAnsi="等线" w:eastAsia="仿宋" w:cs="仿宋"/>
          <w:sz w:val="28"/>
          <w:szCs w:val="28"/>
          <w:u w:val="none"/>
          <w:lang w:val="en-US" w:eastAsia="zh-CN"/>
        </w:rPr>
        <w:t>现场技能考核</w:t>
      </w:r>
      <w:r>
        <w:rPr>
          <w:rFonts w:hint="eastAsia" w:ascii="等线" w:hAnsi="等线" w:eastAsia="仿宋" w:cs="仿宋"/>
          <w:sz w:val="28"/>
          <w:szCs w:val="28"/>
          <w:u w:val="none"/>
        </w:rPr>
        <w:t>等</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进行，重点考察学生的职业技能。</w:t>
      </w:r>
    </w:p>
    <w:p w14:paraId="3F6E8A3A">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3.第三类：</w:t>
      </w:r>
      <w:r>
        <w:rPr>
          <w:rFonts w:hint="eastAsia" w:ascii="等线" w:hAnsi="等线" w:eastAsia="仿宋" w:cs="仿宋"/>
          <w:sz w:val="28"/>
          <w:szCs w:val="28"/>
        </w:rPr>
        <w:t>退役军人</w:t>
      </w:r>
      <w:r>
        <w:rPr>
          <w:rFonts w:hint="eastAsia" w:ascii="等线" w:hAnsi="等线" w:eastAsia="仿宋" w:cs="仿宋"/>
          <w:sz w:val="28"/>
          <w:szCs w:val="28"/>
          <w:lang w:eastAsia="zh-CN"/>
        </w:rPr>
        <w:t>。</w:t>
      </w:r>
      <w:r>
        <w:rPr>
          <w:rFonts w:hint="eastAsia" w:ascii="等线" w:hAnsi="等线" w:eastAsia="仿宋" w:cs="仿宋"/>
          <w:sz w:val="28"/>
          <w:szCs w:val="28"/>
        </w:rPr>
        <w:t>退役军人考生免予文化素质测试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3C2927BC">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w:t>
      </w:r>
      <w:r>
        <w:rPr>
          <w:rFonts w:hint="eastAsia" w:ascii="等线" w:hAnsi="等线" w:eastAsia="仿宋" w:cs="仿宋"/>
          <w:sz w:val="28"/>
          <w:szCs w:val="28"/>
          <w:lang w:eastAsia="zh-CN"/>
        </w:rPr>
        <w:t>.第</w:t>
      </w:r>
      <w:r>
        <w:rPr>
          <w:rFonts w:hint="eastAsia" w:ascii="等线" w:hAnsi="等线" w:eastAsia="仿宋" w:cs="仿宋"/>
          <w:sz w:val="28"/>
          <w:szCs w:val="28"/>
          <w:lang w:val="en-US" w:eastAsia="zh-CN"/>
        </w:rPr>
        <w:t>四</w:t>
      </w:r>
      <w:r>
        <w:rPr>
          <w:rFonts w:hint="eastAsia" w:ascii="等线" w:hAnsi="等线" w:eastAsia="仿宋" w:cs="仿宋"/>
          <w:sz w:val="28"/>
          <w:szCs w:val="28"/>
          <w:lang w:eastAsia="zh-CN"/>
        </w:rPr>
        <w:t>类：</w:t>
      </w:r>
      <w:r>
        <w:rPr>
          <w:rFonts w:hint="eastAsia" w:ascii="等线" w:hAnsi="等线" w:eastAsia="仿宋" w:cs="仿宋"/>
          <w:sz w:val="28"/>
          <w:szCs w:val="28"/>
          <w:lang w:val="en-US" w:eastAsia="zh-CN"/>
        </w:rPr>
        <w:t>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文化素质测试根据学生类别不同，分别采取上述第一类或第二类的方式进行。职业技能测试成绩以艺术体育专项测试成绩代替，专项测试按照</w:t>
      </w:r>
      <w:r>
        <w:rPr>
          <w:rFonts w:hint="eastAsia" w:ascii="等线" w:hAnsi="等线" w:eastAsia="仿宋" w:cs="仿宋"/>
          <w:sz w:val="28"/>
          <w:szCs w:val="28"/>
        </w:rPr>
        <w:t>《</w:t>
      </w:r>
      <w:r>
        <w:rPr>
          <w:rFonts w:hint="eastAsia" w:ascii="等线" w:hAnsi="等线" w:eastAsia="仿宋" w:cs="仿宋"/>
          <w:sz w:val="28"/>
          <w:szCs w:val="28"/>
          <w:u w:val="none"/>
          <w:lang w:val="en-US" w:eastAsia="zh-CN"/>
        </w:rPr>
        <w:t>常德科技职业技术学院</w:t>
      </w:r>
      <w:r>
        <w:rPr>
          <w:rFonts w:hint="eastAsia" w:ascii="等线" w:hAnsi="等线" w:eastAsia="仿宋" w:cs="仿宋"/>
          <w:sz w:val="28"/>
          <w:szCs w:val="28"/>
          <w:lang w:eastAsia="zh-CN"/>
        </w:rPr>
        <w:t>2025年</w:t>
      </w:r>
      <w:r>
        <w:rPr>
          <w:rFonts w:hint="eastAsia" w:ascii="等线" w:hAnsi="等线" w:eastAsia="仿宋" w:cs="仿宋"/>
          <w:sz w:val="28"/>
          <w:szCs w:val="28"/>
          <w:lang w:val="en-US" w:eastAsia="zh-CN"/>
        </w:rPr>
        <w:t>艺术</w:t>
      </w:r>
      <w:r>
        <w:rPr>
          <w:rFonts w:hint="eastAsia" w:ascii="等线" w:hAnsi="等线" w:eastAsia="仿宋" w:cs="仿宋"/>
          <w:sz w:val="28"/>
          <w:szCs w:val="28"/>
        </w:rPr>
        <w:t>体育特长生高职单招方案》</w:t>
      </w:r>
      <w:r>
        <w:rPr>
          <w:rFonts w:hint="eastAsia" w:ascii="等线" w:hAnsi="等线" w:eastAsia="仿宋" w:cs="仿宋"/>
          <w:sz w:val="28"/>
          <w:szCs w:val="28"/>
          <w:lang w:eastAsia="zh-CN"/>
        </w:rPr>
        <w:t>执行</w:t>
      </w:r>
      <w:r>
        <w:rPr>
          <w:rFonts w:hint="eastAsia" w:ascii="等线" w:hAnsi="等线" w:eastAsia="仿宋" w:cs="仿宋"/>
          <w:sz w:val="28"/>
          <w:szCs w:val="28"/>
        </w:rPr>
        <w:t>。</w:t>
      </w:r>
    </w:p>
    <w:p w14:paraId="1CB76378">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第十九条</w:t>
      </w:r>
      <w:r>
        <w:rPr>
          <w:rFonts w:hint="eastAsia" w:ascii="等线" w:hAnsi="等线" w:eastAsia="仿宋" w:cs="仿宋"/>
          <w:sz w:val="28"/>
          <w:szCs w:val="28"/>
          <w:lang w:val="en-US" w:eastAsia="zh-CN"/>
        </w:rPr>
        <w:t xml:space="preserve"> 考生的综合成绩为文化素质成绩+职业技能成绩。上述第一类、第二类、第四类考生的高职单招综合成绩（总成绩）满分为600分，第三类考生的综合成绩满分为300分。报考我校所有专业的考生，文化素质成绩与职业技能成绩占比均为1：1，即分别各占300分。</w:t>
      </w:r>
    </w:p>
    <w:p w14:paraId="049F1E51">
      <w:pPr>
        <w:spacing w:line="500" w:lineRule="exact"/>
        <w:ind w:firstLine="562" w:firstLineChars="200"/>
        <w:rPr>
          <w:rFonts w:hint="eastAsia" w:ascii="等线" w:hAnsi="等线" w:eastAsia="仿宋" w:cs="仿宋"/>
          <w:sz w:val="28"/>
          <w:szCs w:val="28"/>
          <w:u w:val="none"/>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我校针对第二类考生组织的文化素质测试为</w:t>
      </w:r>
      <w:r>
        <w:rPr>
          <w:rFonts w:hint="eastAsia" w:ascii="等线" w:hAnsi="等线" w:eastAsia="仿宋" w:cs="仿宋"/>
          <w:sz w:val="28"/>
          <w:szCs w:val="28"/>
          <w:u w:val="none"/>
          <w:lang w:val="en-US" w:eastAsia="zh-CN"/>
        </w:rPr>
        <w:t>机试。我校组织职业技能测试，分专业组采取以下方式：</w:t>
      </w:r>
    </w:p>
    <w:p w14:paraId="40ABE1DB">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专业组一的专业，采取机试方式进行考察；</w:t>
      </w:r>
    </w:p>
    <w:p w14:paraId="36128593">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专业组二的专业，采取机试方式进行考察；</w:t>
      </w:r>
    </w:p>
    <w:p w14:paraId="20FB1DDE">
      <w:pPr>
        <w:spacing w:line="500" w:lineRule="exact"/>
        <w:ind w:firstLine="560" w:firstLineChars="200"/>
        <w:rPr>
          <w:rFonts w:hint="eastAsia" w:ascii="等线" w:hAnsi="等线" w:eastAsia="仿宋" w:cs="仿宋"/>
          <w:sz w:val="28"/>
          <w:szCs w:val="28"/>
          <w:u w:val="none"/>
          <w:lang w:val="en-US" w:eastAsia="zh-CN"/>
        </w:rPr>
      </w:pPr>
      <w:r>
        <w:rPr>
          <w:rFonts w:hint="eastAsia" w:ascii="等线" w:hAnsi="等线" w:eastAsia="仿宋" w:cs="仿宋"/>
          <w:sz w:val="28"/>
          <w:szCs w:val="28"/>
          <w:u w:val="none"/>
          <w:lang w:val="en-US" w:eastAsia="zh-CN"/>
        </w:rPr>
        <w:t>专业组三的专业，采取现场技能考核方式进行考察。</w:t>
      </w:r>
    </w:p>
    <w:p w14:paraId="1A5D5DCB">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第二十一条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lang w:val="en-US" w:eastAsia="zh-CN"/>
        </w:rPr>
        <w:t xml:space="preserve"> 我校将按照分类考试的原则，对不同专业组的职业技能测试分别进行命题</w:t>
      </w:r>
      <w:r>
        <w:rPr>
          <w:rFonts w:hint="eastAsia" w:ascii="等线" w:hAnsi="等线" w:eastAsia="仿宋" w:cs="仿宋"/>
          <w:sz w:val="28"/>
          <w:szCs w:val="28"/>
          <w:lang w:val="en-US" w:eastAsia="zh-CN"/>
        </w:rPr>
        <w:t>。我校文化素质测试、职业技能测试的有关说明、考试范围等，将在我校官网上进行公布。</w:t>
      </w:r>
    </w:p>
    <w:p w14:paraId="4EC726EA">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第二十二条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color w:val="auto"/>
          <w:sz w:val="28"/>
          <w:szCs w:val="28"/>
          <w:u w:val="none"/>
          <w:lang w:val="en-US" w:eastAsia="zh-CN"/>
        </w:rPr>
        <w:t>2025年2月22日前</w:t>
      </w:r>
      <w:r>
        <w:rPr>
          <w:rFonts w:hint="eastAsia" w:ascii="等线" w:hAnsi="等线" w:eastAsia="仿宋" w:cs="仿宋"/>
          <w:color w:val="auto"/>
          <w:sz w:val="28"/>
          <w:szCs w:val="28"/>
          <w:lang w:val="en-US" w:eastAsia="zh-CN"/>
        </w:rPr>
        <w:t>，</w:t>
      </w:r>
      <w:r>
        <w:rPr>
          <w:rFonts w:hint="eastAsia" w:ascii="等线" w:hAnsi="等线" w:eastAsia="仿宋" w:cs="仿宋"/>
          <w:sz w:val="28"/>
          <w:szCs w:val="28"/>
          <w:u w:val="none"/>
          <w:lang w:val="en-US" w:eastAsia="zh-CN"/>
        </w:rPr>
        <w:t>携带</w:t>
      </w:r>
      <w:r>
        <w:rPr>
          <w:rFonts w:hint="eastAsia" w:ascii="等线" w:hAnsi="等线" w:eastAsia="仿宋" w:cs="仿宋"/>
          <w:sz w:val="28"/>
          <w:szCs w:val="28"/>
          <w:lang w:val="en-US" w:eastAsia="zh-CN"/>
        </w:rPr>
        <w:t>相关申请材料</w:t>
      </w:r>
      <w:r>
        <w:rPr>
          <w:rFonts w:hint="eastAsia" w:ascii="等线" w:hAnsi="等线" w:eastAsia="仿宋" w:cs="仿宋"/>
          <w:sz w:val="28"/>
          <w:szCs w:val="28"/>
          <w:u w:val="none"/>
          <w:lang w:val="en-US" w:eastAsia="zh-CN"/>
        </w:rPr>
        <w:t>（含获奖证书原件）至</w:t>
      </w:r>
      <w:r>
        <w:rPr>
          <w:rFonts w:hint="eastAsia" w:ascii="等线" w:hAnsi="等线" w:eastAsia="仿宋" w:cs="仿宋"/>
          <w:sz w:val="28"/>
          <w:szCs w:val="28"/>
          <w:lang w:val="en-US" w:eastAsia="zh-CN"/>
        </w:rPr>
        <w:t>我校招生就业指导处审核。</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w:t>
      </w:r>
      <w:r>
        <w:rPr>
          <w:rFonts w:hint="eastAsia" w:ascii="等线" w:hAnsi="等线" w:eastAsia="仿宋" w:cs="仿宋"/>
          <w:sz w:val="28"/>
          <w:szCs w:val="28"/>
        </w:rPr>
        <w:t>校统招计划，在统招录取前完成录取手续办理，有关审核程序和方法由省教育考试院另行规定。</w:t>
      </w:r>
    </w:p>
    <w:p w14:paraId="66E845C6">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w:t>
      </w:r>
      <w:r>
        <w:rPr>
          <w:rFonts w:hint="eastAsia" w:ascii="等线" w:hAnsi="等线" w:eastAsia="仿宋" w:cs="仿宋"/>
          <w:sz w:val="28"/>
          <w:szCs w:val="28"/>
          <w:lang w:eastAsia="zh-CN"/>
        </w:rPr>
        <w:t>、</w:t>
      </w:r>
      <w:r>
        <w:rPr>
          <w:rFonts w:hint="eastAsia" w:ascii="等线" w:hAnsi="等线" w:eastAsia="仿宋" w:cs="仿宋"/>
          <w:sz w:val="28"/>
          <w:szCs w:val="28"/>
        </w:rPr>
        <w:t>“中国职业技能大赛”一等奖、二等奖、三等奖或“湖南省职业技能大赛”</w:t>
      </w:r>
      <w:r>
        <w:rPr>
          <w:rFonts w:hint="eastAsia" w:ascii="等线" w:hAnsi="等线" w:eastAsia="仿宋" w:cs="仿宋"/>
          <w:sz w:val="28"/>
          <w:szCs w:val="28"/>
          <w:lang w:eastAsia="zh-CN"/>
        </w:rPr>
        <w:t>、</w:t>
      </w:r>
      <w:r>
        <w:rPr>
          <w:rFonts w:hint="eastAsia" w:ascii="等线" w:hAnsi="等线" w:eastAsia="仿宋" w:cs="仿宋"/>
          <w:sz w:val="28"/>
          <w:szCs w:val="28"/>
        </w:rPr>
        <w:t>“湖南省职业院校技能竞赛”一等奖（金牌）的，可免试</w:t>
      </w:r>
      <w:r>
        <w:rPr>
          <w:rFonts w:hint="eastAsia" w:ascii="等线" w:hAnsi="等线" w:eastAsia="仿宋" w:cs="仿宋"/>
          <w:sz w:val="28"/>
          <w:szCs w:val="28"/>
          <w:lang w:val="en-US" w:eastAsia="zh-CN"/>
        </w:rPr>
        <w:t>录取到我校就读。</w:t>
      </w:r>
    </w:p>
    <w:p w14:paraId="33353C56">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w:t>
      </w:r>
      <w:r>
        <w:rPr>
          <w:rFonts w:hint="eastAsia" w:ascii="等线" w:hAnsi="等线" w:eastAsia="仿宋" w:cs="仿宋"/>
          <w:sz w:val="28"/>
          <w:szCs w:val="28"/>
          <w:lang w:eastAsia="zh-CN"/>
        </w:rPr>
        <w:t>、</w:t>
      </w:r>
      <w:r>
        <w:rPr>
          <w:rFonts w:hint="eastAsia" w:ascii="等线" w:hAnsi="等线" w:eastAsia="仿宋" w:cs="仿宋"/>
          <w:sz w:val="28"/>
          <w:szCs w:val="28"/>
        </w:rPr>
        <w:t>“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09A704E2">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087A5483">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第二十三条</w:t>
      </w:r>
      <w:r>
        <w:rPr>
          <w:rFonts w:hint="eastAsia" w:ascii="等线" w:hAnsi="等线" w:eastAsia="仿宋" w:cs="仿宋"/>
          <w:sz w:val="28"/>
          <w:szCs w:val="28"/>
          <w:lang w:val="en-US" w:eastAsia="zh-CN"/>
        </w:rPr>
        <w:t xml:space="preserve"> 学校</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w:t>
      </w:r>
      <w:r>
        <w:rPr>
          <w:rFonts w:hint="eastAsia" w:ascii="等线" w:hAnsi="等线" w:eastAsia="仿宋" w:cs="仿宋"/>
          <w:sz w:val="28"/>
          <w:szCs w:val="28"/>
          <w:lang w:eastAsia="zh-CN"/>
        </w:rPr>
        <w:t>2025年</w:t>
      </w:r>
      <w:r>
        <w:rPr>
          <w:rFonts w:hint="eastAsia" w:ascii="等线" w:hAnsi="等线" w:eastAsia="仿宋" w:cs="仿宋"/>
          <w:sz w:val="28"/>
          <w:szCs w:val="28"/>
        </w:rPr>
        <w:t>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，我校</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参考对象为第二志愿报考我校且未被第一志愿学校录取考生，</w:t>
      </w:r>
      <w:r>
        <w:rPr>
          <w:rFonts w:hint="eastAsia" w:ascii="等线" w:hAnsi="等线" w:eastAsia="仿宋" w:cs="仿宋"/>
          <w:sz w:val="28"/>
          <w:szCs w:val="28"/>
        </w:rPr>
        <w:t>时间为</w:t>
      </w:r>
      <w:r>
        <w:rPr>
          <w:rFonts w:hint="eastAsia" w:ascii="等线" w:hAnsi="等线" w:eastAsia="仿宋" w:cs="仿宋"/>
          <w:sz w:val="28"/>
          <w:szCs w:val="28"/>
          <w:lang w:eastAsia="zh-CN"/>
        </w:rPr>
        <w:t>2025年</w:t>
      </w:r>
      <w:r>
        <w:rPr>
          <w:rFonts w:hint="eastAsia" w:ascii="等线" w:hAnsi="等线" w:eastAsia="仿宋" w:cs="仿宋"/>
          <w:sz w:val="28"/>
          <w:szCs w:val="28"/>
        </w:rPr>
        <w:t>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各科目的具体考试时间及地点将在我校官网上另行公布</w:t>
      </w:r>
      <w:r>
        <w:rPr>
          <w:rFonts w:hint="eastAsia" w:ascii="等线" w:hAnsi="等线" w:eastAsia="仿宋" w:cs="仿宋"/>
          <w:sz w:val="28"/>
          <w:szCs w:val="28"/>
        </w:rPr>
        <w:t>。</w:t>
      </w:r>
    </w:p>
    <w:p w14:paraId="1C610167">
      <w:pPr>
        <w:numPr>
          <w:ilvl w:val="0"/>
          <w:numId w:val="0"/>
        </w:numPr>
        <w:spacing w:line="500" w:lineRule="exact"/>
        <w:ind w:firstLine="562" w:firstLineChars="200"/>
        <w:rPr>
          <w:rFonts w:hint="eastAsia"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第二十四条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w:t>
      </w:r>
      <w:r>
        <w:rPr>
          <w:rFonts w:hint="eastAsia" w:ascii="仿宋" w:hAnsi="仿宋" w:eastAsia="仿宋" w:cs="仿宋"/>
          <w:color w:val="auto"/>
          <w:sz w:val="28"/>
          <w:szCs w:val="28"/>
          <w:u w:val="none"/>
          <w:lang w:val="en-US" w:eastAsia="zh-CN"/>
        </w:rPr>
        <w:t>用</w:t>
      </w:r>
      <w:r>
        <w:rPr>
          <w:rFonts w:hint="eastAsia" w:ascii="仿宋" w:hAnsi="仿宋" w:eastAsia="仿宋" w:cs="仿宋"/>
          <w:color w:val="auto"/>
          <w:sz w:val="28"/>
          <w:szCs w:val="28"/>
          <w:u w:val="none"/>
        </w:rPr>
        <w:t>缴纳</w:t>
      </w:r>
      <w:r>
        <w:rPr>
          <w:rFonts w:hint="eastAsia" w:ascii="仿宋" w:hAnsi="仿宋" w:eastAsia="仿宋" w:cs="仿宋"/>
          <w:color w:val="auto"/>
          <w:sz w:val="28"/>
          <w:szCs w:val="28"/>
          <w:u w:val="none"/>
          <w:lang w:val="en-US" w:eastAsia="zh-CN"/>
        </w:rPr>
        <w:t>时间为</w:t>
      </w:r>
      <w:r>
        <w:rPr>
          <w:rFonts w:hint="eastAsia" w:eastAsia="仿宋" w:cs="仿宋" w:asciiTheme="minorAscii" w:hAnsiTheme="minorAscii"/>
          <w:color w:val="auto"/>
          <w:sz w:val="28"/>
          <w:szCs w:val="28"/>
          <w:u w:val="none"/>
          <w:lang w:val="en-US" w:eastAsia="zh-CN"/>
        </w:rPr>
        <w:t>2025年</w:t>
      </w:r>
      <w:r>
        <w:rPr>
          <w:rFonts w:hint="default" w:eastAsia="仿宋" w:cs="仿宋" w:asciiTheme="minorAscii" w:hAnsiTheme="minorAscii"/>
          <w:color w:val="auto"/>
          <w:sz w:val="28"/>
          <w:szCs w:val="28"/>
          <w:u w:val="none"/>
          <w:lang w:val="en-US" w:eastAsia="zh-CN"/>
        </w:rPr>
        <w:t>3月</w:t>
      </w:r>
      <w:r>
        <w:rPr>
          <w:rFonts w:hint="eastAsia" w:eastAsia="仿宋" w:cs="仿宋" w:asciiTheme="minorAscii" w:hAnsiTheme="minorAscii"/>
          <w:color w:val="auto"/>
          <w:sz w:val="28"/>
          <w:szCs w:val="28"/>
          <w:u w:val="none"/>
          <w:lang w:val="en-US" w:eastAsia="zh-CN"/>
        </w:rPr>
        <w:t>1</w:t>
      </w:r>
      <w:r>
        <w:rPr>
          <w:rFonts w:hint="default" w:eastAsia="仿宋" w:cs="仿宋" w:asciiTheme="minorAscii" w:hAnsiTheme="minorAscii"/>
          <w:color w:val="auto"/>
          <w:sz w:val="28"/>
          <w:szCs w:val="28"/>
          <w:u w:val="none"/>
          <w:lang w:val="en-US" w:eastAsia="zh-CN"/>
        </w:rPr>
        <w:t>日</w:t>
      </w:r>
      <w:r>
        <w:rPr>
          <w:rFonts w:hint="eastAsia" w:eastAsia="仿宋" w:cs="仿宋" w:asciiTheme="minorAscii" w:hAnsiTheme="minorAscii"/>
          <w:color w:val="auto"/>
          <w:sz w:val="28"/>
          <w:szCs w:val="28"/>
          <w:u w:val="none"/>
          <w:lang w:val="en-US" w:eastAsia="zh-CN"/>
        </w:rPr>
        <w:t>-3</w:t>
      </w:r>
      <w:r>
        <w:rPr>
          <w:rFonts w:hint="default" w:eastAsia="仿宋" w:cs="仿宋" w:asciiTheme="minorAscii" w:hAnsiTheme="minorAscii"/>
          <w:color w:val="auto"/>
          <w:sz w:val="28"/>
          <w:szCs w:val="28"/>
          <w:u w:val="none"/>
          <w:lang w:val="en-US" w:eastAsia="zh-CN"/>
        </w:rPr>
        <w:t>日</w:t>
      </w:r>
      <w:r>
        <w:rPr>
          <w:rFonts w:hint="eastAsia" w:ascii="等线" w:hAnsi="等线" w:eastAsia="仿宋" w:cs="仿宋"/>
          <w:color w:val="auto"/>
          <w:sz w:val="28"/>
          <w:szCs w:val="28"/>
          <w:u w:val="none"/>
          <w:lang w:val="en-US" w:eastAsia="zh-CN"/>
        </w:rPr>
        <w:t>，</w:t>
      </w:r>
      <w:r>
        <w:rPr>
          <w:rFonts w:hint="eastAsia" w:ascii="仿宋" w:hAnsi="仿宋" w:eastAsia="仿宋" w:cs="仿宋"/>
          <w:color w:val="auto"/>
          <w:sz w:val="28"/>
          <w:szCs w:val="28"/>
          <w:u w:val="none"/>
          <w:lang w:eastAsia="zh-CN"/>
        </w:rPr>
        <w:t>缴费具体办理流程见学</w:t>
      </w:r>
      <w:r>
        <w:rPr>
          <w:rFonts w:hint="eastAsia" w:ascii="仿宋" w:hAnsi="仿宋" w:eastAsia="仿宋" w:cs="仿宋"/>
          <w:color w:val="auto"/>
          <w:sz w:val="28"/>
          <w:szCs w:val="28"/>
          <w:u w:val="none"/>
          <w:lang w:val="en-US" w:eastAsia="zh-CN"/>
        </w:rPr>
        <w:t>校官</w:t>
      </w:r>
      <w:r>
        <w:rPr>
          <w:rFonts w:hint="eastAsia" w:ascii="仿宋" w:hAnsi="仿宋" w:eastAsia="仿宋" w:cs="仿宋"/>
          <w:color w:val="auto"/>
          <w:sz w:val="28"/>
          <w:szCs w:val="28"/>
          <w:u w:val="none"/>
          <w:lang w:eastAsia="zh-CN"/>
        </w:rPr>
        <w:t>网或招生微信公众平台上的说明，未在规定时间内缴费的考生视为自动放弃考试资格，不予安排考试。</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none"/>
          <w:lang w:eastAsia="zh-CN"/>
        </w:rPr>
        <w:t>缴费成功的考生于</w:t>
      </w:r>
      <w:r>
        <w:rPr>
          <w:rFonts w:hint="eastAsia" w:eastAsia="仿宋" w:cs="仿宋" w:asciiTheme="minorAscii" w:hAnsiTheme="minorAscii"/>
          <w:color w:val="auto"/>
          <w:sz w:val="28"/>
          <w:szCs w:val="28"/>
          <w:u w:val="none"/>
          <w:lang w:val="en-US" w:eastAsia="zh-CN"/>
        </w:rPr>
        <w:t>2025年</w:t>
      </w:r>
      <w:r>
        <w:rPr>
          <w:rFonts w:hint="eastAsia" w:ascii="等线" w:hAnsi="等线" w:eastAsia="仿宋" w:cs="仿宋"/>
          <w:color w:val="auto"/>
          <w:sz w:val="28"/>
          <w:szCs w:val="28"/>
          <w:u w:val="none"/>
          <w:lang w:val="en-US" w:eastAsia="zh-CN"/>
        </w:rPr>
        <w:t>3</w:t>
      </w:r>
      <w:r>
        <w:rPr>
          <w:rFonts w:hint="eastAsia" w:ascii="仿宋" w:hAnsi="仿宋" w:eastAsia="仿宋" w:cs="仿宋"/>
          <w:color w:val="auto"/>
          <w:sz w:val="28"/>
          <w:szCs w:val="28"/>
          <w:u w:val="none"/>
          <w:lang w:val="en-US" w:eastAsia="zh-CN"/>
        </w:rPr>
        <w:t>月6日-7日登录学校官网自行打印准考证。第二志愿考生缴费及准考证打印时间学校另行公布。</w:t>
      </w:r>
    </w:p>
    <w:p w14:paraId="4A494E0F">
      <w:pPr>
        <w:numPr>
          <w:ilvl w:val="0"/>
          <w:numId w:val="0"/>
        </w:num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等线" w:hAnsi="等线" w:eastAsia="仿宋" w:cs="仿宋"/>
          <w:sz w:val="28"/>
          <w:szCs w:val="28"/>
          <w:u w:val="none"/>
          <w:lang w:val="en-US" w:eastAsia="zh-CN"/>
        </w:rPr>
        <w:t>0736—7875363</w:t>
      </w:r>
      <w:r>
        <w:rPr>
          <w:rFonts w:hint="eastAsia" w:ascii="等线" w:hAnsi="等线" w:eastAsia="仿宋" w:cs="仿宋"/>
          <w:color w:val="auto"/>
          <w:sz w:val="28"/>
          <w:szCs w:val="28"/>
        </w:rPr>
        <w:t>，打印准考证咨询电话：</w:t>
      </w:r>
      <w:r>
        <w:rPr>
          <w:rFonts w:hint="eastAsia" w:ascii="等线" w:hAnsi="等线" w:eastAsia="仿宋" w:cs="仿宋"/>
          <w:sz w:val="28"/>
          <w:szCs w:val="28"/>
          <w:u w:val="none"/>
          <w:lang w:val="en-US" w:eastAsia="zh-CN"/>
        </w:rPr>
        <w:t>0736—7875360</w:t>
      </w:r>
      <w:r>
        <w:rPr>
          <w:rFonts w:hint="eastAsia" w:ascii="等线" w:hAnsi="等线" w:eastAsia="仿宋" w:cs="仿宋"/>
          <w:color w:val="auto"/>
          <w:sz w:val="28"/>
          <w:szCs w:val="28"/>
        </w:rPr>
        <w:t>。缴费及准考证打印流程详见学校官网： http://www.cdkjzy.com.cn。</w:t>
      </w:r>
    </w:p>
    <w:p w14:paraId="07EF56B2">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我校单招考试在省教育考试院的指导下，参照国家教育考试规定进行组织。在学校招生工作领导小组的统筹下，教务处、招生就业指导处、各系部共同组织考务工作。具体</w:t>
      </w:r>
      <w:r>
        <w:rPr>
          <w:rFonts w:hint="eastAsia" w:ascii="等线" w:hAnsi="等线" w:eastAsia="仿宋" w:cs="仿宋"/>
          <w:sz w:val="28"/>
          <w:szCs w:val="28"/>
        </w:rPr>
        <w:t>由</w:t>
      </w:r>
      <w:r>
        <w:rPr>
          <w:rFonts w:hint="eastAsia" w:ascii="等线" w:hAnsi="等线" w:eastAsia="仿宋" w:cs="仿宋"/>
          <w:sz w:val="28"/>
          <w:szCs w:val="28"/>
          <w:u w:val="none"/>
        </w:rPr>
        <w:t>教务处</w:t>
      </w:r>
      <w:r>
        <w:rPr>
          <w:rFonts w:hint="eastAsia" w:ascii="等线" w:hAnsi="等线" w:eastAsia="仿宋" w:cs="仿宋"/>
          <w:sz w:val="28"/>
          <w:szCs w:val="28"/>
          <w:u w:val="none"/>
          <w:lang w:val="en-US" w:eastAsia="zh-CN"/>
        </w:rPr>
        <w:t xml:space="preserve">     </w:t>
      </w:r>
      <w:r>
        <w:rPr>
          <w:rFonts w:hint="eastAsia" w:ascii="等线" w:hAnsi="等线" w:eastAsia="仿宋" w:cs="仿宋"/>
          <w:sz w:val="28"/>
          <w:szCs w:val="28"/>
          <w:u w:val="single"/>
          <w:lang w:val="en-US" w:eastAsia="zh-CN"/>
        </w:rPr>
        <w:t xml:space="preserve">           </w:t>
      </w:r>
      <w:r>
        <w:rPr>
          <w:rFonts w:hint="eastAsia" w:ascii="等线" w:hAnsi="等线" w:eastAsia="仿宋" w:cs="仿宋"/>
          <w:sz w:val="28"/>
          <w:szCs w:val="28"/>
        </w:rPr>
        <w:t>牵头组织命题，负责其保密工作</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同时</w:t>
      </w:r>
      <w:r>
        <w:rPr>
          <w:rFonts w:hint="eastAsia" w:ascii="等线" w:hAnsi="等线" w:eastAsia="仿宋" w:cs="仿宋"/>
          <w:sz w:val="28"/>
          <w:szCs w:val="28"/>
        </w:rPr>
        <w:t>负责按国考要求制定具体的组考方案，根据报考人数合理安排考场并组织有序考试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并</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1A971F1F">
      <w:pPr>
        <w:numPr>
          <w:ilvl w:val="-1"/>
          <w:numId w:val="0"/>
        </w:numPr>
        <w:spacing w:line="500" w:lineRule="exact"/>
        <w:ind w:firstLine="0"/>
        <w:rPr>
          <w:rFonts w:ascii="等线" w:hAnsi="等线" w:eastAsia="仿宋" w:cs="仿宋"/>
          <w:color w:val="auto"/>
          <w:sz w:val="28"/>
          <w:szCs w:val="28"/>
        </w:rPr>
      </w:pPr>
    </w:p>
    <w:p w14:paraId="73AA09DF">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44FFE91D">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214F582B">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第二十七条</w:t>
      </w:r>
      <w:r>
        <w:rPr>
          <w:rFonts w:hint="eastAsia" w:ascii="等线" w:hAnsi="等线" w:eastAsia="仿宋" w:cs="仿宋"/>
          <w:sz w:val="28"/>
          <w:szCs w:val="28"/>
          <w:lang w:val="en-US" w:eastAsia="zh-CN"/>
        </w:rPr>
        <w:t xml:space="preserve"> 单招录取首先对报考单列计划的考生（第三类、第四类考生）进行录取，单列计划只录取第一志愿报考的考生，如有剩余单列计划则转为普通类计划录取第一类、第二类考生。</w:t>
      </w:r>
    </w:p>
    <w:p w14:paraId="3808FAFA">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第二十八条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w:t>
      </w:r>
    </w:p>
    <w:p w14:paraId="5C07B1F0">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单招录取工作按照“学校负责、招办监督”的原则进行。各类别按照以下顺序进行。</w:t>
      </w:r>
    </w:p>
    <w:p w14:paraId="6233CA6A">
      <w:pPr>
        <w:widowControl/>
        <w:shd w:val="clear" w:color="auto" w:fill="FFFFFF"/>
        <w:spacing w:line="500" w:lineRule="exact"/>
        <w:ind w:firstLine="560" w:firstLineChars="200"/>
        <w:jc w:val="left"/>
        <w:rPr>
          <w:rFonts w:hint="eastAsia" w:ascii="等线" w:hAnsi="等线" w:eastAsia="仿宋" w:cs="仿宋"/>
          <w:sz w:val="28"/>
          <w:szCs w:val="28"/>
          <w:u w:val="none"/>
          <w:lang w:val="en-US" w:eastAsia="zh-CN"/>
        </w:rPr>
      </w:pPr>
      <w:r>
        <w:rPr>
          <w:rFonts w:hint="eastAsia" w:ascii="等线" w:hAnsi="等线" w:eastAsia="仿宋" w:cs="仿宋"/>
          <w:sz w:val="28"/>
          <w:szCs w:val="28"/>
          <w:lang w:val="en-US" w:eastAsia="zh-CN"/>
        </w:rPr>
        <w:t>1.</w:t>
      </w: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避免个别专业扎堆报考，造成后续普通类考生计划不足，各专业录取退役军人考生的人数不超过2人。</w:t>
      </w:r>
    </w:p>
    <w:p w14:paraId="3A49B7A5">
      <w:pPr>
        <w:widowControl/>
        <w:numPr>
          <w:ilvl w:val="0"/>
          <w:numId w:val="0"/>
        </w:numPr>
        <w:shd w:val="clear" w:color="auto" w:fill="FFFFFF"/>
        <w:spacing w:line="500" w:lineRule="exact"/>
        <w:ind w:firstLine="560" w:firstLineChars="200"/>
        <w:jc w:val="left"/>
        <w:rPr>
          <w:rFonts w:hint="eastAsia" w:ascii="等线" w:hAnsi="等线" w:eastAsia="仿宋" w:cs="仿宋"/>
          <w:color w:val="ED7D31" w:themeColor="accent2"/>
          <w:sz w:val="28"/>
          <w:szCs w:val="28"/>
          <w:lang w:eastAsia="zh-CN"/>
          <w14:textFill>
            <w14:solidFill>
              <w14:schemeClr w14:val="accent2"/>
            </w14:solidFill>
          </w14:textFill>
        </w:rPr>
      </w:pPr>
      <w:r>
        <w:rPr>
          <w:rFonts w:hint="eastAsia" w:ascii="等线" w:hAnsi="等线" w:eastAsia="仿宋" w:cs="仿宋"/>
          <w:sz w:val="28"/>
          <w:szCs w:val="28"/>
          <w:lang w:val="en-US" w:eastAsia="zh-CN"/>
        </w:rPr>
        <w:t>2</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艺术体育</w:t>
      </w:r>
      <w:r>
        <w:rPr>
          <w:rFonts w:hint="eastAsia" w:ascii="等线" w:hAnsi="等线" w:eastAsia="仿宋" w:cs="仿宋"/>
          <w:sz w:val="28"/>
          <w:szCs w:val="28"/>
        </w:rPr>
        <w:t>特长生</w:t>
      </w:r>
      <w:r>
        <w:rPr>
          <w:rFonts w:hint="eastAsia" w:ascii="等线" w:hAnsi="等线" w:eastAsia="仿宋" w:cs="仿宋"/>
          <w:sz w:val="28"/>
          <w:szCs w:val="28"/>
          <w:lang w:eastAsia="zh-CN"/>
        </w:rPr>
        <w:t>。</w:t>
      </w:r>
      <w:r>
        <w:rPr>
          <w:rFonts w:hint="eastAsia" w:ascii="等线" w:hAnsi="等线" w:eastAsia="仿宋" w:cs="仿宋"/>
          <w:sz w:val="28"/>
          <w:szCs w:val="28"/>
        </w:rPr>
        <w:t>依据考生所填报项目按</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具体规则</w:t>
      </w:r>
      <w:r>
        <w:rPr>
          <w:rFonts w:hint="eastAsia" w:ascii="等线" w:hAnsi="等线" w:eastAsia="仿宋" w:cs="仿宋"/>
          <w:sz w:val="28"/>
          <w:szCs w:val="28"/>
          <w:lang w:eastAsia="zh-CN"/>
        </w:rPr>
        <w:t>详见《</w:t>
      </w:r>
      <w:r>
        <w:rPr>
          <w:rFonts w:hint="eastAsia" w:ascii="等线" w:hAnsi="等线" w:eastAsia="仿宋" w:cs="仿宋"/>
          <w:sz w:val="28"/>
          <w:szCs w:val="28"/>
          <w:u w:val="none"/>
          <w:lang w:val="en-US" w:eastAsia="zh-CN"/>
        </w:rPr>
        <w:t>常德科技职业技术</w:t>
      </w:r>
      <w:r>
        <w:rPr>
          <w:rFonts w:hint="eastAsia" w:ascii="等线" w:hAnsi="等线" w:eastAsia="仿宋" w:cs="仿宋"/>
          <w:sz w:val="28"/>
          <w:szCs w:val="28"/>
          <w:lang w:eastAsia="zh-CN"/>
        </w:rPr>
        <w:t>学院2025年</w:t>
      </w:r>
      <w:r>
        <w:rPr>
          <w:rFonts w:hint="eastAsia" w:ascii="等线" w:hAnsi="等线" w:eastAsia="仿宋" w:cs="仿宋"/>
          <w:sz w:val="28"/>
          <w:szCs w:val="28"/>
          <w:lang w:val="en-US" w:eastAsia="zh-CN"/>
        </w:rPr>
        <w:t>艺术</w:t>
      </w:r>
      <w:r>
        <w:rPr>
          <w:rFonts w:hint="eastAsia" w:ascii="等线" w:hAnsi="等线" w:eastAsia="仿宋" w:cs="仿宋"/>
          <w:sz w:val="28"/>
          <w:szCs w:val="28"/>
          <w:lang w:eastAsia="zh-CN"/>
        </w:rPr>
        <w:t>体育特长生高职单招方案》。</w:t>
      </w:r>
      <w:r>
        <w:rPr>
          <w:rFonts w:hint="eastAsia" w:ascii="等线" w:hAnsi="等线" w:eastAsia="仿宋" w:cs="仿宋"/>
          <w:sz w:val="28"/>
          <w:szCs w:val="28"/>
          <w:u w:val="none"/>
          <w:lang w:eastAsia="zh-CN"/>
        </w:rPr>
        <w:t>为</w:t>
      </w:r>
      <w:r>
        <w:rPr>
          <w:rFonts w:hint="eastAsia" w:ascii="等线" w:hAnsi="等线" w:eastAsia="仿宋" w:cs="仿宋"/>
          <w:sz w:val="28"/>
          <w:szCs w:val="28"/>
          <w:u w:val="none"/>
          <w:lang w:val="en-US" w:eastAsia="zh-CN"/>
        </w:rPr>
        <w:t>避免个别专业扎堆报考，造成后续普通类考生计划不足，各专业录取特长生考生的人数不超过4人。</w:t>
      </w:r>
    </w:p>
    <w:p w14:paraId="1EAC95C2">
      <w:pPr>
        <w:widowControl/>
        <w:shd w:val="clear" w:color="auto" w:fill="FFFFFF"/>
        <w:spacing w:line="500" w:lineRule="exact"/>
        <w:jc w:val="left"/>
        <w:rPr>
          <w:rFonts w:hint="eastAsia" w:ascii="等线" w:hAnsi="等线" w:eastAsia="仿宋" w:cs="仿宋"/>
          <w:sz w:val="28"/>
          <w:szCs w:val="28"/>
        </w:rPr>
      </w:pPr>
      <w:r>
        <w:rPr>
          <w:rFonts w:hint="eastAsia" w:ascii="等线" w:hAnsi="等线" w:eastAsia="仿宋" w:cs="仿宋"/>
          <w:sz w:val="28"/>
          <w:szCs w:val="28"/>
          <w:lang w:val="en-US" w:eastAsia="zh-CN"/>
        </w:rPr>
        <w:t xml:space="preserve">    3.</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0997ECD1">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第三十条</w:t>
      </w:r>
      <w:r>
        <w:rPr>
          <w:rFonts w:hint="eastAsia" w:ascii="等线" w:hAnsi="等线" w:eastAsia="仿宋" w:cs="仿宋"/>
          <w:sz w:val="28"/>
          <w:szCs w:val="28"/>
          <w:lang w:val="en-US" w:eastAsia="zh-CN"/>
        </w:rPr>
        <w:t xml:space="preserve"> 对于末位同分的考生，依据以下排序原则进行录取。同分排序规则为：</w:t>
      </w:r>
      <w:r>
        <w:rPr>
          <w:rFonts w:hint="eastAsia" w:ascii="等线" w:hAnsi="等线" w:eastAsia="仿宋" w:cs="仿宋"/>
          <w:sz w:val="28"/>
          <w:szCs w:val="28"/>
          <w:u w:val="none"/>
          <w:lang w:val="en-US" w:eastAsia="zh-CN"/>
        </w:rPr>
        <w:t>按职业技能测试成绩、文化素质测试成绩从高分到低分排序（如成绩相同则再按语文、数学、外语单科成绩的顺序依次从高分到低分排序）。退役军人末位同分排序规则为：按单选题、多选题及判断题的顺序从高分到低分依次录取。</w:t>
      </w:r>
      <w:r>
        <w:rPr>
          <w:rFonts w:hint="eastAsia" w:ascii="等线" w:hAnsi="等线" w:eastAsia="仿宋" w:cs="仿宋"/>
          <w:sz w:val="28"/>
          <w:szCs w:val="28"/>
          <w:u w:val="single"/>
          <w:lang w:val="en-US" w:eastAsia="zh-CN"/>
        </w:rPr>
        <w:br w:type="textWrapping"/>
      </w:r>
      <w:r>
        <w:rPr>
          <w:rFonts w:hint="eastAsia" w:ascii="等线" w:hAnsi="等线" w:eastAsia="仿宋" w:cs="仿宋"/>
          <w:sz w:val="28"/>
          <w:szCs w:val="28"/>
          <w:u w:val="none"/>
          <w:lang w:val="en-US" w:eastAsia="zh-CN"/>
        </w:rPr>
        <w:t xml:space="preserve">    </w:t>
      </w:r>
      <w:r>
        <w:rPr>
          <w:rFonts w:hint="eastAsia" w:ascii="等线" w:hAnsi="等线" w:eastAsia="仿宋" w:cs="仿宋"/>
          <w:b/>
          <w:bCs/>
          <w:sz w:val="28"/>
          <w:szCs w:val="28"/>
          <w:lang w:val="en-US" w:eastAsia="zh-CN"/>
        </w:rPr>
        <w:t xml:space="preserve">第三十一条 </w:t>
      </w:r>
      <w:r>
        <w:rPr>
          <w:rFonts w:hint="eastAsia" w:ascii="等线" w:hAnsi="等线" w:eastAsia="仿宋" w:cs="仿宋"/>
          <w:sz w:val="28"/>
          <w:szCs w:val="28"/>
          <w:lang w:val="en-US" w:eastAsia="zh-CN"/>
        </w:rPr>
        <w:t>我校将通过官网（</w:t>
      </w:r>
      <w:r>
        <w:rPr>
          <w:rFonts w:hint="eastAsia" w:ascii="等线" w:hAnsi="等线" w:eastAsia="仿宋" w:cs="仿宋"/>
          <w:sz w:val="28"/>
          <w:szCs w:val="28"/>
          <w:u w:val="none"/>
          <w:lang w:val="en-US" w:eastAsia="zh-CN"/>
        </w:rPr>
        <w:t>http://www.cdkjzy.com.cn）</w:t>
      </w:r>
      <w:r>
        <w:rPr>
          <w:rFonts w:hint="eastAsia" w:ascii="等线" w:hAnsi="等线" w:eastAsia="仿宋" w:cs="仿宋"/>
          <w:sz w:val="28"/>
          <w:szCs w:val="28"/>
          <w:lang w:val="en-US" w:eastAsia="zh-CN"/>
        </w:rPr>
        <w:t>发布单招拟录取名单，拟录取考生需在我校规定时间内办理相关录取确认手续。</w:t>
      </w:r>
    </w:p>
    <w:p w14:paraId="76C946BB">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none"/>
        </w:rPr>
        <w:t>特殊情况需转专业的，</w:t>
      </w:r>
      <w:r>
        <w:rPr>
          <w:rFonts w:hint="eastAsia" w:ascii="等线" w:hAnsi="等线" w:eastAsia="仿宋" w:cs="仿宋"/>
          <w:sz w:val="28"/>
          <w:szCs w:val="28"/>
          <w:u w:val="none"/>
          <w:lang w:eastAsia="zh-CN"/>
        </w:rPr>
        <w:t>按照我校</w:t>
      </w:r>
      <w:r>
        <w:rPr>
          <w:rFonts w:hint="eastAsia" w:ascii="等线" w:hAnsi="等线" w:eastAsia="仿宋" w:cs="仿宋"/>
          <w:sz w:val="28"/>
          <w:szCs w:val="28"/>
          <w:u w:val="none"/>
          <w:lang w:val="en-US" w:eastAsia="zh-CN"/>
        </w:rPr>
        <w:t>规定，只能在考生报考的专业组</w:t>
      </w:r>
      <w:r>
        <w:rPr>
          <w:rFonts w:hint="eastAsia" w:ascii="等线" w:hAnsi="等线" w:eastAsia="仿宋" w:cs="仿宋"/>
          <w:sz w:val="28"/>
          <w:szCs w:val="28"/>
          <w:u w:val="none"/>
        </w:rPr>
        <w:t>范围内转换</w:t>
      </w:r>
      <w:r>
        <w:rPr>
          <w:rFonts w:hint="eastAsia" w:ascii="等线" w:hAnsi="等线" w:eastAsia="仿宋" w:cs="仿宋"/>
          <w:sz w:val="28"/>
          <w:szCs w:val="28"/>
        </w:rPr>
        <w:t>。</w:t>
      </w:r>
      <w:bookmarkStart w:id="1" w:name="_GoBack"/>
      <w:bookmarkEnd w:id="1"/>
    </w:p>
    <w:p w14:paraId="551D11F7">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第三十三条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481EC2D6">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2AB575F4">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2B3A4A6F">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在学校纪检监察室全程监督检查下进行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51D2AB3B">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335BA0C8">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。欢迎考生、家长及社会对我校单招工作进行监督，我校的投诉举报电话为</w:t>
      </w:r>
      <w:r>
        <w:rPr>
          <w:rFonts w:hint="eastAsia" w:ascii="等线" w:hAnsi="等线" w:eastAsia="仿宋" w:cs="仿宋"/>
          <w:sz w:val="28"/>
          <w:szCs w:val="28"/>
          <w:u w:val="none"/>
          <w:lang w:val="en-US" w:eastAsia="zh-CN"/>
        </w:rPr>
        <w:t>：0736-7875357</w:t>
      </w:r>
      <w:r>
        <w:rPr>
          <w:rFonts w:hint="eastAsia" w:ascii="等线" w:hAnsi="等线" w:eastAsia="仿宋" w:cs="仿宋"/>
          <w:sz w:val="28"/>
          <w:szCs w:val="28"/>
        </w:rPr>
        <w:t>。</w:t>
      </w:r>
    </w:p>
    <w:p w14:paraId="6C11E532">
      <w:pPr>
        <w:numPr>
          <w:ilvl w:val="0"/>
          <w:numId w:val="1"/>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54C63818">
      <w:pPr>
        <w:pStyle w:val="2"/>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三十八</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6FEE72F8">
      <w:pPr>
        <w:numPr>
          <w:ilvl w:val="0"/>
          <w:numId w:val="0"/>
        </w:num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三十九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1F0589D9">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26BEDFF4">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6F514B1">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0F5746D0">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142C4156">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通信地址</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湖南省常德市武陵区金丹路605号</w:t>
      </w:r>
      <w:r>
        <w:rPr>
          <w:rFonts w:hint="eastAsia" w:ascii="等线" w:hAnsi="等线" w:eastAsia="仿宋" w:cs="仿宋"/>
          <w:sz w:val="28"/>
          <w:szCs w:val="28"/>
          <w:u w:val="none"/>
          <w:lang w:val="en-US" w:eastAsia="zh-CN"/>
        </w:rPr>
        <w:t xml:space="preserve">                            </w:t>
      </w:r>
    </w:p>
    <w:p w14:paraId="74FD6CD4">
      <w:pPr>
        <w:pStyle w:val="2"/>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邮政编码</w:t>
      </w:r>
      <w:r>
        <w:rPr>
          <w:rFonts w:hint="eastAsia" w:ascii="等线" w:hAnsi="等线" w:eastAsia="仿宋" w:cs="仿宋"/>
          <w:sz w:val="28"/>
          <w:szCs w:val="28"/>
          <w:u w:val="none"/>
        </w:rPr>
        <w:t>：</w:t>
      </w:r>
      <w:r>
        <w:rPr>
          <w:rFonts w:hint="eastAsia" w:ascii="等线" w:hAnsi="等线" w:eastAsia="仿宋" w:cs="仿宋"/>
          <w:sz w:val="28"/>
          <w:szCs w:val="28"/>
          <w:u w:val="none"/>
          <w:lang w:val="en-US" w:eastAsia="zh-CN"/>
        </w:rPr>
        <w:t xml:space="preserve">415000                      </w:t>
      </w:r>
    </w:p>
    <w:p w14:paraId="3FDACC85">
      <w:pPr>
        <w:pStyle w:val="2"/>
        <w:ind w:left="559" w:leftChars="266" w:firstLine="0" w:firstLineChars="0"/>
        <w:rPr>
          <w:rFonts w:hint="default" w:ascii="等线" w:hAnsi="等线" w:eastAsia="仿宋" w:cs="仿宋"/>
          <w:sz w:val="28"/>
          <w:szCs w:val="28"/>
          <w:u w:val="single"/>
          <w:lang w:val="en-US" w:eastAsia="zh-CN"/>
        </w:rPr>
      </w:pPr>
      <w:r>
        <w:rPr>
          <w:rFonts w:hint="eastAsia" w:ascii="等线" w:hAnsi="等线" w:eastAsia="仿宋" w:cs="仿宋"/>
          <w:sz w:val="28"/>
          <w:szCs w:val="28"/>
        </w:rPr>
        <w:t>招生咨询电话：</w:t>
      </w:r>
      <w:r>
        <w:rPr>
          <w:rFonts w:hint="eastAsia" w:ascii="等线" w:hAnsi="等线" w:eastAsia="仿宋" w:cs="仿宋"/>
          <w:sz w:val="28"/>
          <w:szCs w:val="28"/>
          <w:u w:val="none"/>
          <w:lang w:val="en-US" w:eastAsia="zh-CN"/>
        </w:rPr>
        <w:t>0736—7875363（招生就业指导处）</w:t>
      </w:r>
      <w:r>
        <w:rPr>
          <w:rFonts w:hint="eastAsia" w:ascii="等线" w:hAnsi="等线" w:eastAsia="仿宋" w:cs="仿宋"/>
          <w:sz w:val="28"/>
          <w:szCs w:val="28"/>
          <w:u w:val="none"/>
          <w:lang w:val="en-US" w:eastAsia="zh-CN"/>
        </w:rPr>
        <w:br w:type="textWrapping"/>
      </w:r>
      <w:r>
        <w:rPr>
          <w:rFonts w:hint="eastAsia" w:ascii="等线" w:hAnsi="等线" w:eastAsia="仿宋" w:cs="仿宋"/>
          <w:b w:val="0"/>
          <w:bCs w:val="0"/>
          <w:kern w:val="2"/>
          <w:sz w:val="28"/>
          <w:szCs w:val="28"/>
        </w:rPr>
        <w:t>招生咨询邮箱：</w:t>
      </w:r>
      <w:r>
        <w:rPr>
          <w:rFonts w:hint="eastAsia" w:ascii="等线" w:hAnsi="等线" w:eastAsia="仿宋" w:cs="仿宋"/>
          <w:b w:val="0"/>
          <w:bCs w:val="0"/>
          <w:kern w:val="2"/>
          <w:sz w:val="28"/>
          <w:szCs w:val="28"/>
          <w:lang w:val="en-US" w:eastAsia="zh-CN"/>
        </w:rPr>
        <w:t>2485231@</w:t>
      </w:r>
      <w:r>
        <w:rPr>
          <w:rFonts w:hint="default" w:ascii="等线" w:hAnsi="等线" w:eastAsia="仿宋" w:cs="仿宋"/>
          <w:b w:val="0"/>
          <w:bCs w:val="0"/>
          <w:kern w:val="2"/>
          <w:sz w:val="28"/>
          <w:szCs w:val="28"/>
          <w:lang w:val="en-US" w:eastAsia="zh-CN"/>
        </w:rPr>
        <w:t>qq.com</w:t>
      </w:r>
    </w:p>
    <w:p w14:paraId="1F631526">
      <w:pPr>
        <w:pStyle w:val="2"/>
        <w:ind w:firstLine="560" w:firstLineChars="200"/>
        <w:rPr>
          <w:rFonts w:hint="eastAsia" w:ascii="等线" w:hAnsi="等线" w:eastAsia="仿宋" w:cs="仿宋"/>
          <w:b w:val="0"/>
          <w:bCs w:val="0"/>
          <w:kern w:val="2"/>
          <w:sz w:val="28"/>
          <w:szCs w:val="28"/>
          <w:u w:val="single"/>
          <w:lang w:val="en-US" w:eastAsia="zh-CN"/>
        </w:rPr>
      </w:pPr>
      <w:r>
        <w:rPr>
          <w:rFonts w:hint="eastAsia" w:ascii="等线" w:hAnsi="等线" w:eastAsia="仿宋" w:cs="仿宋"/>
          <w:b w:val="0"/>
          <w:bCs w:val="0"/>
          <w:kern w:val="2"/>
          <w:sz w:val="28"/>
          <w:szCs w:val="28"/>
          <w:lang w:val="en-US" w:eastAsia="zh-CN"/>
        </w:rPr>
        <w:t>招生</w:t>
      </w:r>
      <w:r>
        <w:rPr>
          <w:rFonts w:hint="eastAsia" w:ascii="等线" w:hAnsi="等线" w:eastAsia="仿宋" w:cs="仿宋"/>
          <w:b w:val="0"/>
          <w:bCs w:val="0"/>
          <w:kern w:val="2"/>
          <w:sz w:val="28"/>
          <w:szCs w:val="28"/>
        </w:rPr>
        <w:t>信息发布网址</w:t>
      </w:r>
      <w:r>
        <w:rPr>
          <w:rFonts w:hint="eastAsia" w:ascii="等线" w:hAnsi="等线" w:eastAsia="仿宋" w:cs="仿宋"/>
          <w:b w:val="0"/>
          <w:bCs w:val="0"/>
          <w:kern w:val="2"/>
          <w:sz w:val="28"/>
          <w:szCs w:val="28"/>
          <w:u w:val="none"/>
        </w:rPr>
        <w:t>：</w:t>
      </w:r>
      <w:r>
        <w:rPr>
          <w:rFonts w:hint="eastAsia" w:ascii="等线" w:hAnsi="等线" w:eastAsia="仿宋" w:cs="仿宋"/>
          <w:b w:val="0"/>
          <w:bCs w:val="0"/>
          <w:kern w:val="2"/>
          <w:sz w:val="28"/>
          <w:szCs w:val="28"/>
          <w:u w:val="none"/>
          <w:lang w:val="en-US" w:eastAsia="zh-CN"/>
        </w:rPr>
        <w:t>http://www.cdkjzy.com.cn</w:t>
      </w:r>
    </w:p>
    <w:p w14:paraId="76E11C36">
      <w:pPr>
        <w:pStyle w:val="9"/>
        <w:shd w:val="clear" w:color="auto" w:fill="FFFFFF"/>
        <w:spacing w:before="0" w:beforeAutospacing="0" w:after="0" w:afterAutospacing="0" w:line="500" w:lineRule="exact"/>
        <w:ind w:firstLine="560" w:firstLineChars="200"/>
        <w:rPr>
          <w:rFonts w:hint="default" w:ascii="等线" w:hAnsi="等线" w:eastAsia="仿宋" w:cs="仿宋"/>
          <w:kern w:val="2"/>
          <w:sz w:val="28"/>
          <w:szCs w:val="28"/>
          <w:u w:val="none"/>
          <w:lang w:val="en-US" w:eastAsia="zh-CN"/>
        </w:rPr>
      </w:pPr>
      <w:r>
        <w:rPr>
          <w:rFonts w:hint="eastAsia" w:ascii="等线" w:hAnsi="等线" w:eastAsia="仿宋" w:cs="仿宋"/>
          <w:b w:val="0"/>
          <w:bCs w:val="0"/>
          <w:kern w:val="2"/>
          <w:sz w:val="28"/>
          <w:szCs w:val="28"/>
        </w:rPr>
        <w:t>监督投诉电话</w:t>
      </w:r>
      <w:r>
        <w:rPr>
          <w:rFonts w:hint="eastAsia" w:ascii="等线" w:hAnsi="等线" w:eastAsia="仿宋" w:cs="仿宋"/>
          <w:b w:val="0"/>
          <w:bCs w:val="0"/>
          <w:kern w:val="2"/>
          <w:sz w:val="28"/>
          <w:szCs w:val="28"/>
          <w:u w:val="none"/>
        </w:rPr>
        <w:t>：</w:t>
      </w:r>
      <w:r>
        <w:rPr>
          <w:rFonts w:hint="eastAsia" w:ascii="等线" w:hAnsi="等线" w:eastAsia="仿宋" w:cs="仿宋"/>
          <w:b w:val="0"/>
          <w:bCs w:val="0"/>
          <w:kern w:val="2"/>
          <w:sz w:val="28"/>
          <w:szCs w:val="28"/>
          <w:u w:val="none"/>
          <w:lang w:val="en-US" w:eastAsia="zh-CN"/>
        </w:rPr>
        <w:t xml:space="preserve"> 0736-7875357 （纪检监察室）                   </w:t>
      </w:r>
    </w:p>
    <w:p w14:paraId="1C712855">
      <w:pPr>
        <w:numPr>
          <w:ilvl w:val="0"/>
          <w:numId w:val="0"/>
        </w:num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kern w:val="2"/>
          <w:sz w:val="28"/>
          <w:szCs w:val="28"/>
          <w:lang w:eastAsia="zh-CN"/>
        </w:rPr>
        <w:t>第四十</w:t>
      </w:r>
      <w:r>
        <w:rPr>
          <w:rFonts w:hint="eastAsia" w:ascii="等线" w:hAnsi="等线" w:eastAsia="仿宋" w:cs="仿宋"/>
          <w:b/>
          <w:bCs/>
          <w:kern w:val="2"/>
          <w:sz w:val="28"/>
          <w:szCs w:val="28"/>
          <w:lang w:val="en-US" w:eastAsia="zh-CN"/>
        </w:rPr>
        <w:t>四</w:t>
      </w:r>
      <w:r>
        <w:rPr>
          <w:rFonts w:hint="eastAsia" w:ascii="等线" w:hAnsi="等线" w:eastAsia="仿宋" w:cs="仿宋"/>
          <w:b/>
          <w:bCs/>
          <w:kern w:val="2"/>
          <w:sz w:val="28"/>
          <w:szCs w:val="28"/>
          <w:lang w:eastAsia="zh-CN"/>
        </w:rPr>
        <w:t>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lang w:eastAsia="zh-CN"/>
        </w:rPr>
        <w:t>2025年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none"/>
          <w:lang w:val="en-US" w:eastAsia="zh-CN"/>
        </w:rPr>
        <w:t>常德科技职业技术学院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bookmarkEnd w:id="0"/>
    <w:p w14:paraId="3AC2EC3E">
      <w:pPr>
        <w:pStyle w:val="2"/>
        <w:ind w:left="0" w:leftChars="0" w:firstLine="0" w:firstLineChars="0"/>
        <w:rPr>
          <w:rFonts w:hint="eastAsia" w:ascii="等线" w:hAnsi="等线" w:eastAsia="仿宋" w:cs="仿宋"/>
          <w:sz w:val="28"/>
          <w:szCs w:val="28"/>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A5AEF939-6232-4F61-85E8-2F5116331859}"/>
  </w:font>
  <w:font w:name="等线">
    <w:panose1 w:val="02010600030101010101"/>
    <w:charset w:val="86"/>
    <w:family w:val="auto"/>
    <w:pitch w:val="default"/>
    <w:sig w:usb0="A00002BF" w:usb1="38CF7CFA" w:usb2="00000016" w:usb3="00000000" w:csb0="0004000F" w:csb1="00000000"/>
    <w:embedRegular r:id="rId2" w:fontKey="{A6BD26A2-5B7A-441A-8CC3-6E13ABFA4D42}"/>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embedRegular r:id="rId3" w:fontKey="{333260E2-C903-4F85-B545-BE5A69D0F9A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3860C">
    <w:pPr>
      <w:pStyle w:val="7"/>
      <w:jc w:val="center"/>
    </w:pPr>
    <w:r>
      <w:fldChar w:fldCharType="begin"/>
    </w:r>
    <w:r>
      <w:instrText xml:space="preserve">PAGE   \* MERGEFORMAT</w:instrText>
    </w:r>
    <w:r>
      <w:fldChar w:fldCharType="separate"/>
    </w:r>
    <w:r>
      <w:t>14</w:t>
    </w:r>
    <w:r>
      <w:fldChar w:fldCharType="end"/>
    </w:r>
  </w:p>
  <w:p w14:paraId="1A5CB9B7">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F51BD7">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xN2NkY2QxZjExNWQwOGRkMjUwYjM2MDE2Yzg4MWM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D4212C"/>
    <w:rsid w:val="06F53E3D"/>
    <w:rsid w:val="075926EA"/>
    <w:rsid w:val="07987FF3"/>
    <w:rsid w:val="079D1FBD"/>
    <w:rsid w:val="07D94EB6"/>
    <w:rsid w:val="07DB005B"/>
    <w:rsid w:val="07DC2099"/>
    <w:rsid w:val="07FC04D8"/>
    <w:rsid w:val="087C7B4E"/>
    <w:rsid w:val="09AB6D6D"/>
    <w:rsid w:val="0A7560B2"/>
    <w:rsid w:val="0AAF0151"/>
    <w:rsid w:val="0AD800AF"/>
    <w:rsid w:val="0ADC163F"/>
    <w:rsid w:val="0B2B471F"/>
    <w:rsid w:val="0B8C708E"/>
    <w:rsid w:val="0BA871E7"/>
    <w:rsid w:val="0BB7681F"/>
    <w:rsid w:val="0C004B2C"/>
    <w:rsid w:val="0C2267DE"/>
    <w:rsid w:val="0C675E1C"/>
    <w:rsid w:val="0C8278C6"/>
    <w:rsid w:val="0D511BCD"/>
    <w:rsid w:val="0D9A2F32"/>
    <w:rsid w:val="0F0E57E7"/>
    <w:rsid w:val="0F713C26"/>
    <w:rsid w:val="0FA364D6"/>
    <w:rsid w:val="0FFA0E2A"/>
    <w:rsid w:val="1023527C"/>
    <w:rsid w:val="107F26DA"/>
    <w:rsid w:val="10DB6D7F"/>
    <w:rsid w:val="11B318DC"/>
    <w:rsid w:val="11B545A0"/>
    <w:rsid w:val="12551AE7"/>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B481B02"/>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1FFFE3C3"/>
    <w:rsid w:val="200F7270"/>
    <w:rsid w:val="20196340"/>
    <w:rsid w:val="202E0E7A"/>
    <w:rsid w:val="20A0611A"/>
    <w:rsid w:val="20CD4936"/>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1F388E"/>
    <w:rsid w:val="26AB5FE8"/>
    <w:rsid w:val="26D63198"/>
    <w:rsid w:val="26F17200"/>
    <w:rsid w:val="26FC1CEB"/>
    <w:rsid w:val="274979CF"/>
    <w:rsid w:val="275210BB"/>
    <w:rsid w:val="2764AE67"/>
    <w:rsid w:val="27AF13DE"/>
    <w:rsid w:val="286D4306"/>
    <w:rsid w:val="29DD040A"/>
    <w:rsid w:val="29FF1936"/>
    <w:rsid w:val="2A0406E2"/>
    <w:rsid w:val="2A0656A8"/>
    <w:rsid w:val="2A32577F"/>
    <w:rsid w:val="2ABE71EB"/>
    <w:rsid w:val="2C0833AD"/>
    <w:rsid w:val="2C8478F1"/>
    <w:rsid w:val="2CFB6EDA"/>
    <w:rsid w:val="2D0F6B01"/>
    <w:rsid w:val="2E6E3CFB"/>
    <w:rsid w:val="2E7A26A0"/>
    <w:rsid w:val="2EFF9293"/>
    <w:rsid w:val="2FAD513C"/>
    <w:rsid w:val="2FC11C09"/>
    <w:rsid w:val="2FC9123E"/>
    <w:rsid w:val="2FFE0406"/>
    <w:rsid w:val="2FFF0E07"/>
    <w:rsid w:val="3024522F"/>
    <w:rsid w:val="305D1EAE"/>
    <w:rsid w:val="309914C3"/>
    <w:rsid w:val="313703D4"/>
    <w:rsid w:val="313D086B"/>
    <w:rsid w:val="318F2491"/>
    <w:rsid w:val="31C51E84"/>
    <w:rsid w:val="31DE5A41"/>
    <w:rsid w:val="328D1382"/>
    <w:rsid w:val="33122352"/>
    <w:rsid w:val="33597626"/>
    <w:rsid w:val="339E7C5E"/>
    <w:rsid w:val="33BF47D9"/>
    <w:rsid w:val="33ED199E"/>
    <w:rsid w:val="342B1D46"/>
    <w:rsid w:val="344828F8"/>
    <w:rsid w:val="344F51A3"/>
    <w:rsid w:val="346C7B0F"/>
    <w:rsid w:val="34764968"/>
    <w:rsid w:val="358B3826"/>
    <w:rsid w:val="35EA4102"/>
    <w:rsid w:val="36140CE4"/>
    <w:rsid w:val="361F5AF3"/>
    <w:rsid w:val="37031F9E"/>
    <w:rsid w:val="375D86F4"/>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A73615"/>
    <w:rsid w:val="3DBD6105"/>
    <w:rsid w:val="3DD9225D"/>
    <w:rsid w:val="3DDF1728"/>
    <w:rsid w:val="3DE23DBE"/>
    <w:rsid w:val="3E0633EE"/>
    <w:rsid w:val="3E222F7F"/>
    <w:rsid w:val="3E305F64"/>
    <w:rsid w:val="3E6F38A3"/>
    <w:rsid w:val="3E7F2B45"/>
    <w:rsid w:val="3EAB2402"/>
    <w:rsid w:val="3EE61EA6"/>
    <w:rsid w:val="3EEF0AB8"/>
    <w:rsid w:val="3F1A6BAD"/>
    <w:rsid w:val="3F2A0431"/>
    <w:rsid w:val="3F3BF0CD"/>
    <w:rsid w:val="3F3D11CF"/>
    <w:rsid w:val="3FD4CA89"/>
    <w:rsid w:val="3FDA284A"/>
    <w:rsid w:val="3FE3C841"/>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4F5A51"/>
    <w:rsid w:val="43E66BC8"/>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BBECB36"/>
    <w:rsid w:val="4BE636DA"/>
    <w:rsid w:val="4C1930A0"/>
    <w:rsid w:val="4C3B5609"/>
    <w:rsid w:val="4C7704F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7EE721"/>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7F5D72"/>
    <w:rsid w:val="56DC53F6"/>
    <w:rsid w:val="571A66C4"/>
    <w:rsid w:val="57DC0D06"/>
    <w:rsid w:val="58220680"/>
    <w:rsid w:val="58481E52"/>
    <w:rsid w:val="58A35269"/>
    <w:rsid w:val="58C8276C"/>
    <w:rsid w:val="58DF57F5"/>
    <w:rsid w:val="59323EA7"/>
    <w:rsid w:val="59485757"/>
    <w:rsid w:val="5949535F"/>
    <w:rsid w:val="597F35F6"/>
    <w:rsid w:val="599651FE"/>
    <w:rsid w:val="59B2243E"/>
    <w:rsid w:val="5A1117CC"/>
    <w:rsid w:val="5ABE313D"/>
    <w:rsid w:val="5B127639"/>
    <w:rsid w:val="5B8FCF33"/>
    <w:rsid w:val="5BBD0E26"/>
    <w:rsid w:val="5BD161ED"/>
    <w:rsid w:val="5CAFFF65"/>
    <w:rsid w:val="5CE82B4D"/>
    <w:rsid w:val="5CFB7D74"/>
    <w:rsid w:val="5CFF3BED"/>
    <w:rsid w:val="5D0B35B7"/>
    <w:rsid w:val="5D4C7FE2"/>
    <w:rsid w:val="5DA46FBF"/>
    <w:rsid w:val="5DA7E558"/>
    <w:rsid w:val="5DB42C29"/>
    <w:rsid w:val="5E1E79DD"/>
    <w:rsid w:val="5E547F68"/>
    <w:rsid w:val="5E89718D"/>
    <w:rsid w:val="5F804F7C"/>
    <w:rsid w:val="5F84507B"/>
    <w:rsid w:val="5FA66C4C"/>
    <w:rsid w:val="5FBF32AD"/>
    <w:rsid w:val="5FBF5E3A"/>
    <w:rsid w:val="5FEB7598"/>
    <w:rsid w:val="5FEDD760"/>
    <w:rsid w:val="5FF781CB"/>
    <w:rsid w:val="600C1085"/>
    <w:rsid w:val="604E4E9A"/>
    <w:rsid w:val="605F4325"/>
    <w:rsid w:val="60964868"/>
    <w:rsid w:val="60F4742F"/>
    <w:rsid w:val="6126799A"/>
    <w:rsid w:val="61A35225"/>
    <w:rsid w:val="61B228BF"/>
    <w:rsid w:val="626055AF"/>
    <w:rsid w:val="62804CAC"/>
    <w:rsid w:val="629C67BC"/>
    <w:rsid w:val="62CD6207"/>
    <w:rsid w:val="62E670F3"/>
    <w:rsid w:val="630C6032"/>
    <w:rsid w:val="63C35974"/>
    <w:rsid w:val="656B46CF"/>
    <w:rsid w:val="66387CAD"/>
    <w:rsid w:val="664D7F9B"/>
    <w:rsid w:val="66A3028A"/>
    <w:rsid w:val="66A650D9"/>
    <w:rsid w:val="671B1581"/>
    <w:rsid w:val="672A3F5C"/>
    <w:rsid w:val="67DF33A4"/>
    <w:rsid w:val="67DF478F"/>
    <w:rsid w:val="67E11BC9"/>
    <w:rsid w:val="67ED7463"/>
    <w:rsid w:val="6860371C"/>
    <w:rsid w:val="68AE03DB"/>
    <w:rsid w:val="690600B1"/>
    <w:rsid w:val="6950078F"/>
    <w:rsid w:val="69B61AD7"/>
    <w:rsid w:val="6A0B1B52"/>
    <w:rsid w:val="6B863A1B"/>
    <w:rsid w:val="6B865BA9"/>
    <w:rsid w:val="6B9615A3"/>
    <w:rsid w:val="6BAC3191"/>
    <w:rsid w:val="6BC648A8"/>
    <w:rsid w:val="6BF243FA"/>
    <w:rsid w:val="6D0468F2"/>
    <w:rsid w:val="6D2A0812"/>
    <w:rsid w:val="6D3925E5"/>
    <w:rsid w:val="6D4620B8"/>
    <w:rsid w:val="6D464F20"/>
    <w:rsid w:val="6D5451DC"/>
    <w:rsid w:val="6D566375"/>
    <w:rsid w:val="6D5D5B5A"/>
    <w:rsid w:val="6D6F3412"/>
    <w:rsid w:val="6D9E6B0A"/>
    <w:rsid w:val="6DA83E0C"/>
    <w:rsid w:val="6DB61B32"/>
    <w:rsid w:val="6DE92C47"/>
    <w:rsid w:val="6E9D3190"/>
    <w:rsid w:val="6EA10FD4"/>
    <w:rsid w:val="6EA734FB"/>
    <w:rsid w:val="6EE65FD0"/>
    <w:rsid w:val="6EEF5FBA"/>
    <w:rsid w:val="6F1F3C7A"/>
    <w:rsid w:val="6F71DAA7"/>
    <w:rsid w:val="6F9314E5"/>
    <w:rsid w:val="6F9927A9"/>
    <w:rsid w:val="6FD63E81"/>
    <w:rsid w:val="6FEB37AA"/>
    <w:rsid w:val="6FFD170B"/>
    <w:rsid w:val="6FFF35DB"/>
    <w:rsid w:val="703903A6"/>
    <w:rsid w:val="705F250C"/>
    <w:rsid w:val="706D4D57"/>
    <w:rsid w:val="707D0B26"/>
    <w:rsid w:val="70981B5C"/>
    <w:rsid w:val="70D00732"/>
    <w:rsid w:val="71454595"/>
    <w:rsid w:val="71F1013E"/>
    <w:rsid w:val="723E08BB"/>
    <w:rsid w:val="72A471DF"/>
    <w:rsid w:val="72F07C93"/>
    <w:rsid w:val="731D7F10"/>
    <w:rsid w:val="73522870"/>
    <w:rsid w:val="737F09F7"/>
    <w:rsid w:val="73BC1D93"/>
    <w:rsid w:val="73CD3C81"/>
    <w:rsid w:val="74624D35"/>
    <w:rsid w:val="74D001FC"/>
    <w:rsid w:val="74E67981"/>
    <w:rsid w:val="75066966"/>
    <w:rsid w:val="756A1E27"/>
    <w:rsid w:val="7589536A"/>
    <w:rsid w:val="75DB056E"/>
    <w:rsid w:val="75DF3E40"/>
    <w:rsid w:val="75FB64DD"/>
    <w:rsid w:val="76300070"/>
    <w:rsid w:val="768B56A2"/>
    <w:rsid w:val="76C77173"/>
    <w:rsid w:val="76EBEF76"/>
    <w:rsid w:val="770025E3"/>
    <w:rsid w:val="77271704"/>
    <w:rsid w:val="777BE1E5"/>
    <w:rsid w:val="777F4E56"/>
    <w:rsid w:val="777FFB5A"/>
    <w:rsid w:val="77C01083"/>
    <w:rsid w:val="77F9BDFE"/>
    <w:rsid w:val="77FB1FF5"/>
    <w:rsid w:val="77FE10F9"/>
    <w:rsid w:val="780659D7"/>
    <w:rsid w:val="787A8180"/>
    <w:rsid w:val="789A7408"/>
    <w:rsid w:val="78AF5628"/>
    <w:rsid w:val="78DD4B16"/>
    <w:rsid w:val="794111F1"/>
    <w:rsid w:val="795D6D6C"/>
    <w:rsid w:val="795DFB48"/>
    <w:rsid w:val="79B6B7CA"/>
    <w:rsid w:val="79DC614A"/>
    <w:rsid w:val="79FF8825"/>
    <w:rsid w:val="7A1FF155"/>
    <w:rsid w:val="7A7AC12C"/>
    <w:rsid w:val="7ABEE496"/>
    <w:rsid w:val="7AC47217"/>
    <w:rsid w:val="7AD2618C"/>
    <w:rsid w:val="7AE149BD"/>
    <w:rsid w:val="7AE262DC"/>
    <w:rsid w:val="7B3BF886"/>
    <w:rsid w:val="7B647A4D"/>
    <w:rsid w:val="7B7F5E45"/>
    <w:rsid w:val="7BB55959"/>
    <w:rsid w:val="7BDFE1A2"/>
    <w:rsid w:val="7C2B0102"/>
    <w:rsid w:val="7C7E1CA6"/>
    <w:rsid w:val="7CF3F88A"/>
    <w:rsid w:val="7CFE890A"/>
    <w:rsid w:val="7D5947FB"/>
    <w:rsid w:val="7D5F8DA4"/>
    <w:rsid w:val="7D721381"/>
    <w:rsid w:val="7D7FC70A"/>
    <w:rsid w:val="7D935155"/>
    <w:rsid w:val="7D9854CF"/>
    <w:rsid w:val="7DA7C0D1"/>
    <w:rsid w:val="7DC97BD3"/>
    <w:rsid w:val="7DFC59DE"/>
    <w:rsid w:val="7E5C285E"/>
    <w:rsid w:val="7EBF5433"/>
    <w:rsid w:val="7ECF7130"/>
    <w:rsid w:val="7EDEFF37"/>
    <w:rsid w:val="7EE9A270"/>
    <w:rsid w:val="7EF3B793"/>
    <w:rsid w:val="7EFFD0B2"/>
    <w:rsid w:val="7F3F051B"/>
    <w:rsid w:val="7F63377E"/>
    <w:rsid w:val="7F8A405C"/>
    <w:rsid w:val="7FADF8A1"/>
    <w:rsid w:val="7FBFEB9C"/>
    <w:rsid w:val="7FD7EB92"/>
    <w:rsid w:val="7FDD71BC"/>
    <w:rsid w:val="7FEC0E4F"/>
    <w:rsid w:val="7FF9999E"/>
    <w:rsid w:val="7FFB532B"/>
    <w:rsid w:val="7FFBCB9B"/>
    <w:rsid w:val="7FFD71D7"/>
    <w:rsid w:val="7FFDC904"/>
    <w:rsid w:val="7FFF8C04"/>
    <w:rsid w:val="93FF4596"/>
    <w:rsid w:val="ADEACC29"/>
    <w:rsid w:val="AEFCF951"/>
    <w:rsid w:val="AF99DD8F"/>
    <w:rsid w:val="AFFBC95F"/>
    <w:rsid w:val="B658396B"/>
    <w:rsid w:val="BA6F2307"/>
    <w:rsid w:val="BAF273D9"/>
    <w:rsid w:val="BBFB7AF6"/>
    <w:rsid w:val="BDDB2997"/>
    <w:rsid w:val="BF7B5784"/>
    <w:rsid w:val="BF7E5B7A"/>
    <w:rsid w:val="BFF59C64"/>
    <w:rsid w:val="BFF701BF"/>
    <w:rsid w:val="C678E9DF"/>
    <w:rsid w:val="C9FF99F5"/>
    <w:rsid w:val="CB2D2EAA"/>
    <w:rsid w:val="CFF2C08D"/>
    <w:rsid w:val="D0FF3234"/>
    <w:rsid w:val="D5F37697"/>
    <w:rsid w:val="D63CBF36"/>
    <w:rsid w:val="D94B0D6A"/>
    <w:rsid w:val="DAF530A5"/>
    <w:rsid w:val="DDE72AE9"/>
    <w:rsid w:val="DDFCD80B"/>
    <w:rsid w:val="DE7CBC0B"/>
    <w:rsid w:val="DE7EA8C2"/>
    <w:rsid w:val="DE9F4FC4"/>
    <w:rsid w:val="DEE67039"/>
    <w:rsid w:val="DF9EA91C"/>
    <w:rsid w:val="DF9FC4DF"/>
    <w:rsid w:val="DFAB15AD"/>
    <w:rsid w:val="DFF773C7"/>
    <w:rsid w:val="DFFDE11A"/>
    <w:rsid w:val="DFFF9383"/>
    <w:rsid w:val="E2D2FD64"/>
    <w:rsid w:val="E367312B"/>
    <w:rsid w:val="E57F000A"/>
    <w:rsid w:val="E7B40FA2"/>
    <w:rsid w:val="EA2D3817"/>
    <w:rsid w:val="EA7F9AC4"/>
    <w:rsid w:val="EB3D30D7"/>
    <w:rsid w:val="EB7EC1FF"/>
    <w:rsid w:val="EBDE89C0"/>
    <w:rsid w:val="EBF713C1"/>
    <w:rsid w:val="ED32771F"/>
    <w:rsid w:val="EEEF5B3C"/>
    <w:rsid w:val="EFDF93A9"/>
    <w:rsid w:val="F3EF0F4D"/>
    <w:rsid w:val="F6FDD1F6"/>
    <w:rsid w:val="F72F5282"/>
    <w:rsid w:val="F7BF9DEE"/>
    <w:rsid w:val="F7D9E16E"/>
    <w:rsid w:val="F7FE5614"/>
    <w:rsid w:val="F91F4BCC"/>
    <w:rsid w:val="F977A439"/>
    <w:rsid w:val="F9D6B31B"/>
    <w:rsid w:val="F9DB69C7"/>
    <w:rsid w:val="FA279B54"/>
    <w:rsid w:val="FADD0228"/>
    <w:rsid w:val="FAFD6D83"/>
    <w:rsid w:val="FB1D2D05"/>
    <w:rsid w:val="FB7B32DF"/>
    <w:rsid w:val="FBCD507D"/>
    <w:rsid w:val="FBFED09C"/>
    <w:rsid w:val="FDBBC305"/>
    <w:rsid w:val="FDFF62AF"/>
    <w:rsid w:val="FE6F9264"/>
    <w:rsid w:val="FEB9A21C"/>
    <w:rsid w:val="FEBECC06"/>
    <w:rsid w:val="FEFF414D"/>
    <w:rsid w:val="FF0FFB7B"/>
    <w:rsid w:val="FF3B4D9E"/>
    <w:rsid w:val="FF473DCF"/>
    <w:rsid w:val="FF6B9E1D"/>
    <w:rsid w:val="FF7BF43A"/>
    <w:rsid w:val="FFAEBF80"/>
    <w:rsid w:val="FFAFBE15"/>
    <w:rsid w:val="FFCF49D3"/>
    <w:rsid w:val="FFDB2E51"/>
    <w:rsid w:val="FFED6547"/>
    <w:rsid w:val="FFF337A6"/>
    <w:rsid w:val="FFF6952C"/>
    <w:rsid w:val="FFF743E5"/>
    <w:rsid w:val="FFFA1CC5"/>
    <w:rsid w:val="FFFB48DC"/>
    <w:rsid w:val="FFFDC4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11"/>
    <w:basedOn w:val="13"/>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5960</Words>
  <Characters>6336</Characters>
  <Lines>5</Lines>
  <Paragraphs>16</Paragraphs>
  <TotalTime>124</TotalTime>
  <ScaleCrop>false</ScaleCrop>
  <LinksUpToDate>false</LinksUpToDate>
  <CharactersWithSpaces>6481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2023-01-05T22:10:00Z</dcterms:created>
  <dc:creator>微软用户</dc:creator>
  <cp:lastModifiedBy>李甜甜的嘤嘤怪</cp:lastModifiedBy>
  <cp:lastPrinted>2022-01-25T20:04:00Z</cp:lastPrinted>
  <dcterms:modified xsi:type="dcterms:W3CDTF">2025-01-24T08:45:08Z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8A5E3BCB55AD6A3DA1DB796741ED55DC_43</vt:lpwstr>
  </property>
  <property fmtid="{D5CDD505-2E9C-101B-9397-08002B2CF9AE}" pid="4" name="KSOTemplateDocerSaveRecord">
    <vt:lpwstr>eyJoZGlkIjoiOTkyMGI3YjlkYmQxZGUyYzk2MjdhNjFkODUwMTJjM2EiLCJ1c2VySWQiOiI2OTY4NTc2MzUifQ==</vt:lpwstr>
  </property>
</Properties>
</file>